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tm2625334d3_fwp.htm"/>
      <w:bookmarkStart w:id="1" w:name="kstm2625334d3_fwp"/>
      <w:bookmarkEnd w:id="0"/>
      <w:bookmarkEnd w:id="1"/>
      <w:r>
        <w:rPr>
          <w:rFonts w:ascii="Times New Roman;Times;Serif" w:hAnsi="Times New Roman;Times;Serif"/>
          <w:b/>
          <w:i w:val="false"/>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Free Writing Prospectus dated September 15,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Relating to Preliminary Prospectus Supplement dated September 15,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November 20, 2024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333-283348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TERM SHEET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$500,000,000 5.650% Senior Notes due 2031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in this pricing term sheet supplements the registration statement, the prospectus, and the preliminary prospectus supplement and supersedes the information in the registration statement, the prospectus, and the preliminary prospectus supplement and the documents incorporated therein to the extent inconsistent with the information in those documents. Terms used herein but not defined herein shall have the respective meanings as set forth in the preliminary prospectus supplement.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2"/>
        <w:gridCol w:w="9013"/>
      </w:tblGrid>
      <w:tr>
        <w:trPr/>
        <w:tc>
          <w:tcPr>
            <w:tcW w:w="119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Issuer:</w:t>
            </w:r>
          </w:p>
        </w:tc>
        <w:tc>
          <w:tcPr>
            <w:tcW w:w="90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Expand Energy Corporation</w:t>
            </w:r>
          </w:p>
        </w:tc>
      </w:tr>
      <w:tr>
        <w:trPr/>
        <w:tc>
          <w:tcPr>
            <w:tcW w:w="1192" w:type="dxa"/>
            <w:tcBorders/>
            <w:vAlign w:val="center"/>
          </w:tcPr>
          <w:p>
            <w:pPr>
              <w:pStyle w:val="TableContents"/>
              <w:bidi w:val="0"/>
              <w:spacing w:before="0" w:after="283"/>
              <w:jc w:val="left"/>
              <w:rPr/>
            </w:pPr>
            <w:r>
              <w:rPr/>
              <w:t> </w:t>
            </w:r>
          </w:p>
        </w:tc>
        <w:tc>
          <w:tcPr>
            <w:tcW w:w="9013" w:type="dxa"/>
            <w:tcBorders/>
            <w:vAlign w:val="center"/>
          </w:tcPr>
          <w:p>
            <w:pPr>
              <w:pStyle w:val="TableContents"/>
              <w:bidi w:val="0"/>
              <w:spacing w:before="0" w:after="283"/>
              <w:jc w:val="left"/>
              <w:rPr/>
            </w:pPr>
            <w:r>
              <w:rPr/>
              <w:t> </w:t>
            </w:r>
          </w:p>
        </w:tc>
      </w:tr>
      <w:tr>
        <w:trPr/>
        <w:tc>
          <w:tcPr>
            <w:tcW w:w="119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Securities:</w:t>
            </w:r>
          </w:p>
        </w:tc>
        <w:tc>
          <w:tcPr>
            <w:tcW w:w="90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5.650% Senior Notes due 2031 (the “</w:t>
            </w:r>
            <w:r>
              <w:rPr>
                <w:rFonts w:ascii="Times New Roman;Times;Serif" w:hAnsi="Times New Roman;Times;Serif"/>
                <w:sz w:val="20"/>
                <w:u w:val="single"/>
              </w:rPr>
              <w:t>Notes</w:t>
            </w:r>
            <w:r>
              <w:rPr>
                <w:rFonts w:ascii="Times New Roman;Times;Serif" w:hAnsi="Times New Roman;Times;Serif"/>
                <w:sz w:val="20"/>
              </w:rPr>
              <w:t>”)</w:t>
            </w:r>
          </w:p>
        </w:tc>
      </w:tr>
      <w:tr>
        <w:trPr/>
        <w:tc>
          <w:tcPr>
            <w:tcW w:w="1192" w:type="dxa"/>
            <w:tcBorders/>
            <w:vAlign w:val="center"/>
          </w:tcPr>
          <w:p>
            <w:pPr>
              <w:pStyle w:val="TableContents"/>
              <w:bidi w:val="0"/>
              <w:spacing w:before="0" w:after="283"/>
              <w:jc w:val="left"/>
              <w:rPr/>
            </w:pPr>
            <w:r>
              <w:rPr/>
              <w:t> </w:t>
            </w:r>
          </w:p>
        </w:tc>
        <w:tc>
          <w:tcPr>
            <w:tcW w:w="9013" w:type="dxa"/>
            <w:tcBorders/>
            <w:vAlign w:val="center"/>
          </w:tcPr>
          <w:p>
            <w:pPr>
              <w:pStyle w:val="TableContents"/>
              <w:bidi w:val="0"/>
              <w:spacing w:before="0" w:after="283"/>
              <w:jc w:val="left"/>
              <w:rPr/>
            </w:pPr>
            <w:r>
              <w:rPr/>
              <w:t> </w:t>
            </w:r>
          </w:p>
        </w:tc>
      </w:tr>
      <w:tr>
        <w:trPr/>
        <w:tc>
          <w:tcPr>
            <w:tcW w:w="119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Format:</w:t>
            </w:r>
          </w:p>
        </w:tc>
        <w:tc>
          <w:tcPr>
            <w:tcW w:w="90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Registered</w:t>
            </w:r>
          </w:p>
        </w:tc>
      </w:tr>
      <w:tr>
        <w:trPr/>
        <w:tc>
          <w:tcPr>
            <w:tcW w:w="1192" w:type="dxa"/>
            <w:tcBorders/>
            <w:vAlign w:val="center"/>
          </w:tcPr>
          <w:p>
            <w:pPr>
              <w:pStyle w:val="TableContents"/>
              <w:bidi w:val="0"/>
              <w:spacing w:before="0" w:after="283"/>
              <w:jc w:val="left"/>
              <w:rPr/>
            </w:pPr>
            <w:r>
              <w:rPr/>
              <w:t> </w:t>
            </w:r>
          </w:p>
        </w:tc>
        <w:tc>
          <w:tcPr>
            <w:tcW w:w="9013" w:type="dxa"/>
            <w:tcBorders/>
            <w:vAlign w:val="center"/>
          </w:tcPr>
          <w:p>
            <w:pPr>
              <w:pStyle w:val="TableContents"/>
              <w:bidi w:val="0"/>
              <w:spacing w:before="0" w:after="283"/>
              <w:jc w:val="left"/>
              <w:rPr/>
            </w:pPr>
            <w:r>
              <w:rPr/>
              <w:t> </w:t>
            </w:r>
          </w:p>
        </w:tc>
      </w:tr>
      <w:tr>
        <w:trPr/>
        <w:tc>
          <w:tcPr>
            <w:tcW w:w="119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Trade Date:</w:t>
            </w:r>
          </w:p>
        </w:tc>
        <w:tc>
          <w:tcPr>
            <w:tcW w:w="90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15, 2026</w:t>
            </w:r>
          </w:p>
        </w:tc>
      </w:tr>
      <w:tr>
        <w:trPr/>
        <w:tc>
          <w:tcPr>
            <w:tcW w:w="1192" w:type="dxa"/>
            <w:tcBorders/>
            <w:vAlign w:val="center"/>
          </w:tcPr>
          <w:p>
            <w:pPr>
              <w:pStyle w:val="TableContents"/>
              <w:bidi w:val="0"/>
              <w:spacing w:before="0" w:after="283"/>
              <w:jc w:val="left"/>
              <w:rPr/>
            </w:pPr>
            <w:r>
              <w:rPr/>
              <w:t> </w:t>
            </w:r>
          </w:p>
        </w:tc>
        <w:tc>
          <w:tcPr>
            <w:tcW w:w="9013" w:type="dxa"/>
            <w:tcBorders/>
            <w:vAlign w:val="center"/>
          </w:tcPr>
          <w:p>
            <w:pPr>
              <w:pStyle w:val="TableContents"/>
              <w:bidi w:val="0"/>
              <w:spacing w:before="0" w:after="283"/>
              <w:jc w:val="left"/>
              <w:rPr/>
            </w:pPr>
            <w:r>
              <w:rPr/>
              <w:t> </w:t>
            </w:r>
          </w:p>
        </w:tc>
      </w:tr>
      <w:tr>
        <w:trPr/>
        <w:tc>
          <w:tcPr>
            <w:tcW w:w="119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Settlement Date:</w:t>
            </w:r>
          </w:p>
        </w:tc>
        <w:tc>
          <w:tcPr>
            <w:tcW w:w="9013" w:type="dxa"/>
            <w:tcBorders/>
            <w:vAlign w:val="center"/>
          </w:tcPr>
          <w:p>
            <w:pPr>
              <w:pStyle w:val="TableContents"/>
              <w:bidi w:val="0"/>
              <w:spacing w:before="0" w:after="283"/>
              <w:jc w:val="left"/>
              <w:rPr/>
            </w:pPr>
            <w:r>
              <w:rPr/>
              <w:t>September 17, 2026 (T+2)</w:t>
              <w:br/>
              <w:br/>
              <w:t>It is expected that delivery of the Notes will be made against payment therefor on or about the closing date specified on the cover page of the prospectus supplement, which will be the second business day following the date of the prospectus supplement. This settlement cycle is referred to as “T+2.” Under Rule 15c6-1 under the Securities Exchange Act of 1934, as amended (the “</w:t>
            </w:r>
            <w:r>
              <w:rPr>
                <w:u w:val="single"/>
              </w:rPr>
              <w:t>Exchange Act</w:t>
            </w:r>
            <w:r>
              <w:rPr/>
              <w:t>”), trades in the secondary market generally are required to settle in one business day, unless the parties to any such trade expressly agree otherwise. Accordingly, purchasers who wish to trade Notes prior to the date that is one business day preceding the settlement date will be required, by virtue of the fact that the Notes initially will settle T+2, to specify an alternate settlement cycle at the time of any such trade to prevent a failed settlement. Purchasers of Notes who wish to trade Notes prior to the date that is one business day preceding the settlement date should consult their own advisors.  </w:t>
            </w:r>
          </w:p>
        </w:tc>
      </w:tr>
      <w:tr>
        <w:trPr/>
        <w:tc>
          <w:tcPr>
            <w:tcW w:w="1192" w:type="dxa"/>
            <w:tcBorders/>
            <w:vAlign w:val="center"/>
          </w:tcPr>
          <w:p>
            <w:pPr>
              <w:pStyle w:val="TableContents"/>
              <w:bidi w:val="0"/>
              <w:spacing w:before="0" w:after="283"/>
              <w:jc w:val="left"/>
              <w:rPr/>
            </w:pPr>
            <w:r>
              <w:rPr/>
              <w:t> </w:t>
            </w:r>
          </w:p>
        </w:tc>
        <w:tc>
          <w:tcPr>
            <w:tcW w:w="9013" w:type="dxa"/>
            <w:tcBorders/>
            <w:vAlign w:val="center"/>
          </w:tcPr>
          <w:p>
            <w:pPr>
              <w:pStyle w:val="TableContents"/>
              <w:bidi w:val="0"/>
              <w:spacing w:before="0" w:after="283"/>
              <w:jc w:val="left"/>
              <w:rPr/>
            </w:pPr>
            <w:r>
              <w:rPr/>
              <w:t> </w:t>
            </w:r>
          </w:p>
        </w:tc>
      </w:tr>
      <w:tr>
        <w:trPr/>
        <w:tc>
          <w:tcPr>
            <w:tcW w:w="1192" w:type="dxa"/>
            <w:tcBorders/>
            <w:vAlign w:val="center"/>
          </w:tcPr>
          <w:p>
            <w:pPr>
              <w:pStyle w:val="TableContents"/>
              <w:bidi w:val="0"/>
              <w:spacing w:before="0" w:after="283"/>
              <w:jc w:val="left"/>
              <w:rPr/>
            </w:pPr>
            <w:r>
              <w:rPr>
                <w:rFonts w:ascii="Times New Roman;Times;Serif" w:hAnsi="Times New Roman;Times;Serif"/>
                <w:b/>
                <w:sz w:val="20"/>
              </w:rPr>
              <w:t>Ratings:</w:t>
            </w:r>
            <w:r>
              <w:rPr>
                <w:b/>
              </w:rPr>
              <w:t>*</w:t>
            </w:r>
          </w:p>
        </w:tc>
        <w:tc>
          <w:tcPr>
            <w:tcW w:w="9013" w:type="dxa"/>
            <w:tcBorders/>
            <w:vAlign w:val="center"/>
          </w:tcPr>
          <w:p>
            <w:pPr>
              <w:pStyle w:val="TableContents"/>
              <w:bidi w:val="0"/>
              <w:spacing w:before="0" w:after="283"/>
              <w:jc w:val="left"/>
              <w:rPr/>
            </w:pPr>
            <w:r>
              <w:rPr/>
              <w:t>Moody’s: Baa3 (Stable)</w:t>
              <w:br/>
              <w:t xml:space="preserve">S&amp;P: BBB- (Stable) </w:t>
              <w:br/>
              <w:t>Fitch: BBB (Stable)  </w:t>
            </w:r>
          </w:p>
        </w:tc>
      </w:tr>
      <w:tr>
        <w:trPr/>
        <w:tc>
          <w:tcPr>
            <w:tcW w:w="1192" w:type="dxa"/>
            <w:tcBorders/>
            <w:vAlign w:val="center"/>
          </w:tcPr>
          <w:p>
            <w:pPr>
              <w:pStyle w:val="TableContents"/>
              <w:bidi w:val="0"/>
              <w:spacing w:before="0" w:after="283"/>
              <w:jc w:val="left"/>
              <w:rPr/>
            </w:pPr>
            <w:r>
              <w:rPr/>
              <w:t> </w:t>
            </w:r>
          </w:p>
        </w:tc>
        <w:tc>
          <w:tcPr>
            <w:tcW w:w="9013" w:type="dxa"/>
            <w:tcBorders/>
            <w:vAlign w:val="center"/>
          </w:tcPr>
          <w:p>
            <w:pPr>
              <w:pStyle w:val="TableContents"/>
              <w:bidi w:val="0"/>
              <w:spacing w:before="0" w:after="283"/>
              <w:jc w:val="left"/>
              <w:rPr/>
            </w:pPr>
            <w:r>
              <w:rPr/>
              <w:t> </w:t>
            </w:r>
          </w:p>
        </w:tc>
      </w:tr>
      <w:tr>
        <w:trPr/>
        <w:tc>
          <w:tcPr>
            <w:tcW w:w="119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Principal Amount:</w:t>
            </w:r>
          </w:p>
        </w:tc>
        <w:tc>
          <w:tcPr>
            <w:tcW w:w="90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$500,000,000</w:t>
            </w:r>
          </w:p>
        </w:tc>
      </w:tr>
      <w:tr>
        <w:trPr/>
        <w:tc>
          <w:tcPr>
            <w:tcW w:w="1192" w:type="dxa"/>
            <w:tcBorders/>
            <w:vAlign w:val="center"/>
          </w:tcPr>
          <w:p>
            <w:pPr>
              <w:pStyle w:val="TableContents"/>
              <w:bidi w:val="0"/>
              <w:spacing w:before="0" w:after="283"/>
              <w:jc w:val="left"/>
              <w:rPr/>
            </w:pPr>
            <w:r>
              <w:rPr/>
              <w:t> </w:t>
            </w:r>
          </w:p>
        </w:tc>
        <w:tc>
          <w:tcPr>
            <w:tcW w:w="9013" w:type="dxa"/>
            <w:tcBorders/>
            <w:vAlign w:val="center"/>
          </w:tcPr>
          <w:p>
            <w:pPr>
              <w:pStyle w:val="TableContents"/>
              <w:bidi w:val="0"/>
              <w:spacing w:before="0" w:after="283"/>
              <w:jc w:val="left"/>
              <w:rPr/>
            </w:pPr>
            <w:r>
              <w:rPr/>
              <w:t> </w:t>
            </w:r>
          </w:p>
        </w:tc>
      </w:tr>
      <w:tr>
        <w:trPr/>
        <w:tc>
          <w:tcPr>
            <w:tcW w:w="119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Maturity Date:</w:t>
            </w:r>
          </w:p>
        </w:tc>
        <w:tc>
          <w:tcPr>
            <w:tcW w:w="90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15, 2031</w:t>
            </w:r>
          </w:p>
        </w:tc>
      </w:tr>
      <w:tr>
        <w:trPr/>
        <w:tc>
          <w:tcPr>
            <w:tcW w:w="1192" w:type="dxa"/>
            <w:tcBorders/>
            <w:vAlign w:val="center"/>
          </w:tcPr>
          <w:p>
            <w:pPr>
              <w:pStyle w:val="TableContents"/>
              <w:bidi w:val="0"/>
              <w:spacing w:before="0" w:after="283"/>
              <w:jc w:val="left"/>
              <w:rPr/>
            </w:pPr>
            <w:r>
              <w:rPr/>
              <w:t> </w:t>
            </w:r>
          </w:p>
        </w:tc>
        <w:tc>
          <w:tcPr>
            <w:tcW w:w="9013" w:type="dxa"/>
            <w:tcBorders/>
            <w:vAlign w:val="center"/>
          </w:tcPr>
          <w:p>
            <w:pPr>
              <w:pStyle w:val="TableContents"/>
              <w:bidi w:val="0"/>
              <w:spacing w:before="0" w:after="283"/>
              <w:jc w:val="left"/>
              <w:rPr/>
            </w:pPr>
            <w:r>
              <w:rPr/>
              <w:t> </w:t>
            </w:r>
          </w:p>
        </w:tc>
      </w:tr>
      <w:tr>
        <w:trPr/>
        <w:tc>
          <w:tcPr>
            <w:tcW w:w="119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w:t>
            </w:r>
          </w:p>
        </w:tc>
        <w:tc>
          <w:tcPr>
            <w:tcW w:w="90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UST 4.375% due August 31, 2031</w:t>
            </w:r>
          </w:p>
        </w:tc>
      </w:tr>
      <w:tr>
        <w:trPr/>
        <w:tc>
          <w:tcPr>
            <w:tcW w:w="1192" w:type="dxa"/>
            <w:tcBorders/>
            <w:vAlign w:val="center"/>
          </w:tcPr>
          <w:p>
            <w:pPr>
              <w:pStyle w:val="TableContents"/>
              <w:bidi w:val="0"/>
              <w:spacing w:before="0" w:after="283"/>
              <w:jc w:val="left"/>
              <w:rPr/>
            </w:pPr>
            <w:r>
              <w:rPr/>
              <w:t> </w:t>
            </w:r>
          </w:p>
        </w:tc>
        <w:tc>
          <w:tcPr>
            <w:tcW w:w="9013" w:type="dxa"/>
            <w:tcBorders/>
            <w:vAlign w:val="center"/>
          </w:tcPr>
          <w:p>
            <w:pPr>
              <w:pStyle w:val="TableContents"/>
              <w:bidi w:val="0"/>
              <w:spacing w:before="0" w:after="283"/>
              <w:jc w:val="left"/>
              <w:rPr/>
            </w:pPr>
            <w:r>
              <w:rPr/>
              <w:t> </w:t>
            </w:r>
          </w:p>
        </w:tc>
      </w:tr>
      <w:tr>
        <w:trPr/>
        <w:tc>
          <w:tcPr>
            <w:tcW w:w="119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 Price / Yield:</w:t>
            </w:r>
          </w:p>
        </w:tc>
        <w:tc>
          <w:tcPr>
            <w:tcW w:w="90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98-01 / 4.826%</w:t>
            </w:r>
          </w:p>
        </w:tc>
      </w:tr>
      <w:tr>
        <w:trPr/>
        <w:tc>
          <w:tcPr>
            <w:tcW w:w="1192" w:type="dxa"/>
            <w:tcBorders/>
            <w:vAlign w:val="center"/>
          </w:tcPr>
          <w:p>
            <w:pPr>
              <w:pStyle w:val="TableContents"/>
              <w:bidi w:val="0"/>
              <w:spacing w:before="0" w:after="283"/>
              <w:jc w:val="left"/>
              <w:rPr/>
            </w:pPr>
            <w:r>
              <w:rPr/>
              <w:t> </w:t>
            </w:r>
          </w:p>
        </w:tc>
        <w:tc>
          <w:tcPr>
            <w:tcW w:w="9013" w:type="dxa"/>
            <w:tcBorders/>
            <w:vAlign w:val="center"/>
          </w:tcPr>
          <w:p>
            <w:pPr>
              <w:pStyle w:val="TableContents"/>
              <w:bidi w:val="0"/>
              <w:spacing w:before="0" w:after="283"/>
              <w:jc w:val="left"/>
              <w:rPr/>
            </w:pPr>
            <w:r>
              <w:rPr/>
              <w:t> </w:t>
            </w:r>
          </w:p>
        </w:tc>
      </w:tr>
      <w:tr>
        <w:trPr/>
        <w:tc>
          <w:tcPr>
            <w:tcW w:w="119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Spread to Benchmark Treasury:</w:t>
            </w:r>
          </w:p>
        </w:tc>
        <w:tc>
          <w:tcPr>
            <w:tcW w:w="90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+85 bps</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14"/>
        <w:gridCol w:w="8391"/>
      </w:tblGrid>
      <w:tr>
        <w:trPr/>
        <w:tc>
          <w:tcPr>
            <w:tcW w:w="181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Yield to Maturity:</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5.676%</w:t>
            </w:r>
          </w:p>
        </w:tc>
      </w:tr>
      <w:tr>
        <w:trPr/>
        <w:tc>
          <w:tcPr>
            <w:tcW w:w="1814"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left"/>
              <w:rPr/>
            </w:pPr>
            <w:r>
              <w:rPr/>
              <w:t> </w:t>
            </w:r>
          </w:p>
        </w:tc>
      </w:tr>
      <w:tr>
        <w:trPr/>
        <w:tc>
          <w:tcPr>
            <w:tcW w:w="181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Price to Public:</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99.889% of principal amount, plus accrued interest, if any from September 17, 2026</w:t>
            </w:r>
          </w:p>
        </w:tc>
      </w:tr>
      <w:tr>
        <w:trPr/>
        <w:tc>
          <w:tcPr>
            <w:tcW w:w="1814"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left"/>
              <w:rPr/>
            </w:pPr>
            <w:r>
              <w:rPr/>
              <w:t> </w:t>
            </w:r>
          </w:p>
        </w:tc>
      </w:tr>
      <w:tr>
        <w:trPr/>
        <w:tc>
          <w:tcPr>
            <w:tcW w:w="181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Coupon:</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5.650% per annum</w:t>
            </w:r>
          </w:p>
        </w:tc>
      </w:tr>
      <w:tr>
        <w:trPr/>
        <w:tc>
          <w:tcPr>
            <w:tcW w:w="1814"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left"/>
              <w:rPr/>
            </w:pPr>
            <w:r>
              <w:rPr/>
              <w:t> </w:t>
            </w:r>
          </w:p>
        </w:tc>
      </w:tr>
      <w:tr>
        <w:trPr/>
        <w:tc>
          <w:tcPr>
            <w:tcW w:w="181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15 and September 15, commencing March 15, 2027</w:t>
            </w:r>
          </w:p>
        </w:tc>
      </w:tr>
      <w:tr>
        <w:trPr/>
        <w:tc>
          <w:tcPr>
            <w:tcW w:w="1814"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left"/>
              <w:rPr/>
            </w:pPr>
            <w:r>
              <w:rPr/>
              <w:t> </w:t>
            </w:r>
          </w:p>
        </w:tc>
      </w:tr>
      <w:tr>
        <w:trPr/>
        <w:tc>
          <w:tcPr>
            <w:tcW w:w="181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Record Dates:</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March 1 and September 1 </w:t>
            </w:r>
          </w:p>
        </w:tc>
      </w:tr>
      <w:tr>
        <w:trPr/>
        <w:tc>
          <w:tcPr>
            <w:tcW w:w="1814"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left"/>
              <w:rPr/>
            </w:pPr>
            <w:r>
              <w:rPr/>
              <w:t> </w:t>
            </w:r>
          </w:p>
        </w:tc>
      </w:tr>
      <w:tr>
        <w:trPr/>
        <w:tc>
          <w:tcPr>
            <w:tcW w:w="181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Optional Redemption:</w:t>
            </w:r>
          </w:p>
        </w:tc>
        <w:tc>
          <w:tcPr>
            <w:tcW w:w="8391" w:type="dxa"/>
            <w:tcBorders/>
            <w:vAlign w:val="center"/>
          </w:tcPr>
          <w:p>
            <w:pPr>
              <w:pStyle w:val="TableContents"/>
              <w:bidi w:val="0"/>
              <w:spacing w:before="0" w:after="283"/>
              <w:jc w:val="left"/>
              <w:rPr/>
            </w:pPr>
            <w:r>
              <w:rPr/>
              <w:t xml:space="preserve">At any time prior to August 15, 2031, make whole call as set forth in the preliminary prospectus supplement (Treasury rate plus 15 basis points), plus accrued interest to, but not including, the redemption date. </w:t>
              <w:br/>
              <w:br/>
              <w:t>At any time on or after August 15, 2031, at 100% of the principal amount plus accrued interest to the redemption date.  </w:t>
            </w:r>
          </w:p>
        </w:tc>
      </w:tr>
      <w:tr>
        <w:trPr/>
        <w:tc>
          <w:tcPr>
            <w:tcW w:w="1814"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left"/>
              <w:rPr/>
            </w:pPr>
            <w:r>
              <w:rPr/>
              <w:t> </w:t>
            </w:r>
          </w:p>
        </w:tc>
      </w:tr>
      <w:tr>
        <w:trPr/>
        <w:tc>
          <w:tcPr>
            <w:tcW w:w="181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 ISIN:</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165167DJ3 / US165167DJ30</w:t>
            </w:r>
          </w:p>
        </w:tc>
      </w:tr>
      <w:tr>
        <w:trPr/>
        <w:tc>
          <w:tcPr>
            <w:tcW w:w="1814"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left"/>
              <w:rPr/>
            </w:pPr>
            <w:r>
              <w:rPr/>
              <w:t> </w:t>
            </w:r>
          </w:p>
        </w:tc>
      </w:tr>
      <w:tr>
        <w:trPr/>
        <w:tc>
          <w:tcPr>
            <w:tcW w:w="181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Joint Book-Running Managers:</w:t>
            </w:r>
          </w:p>
        </w:tc>
        <w:tc>
          <w:tcPr>
            <w:tcW w:w="8391" w:type="dxa"/>
            <w:tcBorders/>
            <w:vAlign w:val="center"/>
          </w:tcPr>
          <w:p>
            <w:pPr>
              <w:pStyle w:val="TableContents"/>
              <w:bidi w:val="0"/>
              <w:spacing w:before="0" w:after="283"/>
              <w:jc w:val="left"/>
              <w:rPr/>
            </w:pPr>
            <w:r>
              <w:rPr/>
              <w:t xml:space="preserve">Citigroup Global Markets Inc. </w:t>
              <w:br/>
              <w:t xml:space="preserve">J.P. Morgan Securities LLC </w:t>
              <w:br/>
              <w:t>Citizens JMP Securities, LLC</w:t>
              <w:br/>
              <w:t xml:space="preserve">Mizuho Securities USA LLC </w:t>
              <w:br/>
              <w:t xml:space="preserve">MUFG Securities Americas Inc. </w:t>
              <w:br/>
              <w:t xml:space="preserve">RBC Capital Markets, LLC </w:t>
              <w:br/>
              <w:t xml:space="preserve">TD Securities (USA) LLC </w:t>
              <w:br/>
              <w:t>Wells Fargo Securities, LLC  </w:t>
            </w:r>
          </w:p>
        </w:tc>
      </w:tr>
      <w:tr>
        <w:trPr/>
        <w:tc>
          <w:tcPr>
            <w:tcW w:w="1814"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left"/>
              <w:rPr/>
            </w:pPr>
            <w:r>
              <w:rPr/>
              <w:t> </w:t>
            </w:r>
          </w:p>
        </w:tc>
      </w:tr>
      <w:tr>
        <w:trPr/>
        <w:tc>
          <w:tcPr>
            <w:tcW w:w="181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Co-Managers:</w:t>
            </w:r>
          </w:p>
        </w:tc>
        <w:tc>
          <w:tcPr>
            <w:tcW w:w="8391" w:type="dxa"/>
            <w:tcBorders/>
            <w:vAlign w:val="center"/>
          </w:tcPr>
          <w:p>
            <w:pPr>
              <w:pStyle w:val="TableContents"/>
              <w:bidi w:val="0"/>
              <w:spacing w:before="0" w:after="283"/>
              <w:jc w:val="left"/>
              <w:rPr/>
            </w:pPr>
            <w:r>
              <w:rPr/>
              <w:t>Fifth Third Securities, Inc.</w:t>
              <w:br/>
              <w:t xml:space="preserve">CIBC World Markets Corp. </w:t>
              <w:br/>
              <w:t>Goldman Sachs &amp; Co. LLC</w:t>
              <w:br/>
              <w:t xml:space="preserve">Morgan Stanley &amp; Co. LLC </w:t>
              <w:br/>
              <w:t>PNC Capital Markets LLC</w:t>
              <w:br/>
              <w:t>Regions Securities LLC</w:t>
              <w:br/>
              <w:t xml:space="preserve">Scotia Capital (USA) Inc. </w:t>
              <w:br/>
              <w:t xml:space="preserve">Truist Securities, Inc. </w:t>
              <w:br/>
              <w:t>BOK Financial Securities, Inc.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A securities rating is not a recommendation to buy, sell or hold securities and may be subject to revision or withdrawal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filed a registration statement (including a prospectus) with the SEC for the offering to which this communication relates. Before you invest, you should read the prospectus and prospectus supplement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them by calling Citigroup Global Markets Inc. at 1-800-831-9146 or J.P. Morgan Securities LLC collect at 1-212-834-4533.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710</Words>
  <Characters>3864</Characters>
  <CharactersWithSpaces>4594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