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49" w:before="180" w:after="283"/>
        <w:jc w:val="center"/>
        <w:rPr>
          <w:rFonts w:ascii="Arial;sans-serif" w:hAnsi="Arial;sans-serif"/>
          <w:b/>
          <w:color w:val="000000"/>
          <w:sz w:val="32"/>
        </w:rPr>
      </w:pPr>
      <w:r>
        <w:rPr>
          <w:rFonts w:ascii="Arial;sans-serif" w:hAnsi="Arial;sans-serif"/>
          <w:b/>
          <w:color w:val="000000"/>
          <w:sz w:val="32"/>
        </w:rPr>
        <w:t xml:space="preserve">FORM 8-K </w:t>
      </w:r>
    </w:p>
    <w:p>
      <w:pPr>
        <w:pStyle w:val="TextBody"/>
        <w:bidi w:val="0"/>
        <w:spacing w:lineRule="auto" w:line="247" w:before="180" w:after="283"/>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Pursuant to Section 13 or 15(d) of The Securities Exchange Act of 1934</w:t>
      </w:r>
    </w:p>
    <w:p>
      <w:pPr>
        <w:pStyle w:val="TextBody"/>
        <w:bidi w:val="0"/>
        <w:spacing w:lineRule="auto" w:line="288" w:before="180" w:after="283"/>
        <w:jc w:val="center"/>
        <w:rPr>
          <w:rFonts w:ascii="Arial;sans-serif" w:hAnsi="Arial;sans-serif"/>
          <w:b/>
          <w:color w:val="000000"/>
          <w:sz w:val="22"/>
        </w:rPr>
      </w:pPr>
      <w:r>
        <w:rPr>
          <w:rFonts w:ascii="Arial;sans-serif" w:hAnsi="Arial;sans-serif"/>
          <w:b/>
          <w:color w:val="000000"/>
          <w:sz w:val="22"/>
        </w:rPr>
        <w:t>Date of Report (Date of earliest event reported): July 28, 2026</w:t>
      </w:r>
    </w:p>
    <w:p>
      <w:pPr>
        <w:pStyle w:val="TextBody"/>
        <w:bidi w:val="0"/>
        <w:spacing w:before="120" w:after="283"/>
        <w:jc w:val="center"/>
        <w:rPr/>
      </w:pPr>
      <w:r>
        <w:rPr/>
        <w:drawing>
          <wp:inline distT="0" distB="0" distL="0" distR="0">
            <wp:extent cx="18478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457200"/>
                    </a:xfrm>
                    <a:prstGeom prst="rect">
                      <a:avLst/>
                    </a:prstGeom>
                  </pic:spPr>
                </pic:pic>
              </a:graphicData>
            </a:graphic>
          </wp:inline>
        </w:drawing>
      </w:r>
      <w:bookmarkStart w:id="0" w:name="i-1"/>
      <w:bookmarkEnd w:id="0"/>
    </w:p>
    <w:tbl>
      <w:tblPr>
        <w:tblW w:w="8968" w:type="dxa"/>
        <w:jc w:val="center"/>
        <w:tblInd w:w="0" w:type="dxa"/>
        <w:tblLayout w:type="fixed"/>
        <w:tblCellMar>
          <w:top w:w="28" w:type="dxa"/>
          <w:left w:w="28" w:type="dxa"/>
          <w:bottom w:w="28" w:type="dxa"/>
          <w:right w:w="28" w:type="dxa"/>
        </w:tblCellMar>
      </w:tblPr>
      <w:tblGrid>
        <w:gridCol w:w="445"/>
        <w:gridCol w:w="391"/>
        <w:gridCol w:w="391"/>
        <w:gridCol w:w="391"/>
        <w:gridCol w:w="391"/>
        <w:gridCol w:w="391"/>
        <w:gridCol w:w="245"/>
        <w:gridCol w:w="245"/>
        <w:gridCol w:w="245"/>
        <w:gridCol w:w="382"/>
        <w:gridCol w:w="382"/>
        <w:gridCol w:w="382"/>
        <w:gridCol w:w="382"/>
        <w:gridCol w:w="382"/>
        <w:gridCol w:w="382"/>
        <w:gridCol w:w="245"/>
        <w:gridCol w:w="245"/>
        <w:gridCol w:w="245"/>
        <w:gridCol w:w="427"/>
        <w:gridCol w:w="427"/>
        <w:gridCol w:w="427"/>
        <w:gridCol w:w="427"/>
        <w:gridCol w:w="427"/>
        <w:gridCol w:w="671"/>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96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36"/>
              </w:rPr>
            </w:pPr>
            <w:r>
              <w:rPr>
                <w:rFonts w:ascii="Arial;sans-serif" w:hAnsi="Arial;sans-serif"/>
                <w:b/>
                <w:color w:val="000000"/>
                <w:sz w:val="36"/>
              </w:rPr>
              <w:t>EXPAND ENERGY CORPORATION</w:t>
            </w:r>
          </w:p>
        </w:tc>
      </w:tr>
      <w:tr>
        <w:trPr/>
        <w:tc>
          <w:tcPr>
            <w:tcW w:w="8968"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r>
        <w:trPr/>
        <w:tc>
          <w:tcPr>
            <w:tcW w:w="240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Oklahoma</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001-13726</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73-1395733</w:t>
            </w:r>
          </w:p>
        </w:tc>
      </w:tr>
      <w:tr>
        <w:trPr/>
        <w:tc>
          <w:tcPr>
            <w:tcW w:w="24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31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10000 Energy Drive</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Spring,</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Texas</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77389</w:t>
            </w:r>
          </w:p>
        </w:tc>
      </w:tr>
      <w:tr>
        <w:trPr/>
        <w:tc>
          <w:tcPr>
            <w:tcW w:w="54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(346)</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535-0990</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6"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9566" w:type="dxa"/>
        <w:jc w:val="center"/>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80"/>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593" w:type="dxa"/>
        <w:jc w:val="left"/>
        <w:tblInd w:w="0" w:type="dxa"/>
        <w:tblLayout w:type="fixed"/>
        <w:tblCellMar>
          <w:top w:w="28" w:type="dxa"/>
          <w:left w:w="28" w:type="dxa"/>
          <w:bottom w:w="28" w:type="dxa"/>
          <w:right w:w="28" w:type="dxa"/>
        </w:tblCellMar>
      </w:tblPr>
      <w:tblGrid>
        <w:gridCol w:w="1286"/>
        <w:gridCol w:w="1128"/>
        <w:gridCol w:w="1141"/>
        <w:gridCol w:w="109"/>
        <w:gridCol w:w="109"/>
        <w:gridCol w:w="109"/>
        <w:gridCol w:w="479"/>
        <w:gridCol w:w="479"/>
        <w:gridCol w:w="481"/>
        <w:gridCol w:w="109"/>
        <w:gridCol w:w="109"/>
        <w:gridCol w:w="109"/>
        <w:gridCol w:w="1154"/>
        <w:gridCol w:w="1154"/>
        <w:gridCol w:w="1637"/>
      </w:tblGrid>
      <w:tr>
        <w:trPr/>
        <w:tc>
          <w:tcPr>
            <w:tcW w:w="12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EXE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442"/>
        <w:gridCol w:w="3022"/>
        <w:gridCol w:w="3040"/>
        <w:gridCol w:w="109"/>
        <w:gridCol w:w="109"/>
        <w:gridCol w:w="109"/>
        <w:gridCol w:w="109"/>
        <w:gridCol w:w="109"/>
        <w:gridCol w:w="156"/>
      </w:tblGrid>
      <w:tr>
        <w:trPr/>
        <w:tc>
          <w:tcPr>
            <w:tcW w:w="3442"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9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July 28, 2026, Expand Energy Corporation (“Expand Energy”) issued a press release reporting second quarter 2026 financial and operational results. A copy of the press release and financial information are attached hereto as Exhibit 99.1.</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information contained in the press release is being furnished, not filed, pursuant to Item 2.02. Accordingly, the information contained in the press release shall not be deemed “filed” for purposes of Section 18 of the Securities Exchange Act of 1934, as amended (the “Exchange Act”), or incorporated by reference in any filing under the Securities Act of 1933, as amended (the “Securities Act”),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July 29, 2026, Expand Energy will make a presentation about its financial and operating results for the second quarter of 2026. Expand Energy has made the presentation available on its website at https://investors.expandenergy.com. This information is being furnished and shall not be deemed “filed” for purposes of Section 18 of the Exchange Act or incorporated by reference in any filing under the Securities Act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    Exhibits</w:t>
      </w:r>
    </w:p>
    <w:tbl>
      <w:tblPr>
        <w:tblW w:w="8441" w:type="dxa"/>
        <w:jc w:val="right"/>
        <w:tblInd w:w="0" w:type="dxa"/>
        <w:tblLayout w:type="fixed"/>
        <w:tblCellMar>
          <w:top w:w="28" w:type="dxa"/>
          <w:left w:w="28" w:type="dxa"/>
          <w:bottom w:w="28" w:type="dxa"/>
          <w:right w:w="28" w:type="dxa"/>
        </w:tblCellMar>
      </w:tblPr>
      <w:tblGrid>
        <w:gridCol w:w="418"/>
        <w:gridCol w:w="367"/>
        <w:gridCol w:w="370"/>
        <w:gridCol w:w="109"/>
        <w:gridCol w:w="109"/>
        <w:gridCol w:w="109"/>
        <w:gridCol w:w="2037"/>
        <w:gridCol w:w="2037"/>
        <w:gridCol w:w="2885"/>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Document Description</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e-ex_991x20260630x8kxpr.htm">
              <w:r>
                <w:rPr>
                  <w:rStyle w:val="InternetLink"/>
                  <w:rFonts w:ascii="Arial;sans-serif" w:hAnsi="Arial;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Expand Energy Corporation press release dated July 28, 2026</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2"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5144" w:type="dxa"/>
        <w:jc w:val="right"/>
        <w:tblInd w:w="0" w:type="dxa"/>
        <w:tblLayout w:type="fixed"/>
        <w:tblCellMar>
          <w:top w:w="28" w:type="dxa"/>
          <w:left w:w="28" w:type="dxa"/>
          <w:bottom w:w="28" w:type="dxa"/>
          <w:right w:w="28" w:type="dxa"/>
        </w:tblCellMar>
      </w:tblPr>
      <w:tblGrid>
        <w:gridCol w:w="151"/>
        <w:gridCol w:w="134"/>
        <w:gridCol w:w="135"/>
        <w:gridCol w:w="1384"/>
        <w:gridCol w:w="1384"/>
        <w:gridCol w:w="195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EXPAND ENERGY CORPORATION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47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20"/>
              </w:rPr>
              <w:t>/s/ MARCEL TEUNISSEN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Marcel Teunissen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Date:  July 28,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311" w:type="dxa"/>
        <w:jc w:val="center"/>
        <w:tblInd w:w="0" w:type="dxa"/>
        <w:tblLayout w:type="fixed"/>
        <w:tblCellMar>
          <w:top w:w="28" w:type="dxa"/>
          <w:left w:w="28" w:type="dxa"/>
          <w:bottom w:w="28" w:type="dxa"/>
          <w:right w:w="28" w:type="dxa"/>
        </w:tblCellMar>
      </w:tblPr>
      <w:tblGrid>
        <w:gridCol w:w="1091"/>
        <w:gridCol w:w="959"/>
        <w:gridCol w:w="961"/>
        <w:gridCol w:w="965"/>
        <w:gridCol w:w="965"/>
        <w:gridCol w:w="1370"/>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99.1</w:t>
            </w:r>
          </w:p>
        </w:tc>
      </w:tr>
      <w:tr>
        <w:trPr/>
        <w:tc>
          <w:tcPr>
            <w:tcW w:w="301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47850" cy="4572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47850" cy="457200"/>
                          </a:xfrm>
                          <a:prstGeom prst="rect">
                            <a:avLst/>
                          </a:prstGeom>
                        </pic:spPr>
                      </pic:pic>
                    </a:graphicData>
                  </a:graphic>
                </wp:inline>
              </w:drawing>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386C"/>
                <w:sz w:val="28"/>
              </w:rPr>
            </w:pPr>
            <w:r>
              <w:rPr>
                <w:rFonts w:ascii="Arial;sans-serif" w:hAnsi="Arial;sans-serif"/>
                <w:b/>
                <w:color w:val="00386C"/>
                <w:sz w:val="28"/>
              </w:rPr>
              <w:t>N E W S   R E L E A S E</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Expand Energy Corporation Reports Second Quarter 2026 Results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SPRING, Texas – July 28, 2026 – Expand Energy Corporation (NASDAQ: EXE) ("Expand Energy" or the "Company") today reported second quarter 2026 financial and operating results.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Net cash provided by operating activities of $1,096 million, driven by continued operational execution</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Net income of $522 million, or $2.19 per fully diluted share; adjusted net income</w:t>
      </w:r>
      <w:r>
        <w:rPr>
          <w:rFonts w:ascii="Arial;sans-serif" w:hAnsi="Arial;sans-serif"/>
          <w:b/>
          <w:i/>
          <w:color w:val="000000"/>
          <w:sz w:val="13"/>
        </w:rPr>
        <w:t>(1)</w:t>
      </w:r>
      <w:r>
        <w:rPr>
          <w:color w:val="000000"/>
        </w:rPr>
        <w:t xml:space="preserve"> </w:t>
      </w:r>
      <w:r>
        <w:rPr>
          <w:rFonts w:ascii="Arial;sans-serif" w:hAnsi="Arial;sans-serif"/>
          <w:b/>
          <w:i/>
          <w:color w:val="000000"/>
          <w:sz w:val="20"/>
        </w:rPr>
        <w:t>of $317 million, or $1.33 per diluted share</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Adjusted EBITDAX</w:t>
      </w:r>
      <w:r>
        <w:rPr>
          <w:rFonts w:ascii="Arial;sans-serif" w:hAnsi="Arial;sans-serif"/>
          <w:b/>
          <w:i/>
          <w:color w:val="000000"/>
          <w:sz w:val="13"/>
        </w:rPr>
        <w:t>(1)</w:t>
      </w:r>
      <w:r>
        <w:rPr>
          <w:color w:val="000000"/>
        </w:rPr>
        <w:t xml:space="preserve"> </w:t>
      </w:r>
      <w:r>
        <w:rPr>
          <w:rFonts w:ascii="Arial;sans-serif" w:hAnsi="Arial;sans-serif"/>
          <w:b/>
          <w:i/>
          <w:color w:val="000000"/>
          <w:sz w:val="20"/>
        </w:rPr>
        <w:t>of $1,183 million</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Net production of ~7.48</w:t>
      </w:r>
      <w:r>
        <w:rPr>
          <w:color w:val="000000"/>
        </w:rPr>
        <w:t xml:space="preserve"> </w:t>
      </w:r>
      <w:r>
        <w:rPr>
          <w:rFonts w:ascii="Arial;sans-serif" w:hAnsi="Arial;sans-serif"/>
          <w:b/>
          <w:i/>
          <w:color w:val="000000"/>
          <w:sz w:val="20"/>
        </w:rPr>
        <w:t>Bcfe/d (92% natural gas), reaffirmed full-year 2026 guidance of 7.4 – 7.6 Bcfe/d</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Total debt of $3.7 billion as of quarter-end, down ~$1.3 billion from year-end as a result of senior note redemption in April 2026</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Reported quarter-end net debt</w:t>
      </w:r>
      <w:r>
        <w:rPr>
          <w:rFonts w:ascii="Arial;sans-serif" w:hAnsi="Arial;sans-serif"/>
          <w:b/>
          <w:i/>
          <w:color w:val="000000"/>
          <w:sz w:val="13"/>
        </w:rPr>
        <w:t xml:space="preserve">(1) </w:t>
      </w:r>
      <w:r>
        <w:rPr>
          <w:rFonts w:ascii="Arial;sans-serif" w:hAnsi="Arial;sans-serif"/>
          <w:b/>
          <w:i/>
          <w:color w:val="000000"/>
          <w:sz w:val="20"/>
        </w:rPr>
        <w:t>of $3.1 billion and peer-leading leverage ratio of ~0.5x</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Approximately $530 million of common stock repurchases in the second quarter; year-to-date repurchases total approximately $850 million or 4% of shares outstanding</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Announced additional ~$1 billion buyback authorization, facilitating continued opportunistic share repurchases</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Released 2025 Sustainability Report with consistent, transparent performance data disclosure</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Announced the acquisition of Twin Eagle Holdings, N.A. LLC ("Twin Eagle"), creating North America's leading integrated natural gas company</w:t>
      </w:r>
    </w:p>
    <w:p>
      <w:pPr>
        <w:pStyle w:val="TextBody"/>
        <w:bidi w:val="0"/>
        <w:spacing w:before="60" w:after="283"/>
        <w:jc w:val="left"/>
        <w:rPr/>
      </w:pPr>
      <w:r>
        <w:rPr/>
      </w:r>
    </w:p>
    <w:p>
      <w:pPr>
        <w:pStyle w:val="TextBody"/>
        <w:bidi w:val="0"/>
        <w:spacing w:lineRule="auto" w:line="276" w:before="180" w:after="283"/>
        <w:jc w:val="left"/>
        <w:rPr>
          <w:rFonts w:ascii="Arial;sans-serif" w:hAnsi="Arial;sans-serif"/>
          <w:b w:val="false"/>
          <w:i/>
          <w:color w:val="000000"/>
          <w:sz w:val="14"/>
        </w:rPr>
      </w:pPr>
      <w:r>
        <w:rPr>
          <w:rFonts w:ascii="Arial;sans-serif" w:hAnsi="Arial;sans-serif"/>
          <w:b w:val="false"/>
          <w:i/>
          <w:color w:val="000000"/>
          <w:sz w:val="14"/>
        </w:rPr>
        <w:t>(1) Definitions of non-GAAP financial measures and reconciliations of each non-GAAP financial measure to the most directly comparable GAAP financial measure are included at the end of this release.</w:t>
      </w:r>
    </w:p>
    <w:p>
      <w:pPr>
        <w:pStyle w:val="TextBody"/>
        <w:bidi w:val="0"/>
        <w:spacing w:before="180" w:after="283"/>
        <w:ind w:left="0" w:right="0" w:hanging="720"/>
        <w:jc w:val="left"/>
        <w:rPr/>
      </w:pPr>
      <w:r>
        <w:rPr/>
      </w:r>
    </w:p>
    <w:p>
      <w:pPr>
        <w:pStyle w:val="TextBody"/>
        <w:bidi w:val="0"/>
        <w:spacing w:lineRule="auto" w:line="268" w:before="0" w:after="0"/>
        <w:jc w:val="both"/>
        <w:rPr>
          <w:color w:val="000000"/>
        </w:rPr>
      </w:pPr>
      <w:r>
        <w:rPr>
          <w:color w:val="000000"/>
        </w:rPr>
        <w:t>“</w:t>
      </w:r>
      <w:r>
        <w:rPr>
          <w:rFonts w:ascii="Arial;sans-serif" w:hAnsi="Arial;sans-serif"/>
          <w:b w:val="false"/>
          <w:color w:val="000000"/>
          <w:sz w:val="20"/>
        </w:rPr>
        <w:t>This year, the team has been focused on two key initiatives, executing with discipline and accelerating our marketing and commercial strategy. I'm pleased with the significant progress we've made on both fronts,” said Mike Wichterich, Interim President and Chief Executive Officer of Expand Energy. “We’ve strengthened our balance sheet and achieved a peer-leading leverage ratio, giving us the flexibility to opportunistically allocate capital. We acted decisively with our buyback program, reduced outstanding shares by 4%, and authorized an additional $1 billion of share repurchases. Through our leasing program, we’ve organically extended our inventory across our portfolio at a significant discount to recent industry acquisitions. Most importantly, our recently announced acquisition of Twin Eagle immediately establishes Expand as the leading integrated natural gas company, extends our access to demand markets from coast to coast, and meaningfully accelerates our strategy. The team is executing on all fronts, delivering as promised, and creating sustainable value for our shareholders.”</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36040"/>
                <wp:effectExtent l="0" t="0" r="0" b="0"/>
                <wp:wrapNone/>
                <wp:docPr id="6" name="Frame4"/>
                <a:graphic xmlns:a="http://schemas.openxmlformats.org/drawingml/2006/main">
                  <a:graphicData uri="http://schemas.microsoft.com/office/word/2010/wordprocessingShape">
                    <wps:wsp>
                      <wps:cNvSpPr txBox="1"/>
                      <wps:spPr>
                        <a:xfrm>
                          <a:off x="0" y="0"/>
                          <a:ext cx="6480175" cy="1336040"/>
                        </a:xfrm>
                        <a:prstGeom prst="rect"/>
                        <a:solidFill>
                          <a:srgbClr val="FFFFFF"/>
                        </a:solidFill>
                      </wps:spPr>
                      <wps:txbx>
                        <w:txbxContent>
                          <w:tbl>
                            <w:tblPr>
                              <w:tblW w:w="6525" w:type="dxa"/>
                              <w:jc w:val="center"/>
                              <w:tblInd w:w="0" w:type="dxa"/>
                              <w:tblLayout w:type="fixed"/>
                              <w:tblCellMar>
                                <w:top w:w="28" w:type="dxa"/>
                                <w:left w:w="28" w:type="dxa"/>
                                <w:bottom w:w="28" w:type="dxa"/>
                                <w:right w:w="28" w:type="dxa"/>
                              </w:tblCellMar>
                            </w:tblPr>
                            <w:tblGrid>
                              <w:gridCol w:w="684"/>
                              <w:gridCol w:w="602"/>
                              <w:gridCol w:w="604"/>
                              <w:gridCol w:w="589"/>
                              <w:gridCol w:w="589"/>
                              <w:gridCol w:w="593"/>
                              <w:gridCol w:w="838"/>
                              <w:gridCol w:w="838"/>
                              <w:gridCol w:w="1188"/>
                            </w:tblGrid>
                            <w:tr>
                              <w:trPr/>
                              <w:tc>
                                <w:tcPr>
                                  <w:tcW w:w="684" w:type="dxa"/>
                                  <w:tcBorders/>
                                  <w:vAlign w:val="center"/>
                                </w:tcPr>
                                <w:p>
                                  <w:pPr>
                                    <w:pStyle w:val="TableContents"/>
                                    <w:bidi w:val="0"/>
                                    <w:spacing w:before="0" w:after="283"/>
                                    <w:jc w:val="left"/>
                                    <w:rPr>
                                      <w:sz w:val="4"/>
                                      <w:szCs w:val="4"/>
                                    </w:rPr>
                                  </w:pPr>
                                  <w:r>
                                    <w:rPr>
                                      <w:sz w:val="4"/>
                                      <w:szCs w:val="4"/>
                                    </w:rPr>
                                  </w:r>
                                  <w:r>
                                    <w:br w:type="page"/>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72B4"/>
                                      <w:sz w:val="16"/>
                                    </w:rPr>
                                  </w:pPr>
                                  <w:r>
                                    <w:rPr>
                                      <w:rFonts w:ascii="Arial;sans-serif" w:hAnsi="Arial;sans-serif"/>
                                      <w:b/>
                                      <w:color w:val="0072B4"/>
                                      <w:sz w:val="16"/>
                                    </w:rPr>
                                    <w:t>INVESTOR CONTACT: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72B4"/>
                                      <w:sz w:val="16"/>
                                    </w:rPr>
                                  </w:pPr>
                                  <w:r>
                                    <w:rPr>
                                      <w:rFonts w:ascii="Arial;sans-serif" w:hAnsi="Arial;sans-serif"/>
                                      <w:b/>
                                      <w:color w:val="0072B4"/>
                                      <w:sz w:val="16"/>
                                    </w:rPr>
                                    <w:t>MEDIA CONTACT: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72B4"/>
                                      <w:sz w:val="16"/>
                                    </w:rPr>
                                  </w:pPr>
                                  <w:r>
                                    <w:rPr>
                                      <w:rFonts w:ascii="Arial;sans-serif" w:hAnsi="Arial;sans-serif"/>
                                      <w:b/>
                                      <w:color w:val="0072B4"/>
                                      <w:sz w:val="16"/>
                                    </w:rPr>
                                    <w:t>EXPAND ENERGY CORPORATION</w:t>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Brittany Raiford</w:t>
                                  </w:r>
                                </w:p>
                                <w:p>
                                  <w:pPr>
                                    <w:pStyle w:val="TableContents"/>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(405) 935-8870</w:t>
                                  </w:r>
                                </w:p>
                                <w:p>
                                  <w:pPr>
                                    <w:pStyle w:val="TableContents"/>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ir@expandenergy.com</w:t>
                                  </w:r>
                                </w:p>
                              </w:tc>
                              <w:tc>
                                <w:tcPr>
                                  <w:tcW w:w="17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Brooke Coe</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(405) 935-8878</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media@expandenergy.com</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10000 Energy Drive</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Spring, TX 77389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pt;mso-wrap-distance-left:0pt;mso-wrap-distance-right:0pt;mso-wrap-distance-top:0pt;mso-wrap-distance-bottom:0pt;margin-top:0pt;mso-position-vertical:top;mso-position-vertical-relative:text;margin-left:-226.85pt;mso-position-horizontal:left;mso-position-horizontal-relative:text">
                <v:textbox>
                  <w:txbxContent>
                    <w:tbl>
                      <w:tblPr>
                        <w:tblW w:w="6525" w:type="dxa"/>
                        <w:jc w:val="center"/>
                        <w:tblInd w:w="0" w:type="dxa"/>
                        <w:tblLayout w:type="fixed"/>
                        <w:tblCellMar>
                          <w:top w:w="28" w:type="dxa"/>
                          <w:left w:w="28" w:type="dxa"/>
                          <w:bottom w:w="28" w:type="dxa"/>
                          <w:right w:w="28" w:type="dxa"/>
                        </w:tblCellMar>
                      </w:tblPr>
                      <w:tblGrid>
                        <w:gridCol w:w="684"/>
                        <w:gridCol w:w="602"/>
                        <w:gridCol w:w="604"/>
                        <w:gridCol w:w="589"/>
                        <w:gridCol w:w="589"/>
                        <w:gridCol w:w="593"/>
                        <w:gridCol w:w="838"/>
                        <w:gridCol w:w="838"/>
                        <w:gridCol w:w="1188"/>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72B4"/>
                                <w:sz w:val="16"/>
                              </w:rPr>
                            </w:pPr>
                            <w:r>
                              <w:rPr>
                                <w:rFonts w:ascii="Arial;sans-serif" w:hAnsi="Arial;sans-serif"/>
                                <w:b/>
                                <w:color w:val="0072B4"/>
                                <w:sz w:val="16"/>
                              </w:rPr>
                              <w:t>INVESTOR CONTACT: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72B4"/>
                                <w:sz w:val="16"/>
                              </w:rPr>
                            </w:pPr>
                            <w:r>
                              <w:rPr>
                                <w:rFonts w:ascii="Arial;sans-serif" w:hAnsi="Arial;sans-serif"/>
                                <w:b/>
                                <w:color w:val="0072B4"/>
                                <w:sz w:val="16"/>
                              </w:rPr>
                              <w:t>MEDIA CONTACT: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72B4"/>
                                <w:sz w:val="16"/>
                              </w:rPr>
                            </w:pPr>
                            <w:r>
                              <w:rPr>
                                <w:rFonts w:ascii="Arial;sans-serif" w:hAnsi="Arial;sans-serif"/>
                                <w:b/>
                                <w:color w:val="0072B4"/>
                                <w:sz w:val="16"/>
                              </w:rPr>
                              <w:t>EXPAND ENERGY CORPORATION</w:t>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Brittany Raiford</w:t>
                            </w:r>
                          </w:p>
                          <w:p>
                            <w:pPr>
                              <w:pStyle w:val="TableContents"/>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(405) 935-8870</w:t>
                            </w:r>
                          </w:p>
                          <w:p>
                            <w:pPr>
                              <w:pStyle w:val="TableContents"/>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ir@expandenergy.com</w:t>
                            </w:r>
                          </w:p>
                        </w:tc>
                        <w:tc>
                          <w:tcPr>
                            <w:tcW w:w="17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Brooke Coe</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(405) 935-8878</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media@expandenergy.com</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10000 Energy Drive</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Spring, TX 77389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Operations Update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Expand Energy operated an average of 12 rigs during the second quarter, drilling 55 wells and turning 48 wells in line, resulting in net production of approximately 7.48 Bcfe/d (92% natural gas). A detailed breakdown of second quarter production, capital expenditures and activity can be found in the supplemental slides which have been posted at https://investors.expandenergy.com/events-presentations.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2026 Capital and Operating Outlook</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In 2026, Expand Energy expects to run 11 – 12 rigs and invest approximately $2.75 – $2.95 billion. Average daily production is expected to be approximately 7.4 – 7.6 Bcfe/d.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 detailed breakdown of the Company's 2026 annual capital and operating outlook can be found in the supplemental slides.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u w:val="single"/>
        </w:rPr>
      </w:pPr>
      <w:r>
        <w:rPr>
          <w:rFonts w:ascii="Arial;sans-serif" w:hAnsi="Arial;sans-serif"/>
          <w:b/>
          <w:i/>
          <w:color w:val="000000"/>
          <w:sz w:val="20"/>
          <w:u w:val="single"/>
        </w:rPr>
        <w:t>Shareholder Returns Update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Expand Energy expects to continue its returns-focused allocation of capital, including to share repurchases, while preserving balance sheet capacity to capitalize on attractive opportunities through the cycle. Year-to-date through July 24, 2026, the Company has redeemed approximately $1.3 billion of gross debt and executed $849 million of share repurchases. The Company plans to pay its quarterly base dividend of $0.575 per share on September 3, 2026 to shareholders of record at the close of business on August 13,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Conference Call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conference call to discuss Expand Energy's second quarter 2026 financial and operating results and 2026 outlook has been scheduled for 9 a.m. EDT on July 29, 2026. Participants can access the live webcast at https://edge.media-server.com/mmc/p/w7azq3eg/. Participants who would like to ask a question, can register at https://register-conf.media-server.com/register/BIa5617126d27645d887bff8d8eefaf1c6, and will receive the dial-in info and a unique PIN to join the call. Links to the conference call will be provided at https://investors.expandenergy.com/. A replay will be available on the website following the call.</w:t>
      </w:r>
    </w:p>
    <w:p>
      <w:pPr>
        <w:pStyle w:val="TextBody"/>
        <w:bidi w:val="0"/>
        <w:spacing w:lineRule="auto" w:line="288" w:before="180" w:after="283"/>
        <w:jc w:val="both"/>
        <w:rPr>
          <w:rFonts w:ascii="Arial;sans-serif" w:hAnsi="Arial;sans-serif"/>
          <w:b/>
          <w:i/>
          <w:color w:val="000000"/>
          <w:sz w:val="20"/>
          <w:u w:val="single"/>
        </w:rPr>
      </w:pPr>
      <w:r>
        <w:rPr>
          <w:rFonts w:ascii="Arial;sans-serif" w:hAnsi="Arial;sans-serif"/>
          <w:b/>
          <w:i/>
          <w:color w:val="000000"/>
          <w:sz w:val="20"/>
          <w:u w:val="single"/>
        </w:rPr>
        <w:t>Financial Statements, Non-GAAP Financial Measures and 2026 Guidance and Outlook Projections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This news release contains the non-GAAP financial measures described below in the section titled "Non-GAAP Financial Measures." Reconciliations of each non-GAAP financial measure used in this news release to the most directly comparable GAAP financial measure are provided below. Additional detail on the Company’s 2026 second quarter financial and operational results, along with non-GAAP measures that adjust for items typically excluded by securities analysts, are available on the Company’s website. Non-GAAP measures should not be considered as an alternative to, or more meaningful than, GAAP measures. Management’s guidance for 2026 can be found on the Company’s website at www.expandenergy.com. </w:t>
      </w:r>
    </w:p>
    <w:p>
      <w:pPr>
        <w:pStyle w:val="TextBody"/>
        <w:bidi w:val="0"/>
        <w:spacing w:before="0" w:after="0"/>
        <w:jc w:val="both"/>
        <w:rPr/>
      </w:pPr>
      <w:r>
        <w:rPr/>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1950"/>
                <wp:effectExtent l="0" t="0" r="0" b="0"/>
                <wp:wrapNone/>
                <wp:docPr id="7" name="Frame5"/>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Expand Energy Corporation (NASDAQ: EXE) is North America’s largest natural gas producer, powered by dedicated and innovative employees focused on expanding the value of natural gas by connecting global scale to growing markets. Expand Energy’s returns-driven strategy strives to create sustainable value for its stakeholders by leveraging its advantaged portfolio, financial strength and operational excellence. Expand Energy is committed to expanding America’s energy reach to fuel a more affordable, reliable, lower carbon future.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 xml:space="preserve">Forward-Looking Statements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This release includes “forward-looking statements” within the meaning of Section 27A of the Securities Act of 1933, as amended, and Section 21E of the Securities Exchange Act of 1934, as amended. Forward-looking statements include our current expectations or forecasts of future events, including matters relating to armed conflict between Russia and Ukraine, instability in the Middle East and Venezuela and changes in China-Taiwan relations, along with the effects of the current global economic environment, and the impact of each on our business, financial condition, results of operations and cash flows, actions by, or disputes among or between, members of OPEC+ and other foreign oil-exporting countries, market factors, market prices, our ability to meet debt service requirements, our ability to continue to pay cash dividends, the amount and timing of any cash dividends and our sustainability initiatives. Forward-looking and other statements in this news release regarding our environmental, social and other sustainability plans and goals are not an indication that these statements are necessarily material to investors or required to be disclosed in our filings with the Securities and Exchange Commission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Forward-looking statements often address our expected future business, financial performance and financial condition, and often contain words such as "aim", "predict", "should", "expect," “could,” “may,” "anticipate," "intend," "plan," “ability,” "believe," "seek," "see," "will," "would," “estimate,” “forecast,” "target," “guidance,” “outlook,” “opportunity” or “strategy.” The absence of such words or expressions does not necessarily mean the statements are not forward-looking.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 xml:space="preserve">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 xml:space="preserve">Reduced demand for natural gas, oil, and natural gas liquids ("NGLs");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negative public perceptions of our industry;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competition in the natural gas and oil exploration and production industry;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the volatility of natural gas, oil and NGL prices, which are affected by general economic and business conditions, as well as increased demand for (and availability of) alternative fuels and electric vehicles;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 xml:space="preserve">risks from regional epidemics or pandemics and related economic turmoil, including supply chain constraints;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write-downs of our natural gas and oil asset carrying values due to low commodity prices;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 xml:space="preserve">significant capital expenditures are required to replace our reserves and conduct our business;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our ability to replace reserves and sustain production;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uncertainties inherent in estimating quantities of natural gas, oil and NGL reserves and projecting future rates of production and the amount and timing of development expenditures;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drilling and operating risks and resulting liabilities;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our ability to generate profits or achieve targeted results in drilling and well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leasehold terms expiring before production can be established;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 xml:space="preserve">risks from our commodity price risk management activities;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uncertainties, risks and costs associated with natural gas and oil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our need to secure adequate supplies of water for our drilling operations and to dispose of or recycle the water used;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pipeline and gathering system capacity constraints and transportation interruptions;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 xml:space="preserve">risks related to our plans to participate in the global LNG value chain;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terrorist activities and/or cyber-attacks adversely impacting our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 xml:space="preserve">risks from failure to protect personal information and data and compliance with data privacy and security laws and regulations;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 xml:space="preserve">disruption of our business by natural or human causes beyond our control;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a deterioration in general economic, business or industry conditions;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the impact of inflation and commodity price volatility, including as a result of decisions made by OPEC+ and armed conflict between Russia and Ukraine, instability in the Middle East and Venezuela, and changes in China-Taiwan relations, along with the effects of the current global economic environment, on our business, financial condition, employees, contractors, vendors and the global demand for natural gas and oil and on U.S. and global financial markets;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our inability to access the capital markets on favorable terms;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the limitations on our financial flexibility due to our level of indebtedness and restrictive covenants from our indebtedness;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 xml:space="preserve">challenges with employee recruitment and retention and an increasingly competitive labor market; </w:t>
      </w:r>
    </w:p>
    <w:p>
      <w:pPr>
        <w:pStyle w:val="TextBody"/>
        <w:bidi w:val="0"/>
        <w:spacing w:lineRule="auto" w:line="288"/>
        <w:ind w:left="0" w:right="0" w:hanging="360"/>
        <w:jc w:val="both"/>
        <w:rPr/>
      </w:pPr>
      <w:r>
        <w:rPr>
          <w:color w:val="000000"/>
        </w:rPr>
        <w:t>•</w:t>
      </w:r>
      <w:r>
        <w:rPr>
          <w:rFonts w:ascii="Arial;sans-serif" w:hAnsi="Arial;sans-serif"/>
          <w:b w:val="false"/>
          <w:color w:val="000000"/>
          <w:sz w:val="16"/>
        </w:rPr>
        <w:t>risks related to acquisitions or dispositions, or potential acquisitions or dispositions;</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61950"/>
                <wp:effectExtent l="0" t="0" r="0" b="0"/>
                <wp:wrapNone/>
                <wp:docPr id="8" name="Frame6"/>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security threats, including cybersecurity threats and disruptions to our business and operations from breaches of our information technology systems, or from breaches of information technology systems of third parties with whom we transact business;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 xml:space="preserve">our ability to achieve and maintain sustainability certifications, goals and commitments;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environmental and sustainability legislation and regulatory initiatives, including those addressing the impact of climate change or further regulating hydraulic fracturing, greenhouse gas emissions, flaring or water disposal;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federal and state tax proposals affecting our industry;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risks related to an annual limitation on the utilization of our tax attributes, which was triggered upon the completion of our merger with Southwestern Energy Company, as well as trading in our common stock, additional issuance of common stock, and certain other stock transactions, which could lead to an additional, potentially more restrictive, annual limitation;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the actual consummation of the acquisition of Twin Eagle (the "Twin Eagle Acquisition") and the expected timetable for completion thereof, the results, effects and benefits of the Twin Eagle Acquisition, future opportunities for the Company, other plans with respect to the Twin Eagle Acquisition, and the anticipated impact of the Twin Eagle Acquisition on the Company’s results of operations, financial position, growth opportunities and competitive position;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the integration of acquisitions, including the Twin Eagle Acquisition;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other factors that are described under Risk Factors in Item 1A of Part I of our Annual Report on Form 10-K filed with the SEC.</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We caution you not to place undue reliance on the forward-looking statements contained in this news release, which speak only as of the filing date, and we undertake no obligation and have no intention to update any forward-looking statement, except as required by law. We urge you to carefully review and consider the disclosures in this news release and our filings with the SEC that attempt to advise interested parties of the risks and factors that may affect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All forward-looking statements attributable to us are expressly qualified in their entirety by this cautionary statement.</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61950"/>
                <wp:effectExtent l="0" t="0" r="0" b="0"/>
                <wp:wrapNone/>
                <wp:docPr id="9" name="Frame7"/>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tbl>
      <w:tblPr>
        <w:tblW w:w="5955" w:type="dxa"/>
        <w:jc w:val="left"/>
        <w:tblInd w:w="0" w:type="dxa"/>
        <w:tblLayout w:type="fixed"/>
        <w:tblCellMar>
          <w:top w:w="28" w:type="dxa"/>
          <w:left w:w="28" w:type="dxa"/>
          <w:bottom w:w="28" w:type="dxa"/>
          <w:right w:w="28" w:type="dxa"/>
        </w:tblCellMar>
      </w:tblPr>
      <w:tblGrid>
        <w:gridCol w:w="1907"/>
        <w:gridCol w:w="1674"/>
        <w:gridCol w:w="2374"/>
      </w:tblGrid>
      <w:tr>
        <w:trPr/>
        <w:tc>
          <w:tcPr>
            <w:tcW w:w="1907"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00" w:after="283"/>
              <w:jc w:val="left"/>
              <w:rPr>
                <w:rFonts w:ascii="Arial;sans-serif" w:hAnsi="Arial;sans-serif"/>
                <w:b/>
                <w:color w:val="00386C"/>
                <w:sz w:val="20"/>
              </w:rPr>
            </w:pPr>
            <w:r>
              <w:rPr>
                <w:rFonts w:ascii="Arial;sans-serif" w:hAnsi="Arial;sans-serif"/>
                <w:b/>
                <w:color w:val="00386C"/>
                <w:sz w:val="20"/>
              </w:rPr>
              <w:t>CONDENSED CONSOLIDATED BALANCE SHEETS (unaudited)</w:t>
            </w:r>
          </w:p>
        </w:tc>
      </w:tr>
    </w:tbl>
    <w:tbl>
      <w:tblPr>
        <w:tblW w:w="10205" w:type="dxa"/>
        <w:jc w:val="left"/>
        <w:tblInd w:w="0" w:type="dxa"/>
        <w:tblLayout w:type="fixed"/>
        <w:tblCellMar>
          <w:top w:w="28" w:type="dxa"/>
          <w:left w:w="28" w:type="dxa"/>
          <w:bottom w:w="28" w:type="dxa"/>
          <w:right w:w="28" w:type="dxa"/>
        </w:tblCellMar>
      </w:tblPr>
      <w:tblGrid>
        <w:gridCol w:w="2569"/>
        <w:gridCol w:w="2050"/>
        <w:gridCol w:w="2059"/>
        <w:gridCol w:w="109"/>
        <w:gridCol w:w="109"/>
        <w:gridCol w:w="109"/>
        <w:gridCol w:w="248"/>
        <w:gridCol w:w="883"/>
        <w:gridCol w:w="128"/>
        <w:gridCol w:w="109"/>
        <w:gridCol w:w="109"/>
        <w:gridCol w:w="109"/>
        <w:gridCol w:w="304"/>
        <w:gridCol w:w="1085"/>
        <w:gridCol w:w="225"/>
      </w:tblGrid>
      <w:tr>
        <w:trPr/>
        <w:tc>
          <w:tcPr>
            <w:tcW w:w="2569"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2,916</w:t>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and oil properties, successful efforts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Proved natural gas and oil properties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28,092 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26,606 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Unproved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property and equipment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34,140 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32,593 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 depletion and amortization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(9,690)</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(8,278)</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held for sale,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24,450 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24,355 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28,030 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28,287 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2,901 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derivative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contract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8,620 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9,709 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Contingencies and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$0.01 par value, 450,000,000 shares authorized: 234,349,727 and 239,249,874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13,774 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13,746 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19,410 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18,578 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28,030 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61950"/>
                <wp:effectExtent l="0" t="0" r="0" b="0"/>
                <wp:wrapNone/>
                <wp:docPr id="10" name="Frame8"/>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tbl>
      <w:tblPr>
        <w:tblW w:w="7185" w:type="dxa"/>
        <w:jc w:val="left"/>
        <w:tblInd w:w="0" w:type="dxa"/>
        <w:tblLayout w:type="fixed"/>
        <w:tblCellMar>
          <w:top w:w="28" w:type="dxa"/>
          <w:left w:w="28" w:type="dxa"/>
          <w:bottom w:w="28" w:type="dxa"/>
          <w:right w:w="28" w:type="dxa"/>
        </w:tblCellMar>
      </w:tblPr>
      <w:tblGrid>
        <w:gridCol w:w="2301"/>
        <w:gridCol w:w="2020"/>
        <w:gridCol w:w="2864"/>
      </w:tblGrid>
      <w:tr>
        <w:trPr/>
        <w:tc>
          <w:tcPr>
            <w:tcW w:w="2301"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00" w:after="283"/>
              <w:jc w:val="left"/>
              <w:rPr>
                <w:rFonts w:ascii="Arial;sans-serif" w:hAnsi="Arial;sans-serif"/>
                <w:b/>
                <w:color w:val="00386C"/>
                <w:sz w:val="20"/>
              </w:rPr>
            </w:pPr>
            <w:r>
              <w:rPr>
                <w:rFonts w:ascii="Arial;sans-serif" w:hAnsi="Arial;sans-serif"/>
                <w:b/>
                <w:color w:val="00386C"/>
                <w:sz w:val="20"/>
              </w:rPr>
              <w:t>CONDENSED CONSOLIDATED STATEMENTS OF OPERATIONS (unaudited)</w:t>
            </w:r>
          </w:p>
        </w:tc>
      </w:tr>
    </w:tbl>
    <w:tbl>
      <w:tblPr>
        <w:tblW w:w="10205" w:type="dxa"/>
        <w:jc w:val="left"/>
        <w:tblInd w:w="0" w:type="dxa"/>
        <w:tblLayout w:type="fixed"/>
        <w:tblCellMar>
          <w:top w:w="28" w:type="dxa"/>
          <w:left w:w="28" w:type="dxa"/>
          <w:bottom w:w="28" w:type="dxa"/>
          <w:right w:w="28" w:type="dxa"/>
        </w:tblCellMar>
      </w:tblPr>
      <w:tblGrid>
        <w:gridCol w:w="1770"/>
        <w:gridCol w:w="1284"/>
        <w:gridCol w:w="1290"/>
        <w:gridCol w:w="109"/>
        <w:gridCol w:w="109"/>
        <w:gridCol w:w="109"/>
        <w:gridCol w:w="247"/>
        <w:gridCol w:w="758"/>
        <w:gridCol w:w="128"/>
        <w:gridCol w:w="128"/>
        <w:gridCol w:w="128"/>
        <w:gridCol w:w="128"/>
        <w:gridCol w:w="247"/>
        <w:gridCol w:w="758"/>
        <w:gridCol w:w="128"/>
        <w:gridCol w:w="109"/>
        <w:gridCol w:w="109"/>
        <w:gridCol w:w="109"/>
        <w:gridCol w:w="233"/>
        <w:gridCol w:w="716"/>
        <w:gridCol w:w="120"/>
        <w:gridCol w:w="120"/>
        <w:gridCol w:w="120"/>
        <w:gridCol w:w="120"/>
        <w:gridCol w:w="233"/>
        <w:gridCol w:w="716"/>
        <w:gridCol w:w="179"/>
      </w:tblGrid>
      <w:tr>
        <w:trPr/>
        <w:tc>
          <w:tcPr>
            <w:tcW w:w="177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 and 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oil and NGL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1,698 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on sales of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Gathering, processing and transportation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ad valorem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Separation and other termination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2,299 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2,421 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5,165 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4,885 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income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purchases, exchanges or extinguishments of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common share: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common shares outstanding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238,224 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237,973 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239,058 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236,213 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238,357</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239,559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240,628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61950"/>
                <wp:effectExtent l="0" t="0" r="0" b="0"/>
                <wp:wrapNone/>
                <wp:docPr id="11" name="Frame9"/>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tbl>
      <w:tblPr>
        <w:tblW w:w="7199" w:type="dxa"/>
        <w:jc w:val="left"/>
        <w:tblInd w:w="0" w:type="dxa"/>
        <w:tblLayout w:type="fixed"/>
        <w:tblCellMar>
          <w:top w:w="28" w:type="dxa"/>
          <w:left w:w="28" w:type="dxa"/>
          <w:bottom w:w="28" w:type="dxa"/>
          <w:right w:w="28" w:type="dxa"/>
        </w:tblCellMar>
      </w:tblPr>
      <w:tblGrid>
        <w:gridCol w:w="2302"/>
        <w:gridCol w:w="2025"/>
        <w:gridCol w:w="2872"/>
      </w:tblGrid>
      <w:tr>
        <w:trPr/>
        <w:tc>
          <w:tcPr>
            <w:tcW w:w="2302"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00" w:after="283"/>
              <w:ind w:left="0" w:right="0" w:hanging="360"/>
              <w:jc w:val="left"/>
              <w:rPr>
                <w:rFonts w:ascii="Arial;sans-serif" w:hAnsi="Arial;sans-serif"/>
                <w:b/>
                <w:color w:val="00386C"/>
                <w:sz w:val="20"/>
              </w:rPr>
            </w:pPr>
            <w:r>
              <w:rPr>
                <w:rFonts w:ascii="Arial;sans-serif" w:hAnsi="Arial;sans-serif"/>
                <w:b/>
                <w:color w:val="00386C"/>
                <w:sz w:val="20"/>
              </w:rPr>
              <w:t>CONDENSED CONSOLIDATED STATEMENTS OF CASH FLOWS (unaudited)</w:t>
            </w:r>
          </w:p>
        </w:tc>
      </w:tr>
    </w:tbl>
    <w:tbl>
      <w:tblPr>
        <w:tblW w:w="10205" w:type="dxa"/>
        <w:jc w:val="left"/>
        <w:tblInd w:w="0" w:type="dxa"/>
        <w:tblLayout w:type="fixed"/>
        <w:tblCellMar>
          <w:top w:w="28" w:type="dxa"/>
          <w:left w:w="28" w:type="dxa"/>
          <w:bottom w:w="28" w:type="dxa"/>
          <w:right w:w="28" w:type="dxa"/>
        </w:tblCellMar>
      </w:tblPr>
      <w:tblGrid>
        <w:gridCol w:w="1908"/>
        <w:gridCol w:w="1470"/>
        <w:gridCol w:w="1473"/>
        <w:gridCol w:w="109"/>
        <w:gridCol w:w="109"/>
        <w:gridCol w:w="109"/>
        <w:gridCol w:w="263"/>
        <w:gridCol w:w="583"/>
        <w:gridCol w:w="136"/>
        <w:gridCol w:w="136"/>
        <w:gridCol w:w="136"/>
        <w:gridCol w:w="136"/>
        <w:gridCol w:w="263"/>
        <w:gridCol w:w="583"/>
        <w:gridCol w:w="136"/>
        <w:gridCol w:w="109"/>
        <w:gridCol w:w="109"/>
        <w:gridCol w:w="109"/>
        <w:gridCol w:w="234"/>
        <w:gridCol w:w="683"/>
        <w:gridCol w:w="120"/>
        <w:gridCol w:w="120"/>
        <w:gridCol w:w="120"/>
        <w:gridCol w:w="120"/>
        <w:gridCol w:w="234"/>
        <w:gridCol w:w="517"/>
        <w:gridCol w:w="180"/>
      </w:tblGrid>
      <w:tr>
        <w:trPr/>
        <w:tc>
          <w:tcPr>
            <w:tcW w:w="1908"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receipts (payments) on derivative settlements,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sales of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purchases, exchanges or extinguishments of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w:t>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acquisitions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Receipts of deferred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to investments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from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divestitures of property and equipment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credit facility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warrant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to repurchase and retire common stock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to purchase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common stock dividends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w:t>
            </w:r>
          </w:p>
        </w:tc>
        <w:tc>
          <w:tcPr>
            <w:tcW w:w="1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w:t>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2,305</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w:t>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end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1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806 </w:t>
            </w:r>
          </w:p>
        </w:tc>
        <w:tc>
          <w:tcPr>
            <w:tcW w:w="1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806 </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cash equivalents and restricted cash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1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806 </w:t>
            </w:r>
          </w:p>
        </w:tc>
        <w:tc>
          <w:tcPr>
            <w:tcW w:w="1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1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806 </w:t>
            </w:r>
          </w:p>
        </w:tc>
        <w:tc>
          <w:tcPr>
            <w:tcW w:w="1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61950"/>
                <wp:effectExtent l="0" t="0" r="0" b="0"/>
                <wp:wrapNone/>
                <wp:docPr id="12" name="Frame10"/>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tbl>
      <w:tblPr>
        <w:tblW w:w="8399" w:type="dxa"/>
        <w:jc w:val="left"/>
        <w:tblInd w:w="0" w:type="dxa"/>
        <w:tblLayout w:type="fixed"/>
        <w:tblCellMar>
          <w:top w:w="28" w:type="dxa"/>
          <w:left w:w="28" w:type="dxa"/>
          <w:bottom w:w="28" w:type="dxa"/>
          <w:right w:w="28" w:type="dxa"/>
        </w:tblCellMar>
      </w:tblPr>
      <w:tblGrid>
        <w:gridCol w:w="2688"/>
        <w:gridCol w:w="2365"/>
        <w:gridCol w:w="3346"/>
      </w:tblGrid>
      <w:tr>
        <w:trPr/>
        <w:tc>
          <w:tcPr>
            <w:tcW w:w="2688"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386C"/>
                <w:sz w:val="20"/>
              </w:rPr>
            </w:pPr>
            <w:r>
              <w:rPr>
                <w:rFonts w:ascii="Arial;sans-serif" w:hAnsi="Arial;sans-serif"/>
                <w:b/>
                <w:color w:val="00386C"/>
                <w:sz w:val="20"/>
              </w:rPr>
              <w:t>NATURAL GAS, OIL AND NGL PRODUCTION AND AVERAGE SALES PRICES (unaudited)</w:t>
            </w:r>
          </w:p>
        </w:tc>
      </w:tr>
    </w:tbl>
    <w:tbl>
      <w:tblPr>
        <w:tblW w:w="10205" w:type="dxa"/>
        <w:jc w:val="left"/>
        <w:tblInd w:w="0" w:type="dxa"/>
        <w:tblLayout w:type="fixed"/>
        <w:tblCellMar>
          <w:top w:w="28" w:type="dxa"/>
          <w:left w:w="28" w:type="dxa"/>
          <w:bottom w:w="28" w:type="dxa"/>
          <w:right w:w="28" w:type="dxa"/>
        </w:tblCellMar>
      </w:tblPr>
      <w:tblGrid>
        <w:gridCol w:w="461"/>
        <w:gridCol w:w="405"/>
        <w:gridCol w:w="407"/>
        <w:gridCol w:w="109"/>
        <w:gridCol w:w="109"/>
        <w:gridCol w:w="109"/>
        <w:gridCol w:w="446"/>
        <w:gridCol w:w="209"/>
        <w:gridCol w:w="210"/>
        <w:gridCol w:w="109"/>
        <w:gridCol w:w="109"/>
        <w:gridCol w:w="109"/>
        <w:gridCol w:w="270"/>
        <w:gridCol w:w="271"/>
        <w:gridCol w:w="201"/>
        <w:gridCol w:w="109"/>
        <w:gridCol w:w="109"/>
        <w:gridCol w:w="109"/>
        <w:gridCol w:w="220"/>
        <w:gridCol w:w="204"/>
        <w:gridCol w:w="205"/>
        <w:gridCol w:w="109"/>
        <w:gridCol w:w="109"/>
        <w:gridCol w:w="109"/>
        <w:gridCol w:w="323"/>
        <w:gridCol w:w="323"/>
        <w:gridCol w:w="196"/>
        <w:gridCol w:w="109"/>
        <w:gridCol w:w="109"/>
        <w:gridCol w:w="109"/>
        <w:gridCol w:w="220"/>
        <w:gridCol w:w="204"/>
        <w:gridCol w:w="205"/>
        <w:gridCol w:w="109"/>
        <w:gridCol w:w="109"/>
        <w:gridCol w:w="109"/>
        <w:gridCol w:w="323"/>
        <w:gridCol w:w="323"/>
        <w:gridCol w:w="196"/>
        <w:gridCol w:w="109"/>
        <w:gridCol w:w="109"/>
        <w:gridCol w:w="109"/>
        <w:gridCol w:w="413"/>
        <w:gridCol w:w="244"/>
        <w:gridCol w:w="245"/>
        <w:gridCol w:w="109"/>
        <w:gridCol w:w="109"/>
        <w:gridCol w:w="109"/>
        <w:gridCol w:w="270"/>
        <w:gridCol w:w="271"/>
        <w:gridCol w:w="32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4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2026</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MMcfe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3,187 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3,187 </w:t>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3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2,625 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84.71 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26.26 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1,670 </w:t>
            </w:r>
          </w:p>
        </w:tc>
        <w:tc>
          <w:tcPr>
            <w:tcW w:w="2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3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6,896 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NYMEX Price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92.79 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Realized Price (including realized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461"/>
        <w:gridCol w:w="405"/>
        <w:gridCol w:w="407"/>
        <w:gridCol w:w="109"/>
        <w:gridCol w:w="109"/>
        <w:gridCol w:w="109"/>
        <w:gridCol w:w="446"/>
        <w:gridCol w:w="209"/>
        <w:gridCol w:w="210"/>
        <w:gridCol w:w="109"/>
        <w:gridCol w:w="109"/>
        <w:gridCol w:w="109"/>
        <w:gridCol w:w="270"/>
        <w:gridCol w:w="271"/>
        <w:gridCol w:w="201"/>
        <w:gridCol w:w="109"/>
        <w:gridCol w:w="109"/>
        <w:gridCol w:w="109"/>
        <w:gridCol w:w="220"/>
        <w:gridCol w:w="204"/>
        <w:gridCol w:w="205"/>
        <w:gridCol w:w="109"/>
        <w:gridCol w:w="109"/>
        <w:gridCol w:w="109"/>
        <w:gridCol w:w="323"/>
        <w:gridCol w:w="323"/>
        <w:gridCol w:w="196"/>
        <w:gridCol w:w="109"/>
        <w:gridCol w:w="109"/>
        <w:gridCol w:w="109"/>
        <w:gridCol w:w="220"/>
        <w:gridCol w:w="204"/>
        <w:gridCol w:w="205"/>
        <w:gridCol w:w="109"/>
        <w:gridCol w:w="109"/>
        <w:gridCol w:w="109"/>
        <w:gridCol w:w="323"/>
        <w:gridCol w:w="323"/>
        <w:gridCol w:w="196"/>
        <w:gridCol w:w="109"/>
        <w:gridCol w:w="109"/>
        <w:gridCol w:w="109"/>
        <w:gridCol w:w="413"/>
        <w:gridCol w:w="244"/>
        <w:gridCol w:w="245"/>
        <w:gridCol w:w="109"/>
        <w:gridCol w:w="109"/>
        <w:gridCol w:w="109"/>
        <w:gridCol w:w="270"/>
        <w:gridCol w:w="271"/>
        <w:gridCol w:w="32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4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2025</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MMcfe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2,978 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2,978 </w:t>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3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54.47 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23.19 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1,562 </w:t>
            </w:r>
          </w:p>
        </w:tc>
        <w:tc>
          <w:tcPr>
            <w:tcW w:w="2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3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6,596 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NYMEX Price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63.74 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Realized Price (including realized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461"/>
        <w:gridCol w:w="405"/>
        <w:gridCol w:w="407"/>
        <w:gridCol w:w="109"/>
        <w:gridCol w:w="109"/>
        <w:gridCol w:w="109"/>
        <w:gridCol w:w="446"/>
        <w:gridCol w:w="209"/>
        <w:gridCol w:w="210"/>
        <w:gridCol w:w="109"/>
        <w:gridCol w:w="109"/>
        <w:gridCol w:w="109"/>
        <w:gridCol w:w="270"/>
        <w:gridCol w:w="271"/>
        <w:gridCol w:w="201"/>
        <w:gridCol w:w="109"/>
        <w:gridCol w:w="109"/>
        <w:gridCol w:w="109"/>
        <w:gridCol w:w="220"/>
        <w:gridCol w:w="204"/>
        <w:gridCol w:w="205"/>
        <w:gridCol w:w="109"/>
        <w:gridCol w:w="109"/>
        <w:gridCol w:w="109"/>
        <w:gridCol w:w="323"/>
        <w:gridCol w:w="323"/>
        <w:gridCol w:w="196"/>
        <w:gridCol w:w="109"/>
        <w:gridCol w:w="109"/>
        <w:gridCol w:w="109"/>
        <w:gridCol w:w="220"/>
        <w:gridCol w:w="204"/>
        <w:gridCol w:w="205"/>
        <w:gridCol w:w="109"/>
        <w:gridCol w:w="109"/>
        <w:gridCol w:w="109"/>
        <w:gridCol w:w="323"/>
        <w:gridCol w:w="323"/>
        <w:gridCol w:w="196"/>
        <w:gridCol w:w="109"/>
        <w:gridCol w:w="109"/>
        <w:gridCol w:w="109"/>
        <w:gridCol w:w="413"/>
        <w:gridCol w:w="244"/>
        <w:gridCol w:w="245"/>
        <w:gridCol w:w="109"/>
        <w:gridCol w:w="109"/>
        <w:gridCol w:w="109"/>
        <w:gridCol w:w="270"/>
        <w:gridCol w:w="271"/>
        <w:gridCol w:w="32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4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2026</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MMcfe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3,167 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3,167 </w:t>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3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2,705 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74.47 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25.90 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2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3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6,905 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7,459 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NYMEX Price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82.36 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Realized Price (including realized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61950"/>
                <wp:effectExtent l="0" t="0" r="0" b="0"/>
                <wp:wrapNone/>
                <wp:docPr id="13" name="Frame11"/>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61"/>
        <w:gridCol w:w="405"/>
        <w:gridCol w:w="407"/>
        <w:gridCol w:w="109"/>
        <w:gridCol w:w="109"/>
        <w:gridCol w:w="109"/>
        <w:gridCol w:w="446"/>
        <w:gridCol w:w="209"/>
        <w:gridCol w:w="210"/>
        <w:gridCol w:w="109"/>
        <w:gridCol w:w="109"/>
        <w:gridCol w:w="109"/>
        <w:gridCol w:w="270"/>
        <w:gridCol w:w="271"/>
        <w:gridCol w:w="201"/>
        <w:gridCol w:w="109"/>
        <w:gridCol w:w="109"/>
        <w:gridCol w:w="109"/>
        <w:gridCol w:w="220"/>
        <w:gridCol w:w="204"/>
        <w:gridCol w:w="205"/>
        <w:gridCol w:w="109"/>
        <w:gridCol w:w="109"/>
        <w:gridCol w:w="109"/>
        <w:gridCol w:w="323"/>
        <w:gridCol w:w="323"/>
        <w:gridCol w:w="196"/>
        <w:gridCol w:w="109"/>
        <w:gridCol w:w="109"/>
        <w:gridCol w:w="109"/>
        <w:gridCol w:w="220"/>
        <w:gridCol w:w="204"/>
        <w:gridCol w:w="205"/>
        <w:gridCol w:w="109"/>
        <w:gridCol w:w="109"/>
        <w:gridCol w:w="109"/>
        <w:gridCol w:w="323"/>
        <w:gridCol w:w="323"/>
        <w:gridCol w:w="196"/>
        <w:gridCol w:w="109"/>
        <w:gridCol w:w="109"/>
        <w:gridCol w:w="109"/>
        <w:gridCol w:w="413"/>
        <w:gridCol w:w="244"/>
        <w:gridCol w:w="245"/>
        <w:gridCol w:w="109"/>
        <w:gridCol w:w="109"/>
        <w:gridCol w:w="109"/>
        <w:gridCol w:w="270"/>
        <w:gridCol w:w="271"/>
        <w:gridCol w:w="32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4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2025</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MMcfe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2,798 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2,798 </w:t>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3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58.34 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26.66 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1,533 </w:t>
            </w:r>
          </w:p>
        </w:tc>
        <w:tc>
          <w:tcPr>
            <w:tcW w:w="2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3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6,426 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6,996 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NYMEX Price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67.58 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Realized Price (including realized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09" w:type="dxa"/>
        <w:jc w:val="left"/>
        <w:tblInd w:w="0" w:type="dxa"/>
        <w:tblLayout w:type="fixed"/>
        <w:tblCellMar>
          <w:top w:w="28" w:type="dxa"/>
          <w:left w:w="28" w:type="dxa"/>
          <w:bottom w:w="28" w:type="dxa"/>
          <w:right w:w="28" w:type="dxa"/>
        </w:tblCellMar>
      </w:tblPr>
      <w:tblGrid>
        <w:gridCol w:w="1508"/>
        <w:gridCol w:w="1324"/>
        <w:gridCol w:w="1877"/>
      </w:tblGrid>
      <w:tr>
        <w:trPr/>
        <w:tc>
          <w:tcPr>
            <w:tcW w:w="150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CAPITAL EXPENDITURES ACCRUED (unaudited)</w:t>
            </w:r>
          </w:p>
        </w:tc>
      </w:tr>
    </w:tbl>
    <w:tbl>
      <w:tblPr>
        <w:tblW w:w="10205" w:type="dxa"/>
        <w:jc w:val="left"/>
        <w:tblInd w:w="0" w:type="dxa"/>
        <w:tblLayout w:type="fixed"/>
        <w:tblCellMar>
          <w:top w:w="28" w:type="dxa"/>
          <w:left w:w="28" w:type="dxa"/>
          <w:bottom w:w="28" w:type="dxa"/>
          <w:right w:w="28" w:type="dxa"/>
        </w:tblCellMar>
      </w:tblPr>
      <w:tblGrid>
        <w:gridCol w:w="1483"/>
        <w:gridCol w:w="1300"/>
        <w:gridCol w:w="1306"/>
        <w:gridCol w:w="109"/>
        <w:gridCol w:w="109"/>
        <w:gridCol w:w="109"/>
        <w:gridCol w:w="306"/>
        <w:gridCol w:w="698"/>
        <w:gridCol w:w="157"/>
        <w:gridCol w:w="157"/>
        <w:gridCol w:w="157"/>
        <w:gridCol w:w="157"/>
        <w:gridCol w:w="306"/>
        <w:gridCol w:w="698"/>
        <w:gridCol w:w="157"/>
        <w:gridCol w:w="109"/>
        <w:gridCol w:w="109"/>
        <w:gridCol w:w="109"/>
        <w:gridCol w:w="244"/>
        <w:gridCol w:w="747"/>
        <w:gridCol w:w="125"/>
        <w:gridCol w:w="125"/>
        <w:gridCol w:w="125"/>
        <w:gridCol w:w="125"/>
        <w:gridCol w:w="244"/>
        <w:gridCol w:w="747"/>
        <w:gridCol w:w="187"/>
      </w:tblGrid>
      <w:tr>
        <w:trPr/>
        <w:tc>
          <w:tcPr>
            <w:tcW w:w="148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Drilling and completion capital expenditures: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drilling and completion capital expenditures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1,157 </w:t>
            </w:r>
          </w:p>
        </w:tc>
        <w:tc>
          <w:tcPr>
            <w:tcW w:w="18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Non-drilling and completion - field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Non-drilling and completion - corporate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61950"/>
                <wp:effectExtent l="0" t="0" r="0" b="0"/>
                <wp:wrapNone/>
                <wp:docPr id="14" name="Frame12"/>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65" w:type="dxa"/>
        <w:jc w:val="left"/>
        <w:tblInd w:w="0" w:type="dxa"/>
        <w:tblLayout w:type="fixed"/>
        <w:tblCellMar>
          <w:top w:w="28" w:type="dxa"/>
          <w:left w:w="28" w:type="dxa"/>
          <w:bottom w:w="28" w:type="dxa"/>
          <w:right w:w="28" w:type="dxa"/>
        </w:tblCellMar>
      </w:tblPr>
      <w:tblGrid>
        <w:gridCol w:w="1108"/>
        <w:gridCol w:w="975"/>
        <w:gridCol w:w="1382"/>
      </w:tblGrid>
      <w:tr>
        <w:trPr/>
        <w:tc>
          <w:tcPr>
            <w:tcW w:w="110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NON-GAAP FINANCIAL MEASURES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a supplement to the financial results prepared in accordance with U.S. GAAP, Expand Energy’s quarterly earnings releases contain certain financial measures that are not prepared or presented in accordance with U.S. GAAP. These non-GAAP financial measures include Adjusted Net Income, Adjusted Diluted Earnings Per Common Share, Adjusted EBITDAX, Free Cash Flow, Adjusted Free Cash Flow and Net Debt. A reconciliation of each financial measure to its most directly comparable GAAP financial measure is included in the tables below. Management believes these adjusted financial measures are a meaningful adjunct to earnings and cash flows calculated in accordance with GAAP because (a) management uses these financial measures to evaluate the Company’s trends and performance, (b) these financial measures are comparable to estimates provided by securities analysts, and (c) items excluded generally are one-time items or items whose timing or amount cannot be reasonably estimated. Accordingly, any guidance provided by the Company generally excludes information regarding these types of items.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Expand Energy's definitions of each non-GAAP measure presented herein are provided below. Because not all companies or securities analysts use identical calculations, Expand Energy’s non-GAAP measures may not be comparable to similarly titled measures of other companies or securities analysts.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Adjusted Net Income: Adjusted Net Income is defined as net income (loss) adjusted to exclude unrealized (gains) losses on derivatives, separation and other termination costs, (gains) losses on sales of assets, and certain items management believes affect the comparability of operating results, less a tax effect using applicable rates. Expand Energy believes that Adjusted Net Income facilitates comparisons of the Company's period-over-period performance, by excluding the impact of items that, in the opinion of management, do not reflect Expand Energy's core operating performance. Adjusted Net Income should not be considered an alternative to, or more meaningful than, net income (loss) as presented in accordance with GAAP.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Adjusted Diluted Earnings Per Common Share: Adjusted Diluted Earnings Per Common Share is defined as diluted earnings (loss) per common share adjusted to exclude the per diluted share amounts attributed to unrealized (gains) losses on derivatives, separation and other termination costs, (gains) losses on sales of assets, and certain items management believes affect the comparability of operating results, less a tax effect using applicable rates. Expand Energy believes that Adjusted Diluted Earnings Per Common Share facilitates comparisons of the Company's period-over-period performance, by excluding the impact of items that, in the opinion of management, do not reflect Expand Energy's core operating performance. Adjusted Diluted Earnings Per Common Share should not be considered an alternative to, or more meaningful than, earnings (loss) per common share as presented in accordance with GAAP.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Adjusted EBITDAX: Adjusted EBITDAX is defined as net income (loss) before interest expense, income tax expense (benefit), depreciation, depletion and amortization expense, exploration expense, unrealized (gains) losses on derivatives, separation and other termination costs, (gains) losses on sales of assets, and certain items management believes affect the comparability of operating results. Adjusted EBITDAX is presented as it provides investors an indication of the Company's ability to internally fund exploration and development activities and service or incur debt. Adjusted EBITDAX should not be considered an alternative to, or more meaningful than, net income (loss) as presented in accordance with GAAP.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Free Cash Flow: Free Cash Flow is defined as net cash provided by operating activities less cash capital expenditures. Free Cash Flow is a liquidity measure that provides investors additional information regarding the Company's ability to service or incur debt and return cash to shareholders. Free Cash Flow should not be considered an alternative to, or more meaningful than, net cash provided by (used in) operating activities, or any other measure of liquidity presented in accordance with GAAP.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Adjusted Free Cash Flow: Adjusted Free Cash Flow is defined as net cash provided by operating activities less cash capital expenditures and cash contributions to investments, adjusted to exclude certain items management believes affect the comparability of operating results. Adjusted Free Cash Flow is a liquidity measure that provides investors additional information regarding the Company's ability to service or incur debt and return cash to shareholders. Adjusted Free Cash Flow should not be considered an alternative to, or more meaningful than, net cash provided by (used in) operating activities, or any other measure of liquidity presented in accordance with GAAP.</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Net Debt: Net Debt is defined as GAAP total debt excluding premiums, discounts, and deferred issuance costs less cash and cash equivalents. Net Debt is useful to investors as a widely understood measure of liquidity and leverage, but this measure should not be considered as an alternative to, or more meaningful than, total debt presented in accordance with GAAP.</w:t>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61950"/>
                <wp:effectExtent l="0" t="0" r="0" b="0"/>
                <wp:wrapNone/>
                <wp:docPr id="15" name="Frame13"/>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300" w:after="283"/>
        <w:jc w:val="both"/>
        <w:rPr>
          <w:rFonts w:ascii="Arial;sans-serif" w:hAnsi="Arial;sans-serif"/>
          <w:b w:val="false"/>
          <w:color w:val="000000"/>
          <w:sz w:val="18"/>
        </w:rPr>
      </w:pPr>
      <w:r>
        <w:rPr>
          <w:rFonts w:ascii="Arial;sans-serif" w:hAnsi="Arial;sans-serif"/>
          <w:b w:val="false"/>
          <w:color w:val="000000"/>
          <w:sz w:val="18"/>
        </w:rPr>
        <w:t>Net debt to Adjusted EBITDAX: Net debt to Adjusted EBITDAX is a non-GAAP measure and is defined as Net Debt divided by an annualized Adjusted EBITDAX measure on a trailing twelve month calculation. Management uses Net Debt to Adjusted EBITDAX to assess liquidity and leverage. The Company believes this measure is useful to investors because it provides supplemental information to investors regarding its ability internally fund exploration and development activities and service or incur debt. However, this measure should not be considered as an alternative to, or more meaningful than, total debt or net income (loss) as presented in accordance with GAAP.</w:t>
      </w: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61950"/>
                <wp:effectExtent l="0" t="0" r="0" b="0"/>
                <wp:wrapNone/>
                <wp:docPr id="16" name="Frame14"/>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95" w:type="dxa"/>
        <w:jc w:val="left"/>
        <w:tblInd w:w="0" w:type="dxa"/>
        <w:tblLayout w:type="fixed"/>
        <w:tblCellMar>
          <w:top w:w="28" w:type="dxa"/>
          <w:left w:w="28" w:type="dxa"/>
          <w:bottom w:w="28" w:type="dxa"/>
          <w:right w:w="28" w:type="dxa"/>
        </w:tblCellMar>
      </w:tblPr>
      <w:tblGrid>
        <w:gridCol w:w="2559"/>
        <w:gridCol w:w="2249"/>
        <w:gridCol w:w="3187"/>
      </w:tblGrid>
      <w:tr>
        <w:trPr/>
        <w:tc>
          <w:tcPr>
            <w:tcW w:w="255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3187" w:type="dxa"/>
            <w:tcBorders/>
            <w:vAlign w:val="center"/>
          </w:tcPr>
          <w:p>
            <w:pPr>
              <w:pStyle w:val="TableContents"/>
              <w:bidi w:val="0"/>
              <w:spacing w:before="0" w:after="283"/>
              <w:jc w:val="left"/>
              <w:rPr>
                <w:sz w:val="4"/>
                <w:szCs w:val="4"/>
              </w:rPr>
            </w:pPr>
            <w:r>
              <w:rPr>
                <w:sz w:val="4"/>
                <w:szCs w:val="4"/>
              </w:rPr>
            </w:r>
          </w:p>
        </w:tc>
      </w:tr>
      <w:tr>
        <w:trPr/>
        <w:tc>
          <w:tcPr>
            <w:tcW w:w="799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386C"/>
                <w:sz w:val="20"/>
              </w:rPr>
            </w:pPr>
            <w:r>
              <w:rPr>
                <w:rFonts w:ascii="Arial;sans-serif" w:hAnsi="Arial;sans-serif"/>
                <w:b/>
                <w:color w:val="00386C"/>
                <w:sz w:val="20"/>
              </w:rPr>
              <w:t>RECONCILIATION OF NET INCOME (LOSS) TO ADJUSTED NET INCOME (unaudited)</w:t>
            </w:r>
          </w:p>
        </w:tc>
      </w:tr>
    </w:tbl>
    <w:tbl>
      <w:tblPr>
        <w:tblW w:w="10205" w:type="dxa"/>
        <w:jc w:val="left"/>
        <w:tblInd w:w="0" w:type="dxa"/>
        <w:tblLayout w:type="fixed"/>
        <w:tblCellMar>
          <w:top w:w="28" w:type="dxa"/>
          <w:left w:w="28" w:type="dxa"/>
          <w:bottom w:w="28" w:type="dxa"/>
          <w:right w:w="28" w:type="dxa"/>
        </w:tblCellMar>
      </w:tblPr>
      <w:tblGrid>
        <w:gridCol w:w="1701"/>
        <w:gridCol w:w="1446"/>
        <w:gridCol w:w="1445"/>
        <w:gridCol w:w="109"/>
        <w:gridCol w:w="109"/>
        <w:gridCol w:w="109"/>
        <w:gridCol w:w="283"/>
        <w:gridCol w:w="626"/>
        <w:gridCol w:w="145"/>
        <w:gridCol w:w="145"/>
        <w:gridCol w:w="145"/>
        <w:gridCol w:w="145"/>
        <w:gridCol w:w="283"/>
        <w:gridCol w:w="626"/>
        <w:gridCol w:w="145"/>
        <w:gridCol w:w="109"/>
        <w:gridCol w:w="109"/>
        <w:gridCol w:w="109"/>
        <w:gridCol w:w="242"/>
        <w:gridCol w:w="708"/>
        <w:gridCol w:w="125"/>
        <w:gridCol w:w="125"/>
        <w:gridCol w:w="125"/>
        <w:gridCol w:w="125"/>
        <w:gridCol w:w="242"/>
        <w:gridCol w:w="536"/>
        <w:gridCol w:w="188"/>
      </w:tblGrid>
      <w:tr>
        <w:trPr/>
        <w:tc>
          <w:tcPr>
            <w:tcW w:w="170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5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18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 losses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Separation and other termination costs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sales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purchases, exchanges or extinguishments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amortization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Tax effect of adjustments</w:t>
            </w:r>
            <w:r>
              <w:rPr>
                <w:rFonts w:ascii="Arial;sans-serif" w:hAnsi="Arial;sans-serif"/>
                <w:b w:val="false"/>
                <w:color w:val="000000"/>
                <w:sz w:val="12"/>
              </w:rPr>
              <w:t>(a)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net income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Arial;sans-serif" w:hAnsi="Arial;sans-serif"/>
                <w:b w:val="false"/>
                <w:color w:val="000000"/>
                <w:sz w:val="18"/>
              </w:rPr>
            </w:pPr>
            <w:r>
              <w:rPr>
                <w:rFonts w:ascii="Arial;sans-serif" w:hAnsi="Arial;sans-serif"/>
                <w:b w:val="false"/>
                <w:color w:val="000000"/>
                <w:sz w:val="18"/>
              </w:rPr>
              <w:t>The three- and six-month periods ended June 30, 2026 and June 30, 2025 include a tax effect attributed to the reconciling adjustments using a statutory rate of 22%.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6"/>
        <w:gridCol w:w="2870"/>
        <w:gridCol w:w="4069"/>
      </w:tblGrid>
      <w:tr>
        <w:trPr/>
        <w:tc>
          <w:tcPr>
            <w:tcW w:w="3266"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386C"/>
                <w:sz w:val="20"/>
              </w:rPr>
            </w:pPr>
            <w:r>
              <w:rPr>
                <w:rFonts w:ascii="Arial;sans-serif" w:hAnsi="Arial;sans-serif"/>
                <w:b/>
                <w:color w:val="00386C"/>
                <w:sz w:val="20"/>
              </w:rPr>
              <w:t>RECONCILIATION OF EARNINGS (LOSS) PER COMMON SHARE TO ADJUSTED DILUTED EARNINGS PER COMMON SHARE (unaudited)</w:t>
            </w:r>
          </w:p>
        </w:tc>
      </w:tr>
    </w:tbl>
    <w:tbl>
      <w:tblPr>
        <w:tblW w:w="10205" w:type="dxa"/>
        <w:jc w:val="left"/>
        <w:tblInd w:w="0" w:type="dxa"/>
        <w:tblLayout w:type="fixed"/>
        <w:tblCellMar>
          <w:top w:w="28" w:type="dxa"/>
          <w:left w:w="28" w:type="dxa"/>
          <w:bottom w:w="28" w:type="dxa"/>
          <w:right w:w="28" w:type="dxa"/>
        </w:tblCellMar>
      </w:tblPr>
      <w:tblGrid>
        <w:gridCol w:w="1711"/>
        <w:gridCol w:w="1441"/>
        <w:gridCol w:w="1462"/>
        <w:gridCol w:w="109"/>
        <w:gridCol w:w="109"/>
        <w:gridCol w:w="109"/>
        <w:gridCol w:w="269"/>
        <w:gridCol w:w="654"/>
        <w:gridCol w:w="138"/>
        <w:gridCol w:w="138"/>
        <w:gridCol w:w="138"/>
        <w:gridCol w:w="138"/>
        <w:gridCol w:w="269"/>
        <w:gridCol w:w="654"/>
        <w:gridCol w:w="138"/>
        <w:gridCol w:w="109"/>
        <w:gridCol w:w="109"/>
        <w:gridCol w:w="109"/>
        <w:gridCol w:w="247"/>
        <w:gridCol w:w="601"/>
        <w:gridCol w:w="128"/>
        <w:gridCol w:w="128"/>
        <w:gridCol w:w="128"/>
        <w:gridCol w:w="128"/>
        <w:gridCol w:w="247"/>
        <w:gridCol w:w="601"/>
        <w:gridCol w:w="193"/>
      </w:tblGrid>
      <w:tr>
        <w:trPr/>
        <w:tc>
          <w:tcPr>
            <w:tcW w:w="171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per common share (GAAP)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1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common share (GAAP)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 losses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Separation and other termination costs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sales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0.24 </w:t>
            </w:r>
          </w:p>
        </w:tc>
        <w:tc>
          <w:tcPr>
            <w:tcW w:w="1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purchases, exchanges or extinguishments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amortization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w:t>
            </w:r>
          </w:p>
        </w:tc>
        <w:tc>
          <w:tcPr>
            <w:tcW w:w="1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Tax effect of adjustments</w:t>
            </w:r>
            <w:r>
              <w:rPr>
                <w:rFonts w:ascii="Arial;sans-serif" w:hAnsi="Arial;sans-serif"/>
                <w:b w:val="false"/>
                <w:color w:val="000000"/>
                <w:sz w:val="12"/>
              </w:rPr>
              <w:t>(a)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0.81 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diluted earnings per common share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Arial;sans-serif" w:hAnsi="Arial;sans-serif"/>
                <w:b w:val="false"/>
                <w:color w:val="000000"/>
                <w:sz w:val="18"/>
              </w:rPr>
            </w:pPr>
            <w:r>
              <w:rPr>
                <w:rFonts w:ascii="Arial;sans-serif" w:hAnsi="Arial;sans-serif"/>
                <w:b w:val="false"/>
                <w:color w:val="000000"/>
                <w:sz w:val="18"/>
              </w:rPr>
              <w:t>The three- and six-month periods ended June 30, 2026 and June 30, 2025 include a tax effect attributed to the reconciling adjustments using a statutory rate of 22%.</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61950"/>
                <wp:effectExtent l="0" t="0" r="0" b="0"/>
                <wp:wrapNone/>
                <wp:docPr id="17" name="Frame15"/>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620" w:type="dxa"/>
        <w:jc w:val="left"/>
        <w:tblInd w:w="0" w:type="dxa"/>
        <w:tblLayout w:type="fixed"/>
        <w:tblCellMar>
          <w:top w:w="28" w:type="dxa"/>
          <w:left w:w="28" w:type="dxa"/>
          <w:bottom w:w="28" w:type="dxa"/>
          <w:right w:w="28" w:type="dxa"/>
        </w:tblCellMar>
      </w:tblPr>
      <w:tblGrid>
        <w:gridCol w:w="2439"/>
        <w:gridCol w:w="2143"/>
        <w:gridCol w:w="3038"/>
      </w:tblGrid>
      <w:tr>
        <w:trPr/>
        <w:tc>
          <w:tcPr>
            <w:tcW w:w="2439"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20"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00" w:after="283"/>
              <w:jc w:val="left"/>
              <w:rPr>
                <w:rFonts w:ascii="Arial;sans-serif" w:hAnsi="Arial;sans-serif"/>
                <w:b/>
                <w:color w:val="00386C"/>
                <w:sz w:val="20"/>
              </w:rPr>
            </w:pPr>
            <w:r>
              <w:rPr>
                <w:rFonts w:ascii="Arial;sans-serif" w:hAnsi="Arial;sans-serif"/>
                <w:b/>
                <w:color w:val="00386C"/>
                <w:sz w:val="20"/>
              </w:rPr>
              <w:t>RECONCILIATION OF NET INCOME (LOSS) TO ADJUSTED EBITDAX (unaudited)</w:t>
            </w:r>
          </w:p>
        </w:tc>
      </w:tr>
    </w:tbl>
    <w:tbl>
      <w:tblPr>
        <w:tblW w:w="10205" w:type="dxa"/>
        <w:jc w:val="center"/>
        <w:tblInd w:w="0" w:type="dxa"/>
        <w:tblLayout w:type="fixed"/>
        <w:tblCellMar>
          <w:top w:w="28" w:type="dxa"/>
          <w:left w:w="28" w:type="dxa"/>
          <w:bottom w:w="28" w:type="dxa"/>
          <w:right w:w="28" w:type="dxa"/>
        </w:tblCellMar>
      </w:tblPr>
      <w:tblGrid>
        <w:gridCol w:w="1691"/>
        <w:gridCol w:w="1435"/>
        <w:gridCol w:w="1429"/>
        <w:gridCol w:w="109"/>
        <w:gridCol w:w="109"/>
        <w:gridCol w:w="109"/>
        <w:gridCol w:w="246"/>
        <w:gridCol w:w="722"/>
        <w:gridCol w:w="127"/>
        <w:gridCol w:w="127"/>
        <w:gridCol w:w="127"/>
        <w:gridCol w:w="127"/>
        <w:gridCol w:w="246"/>
        <w:gridCol w:w="722"/>
        <w:gridCol w:w="127"/>
        <w:gridCol w:w="109"/>
        <w:gridCol w:w="109"/>
        <w:gridCol w:w="109"/>
        <w:gridCol w:w="227"/>
        <w:gridCol w:w="665"/>
        <w:gridCol w:w="117"/>
        <w:gridCol w:w="117"/>
        <w:gridCol w:w="117"/>
        <w:gridCol w:w="117"/>
        <w:gridCol w:w="227"/>
        <w:gridCol w:w="665"/>
        <w:gridCol w:w="173"/>
      </w:tblGrid>
      <w:tr>
        <w:trPr/>
        <w:tc>
          <w:tcPr>
            <w:tcW w:w="1691"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1,681 </w:t>
            </w:r>
          </w:p>
        </w:tc>
        <w:tc>
          <w:tcPr>
            <w:tcW w:w="1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17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Exploration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 losses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Separation and other termination costs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sales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purchases, exchanges or extinguishments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amortization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EBITDAX (Non-GAAP)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1,176 </w:t>
            </w:r>
          </w:p>
        </w:tc>
        <w:tc>
          <w:tcPr>
            <w:tcW w:w="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3,151 </w:t>
            </w:r>
          </w:p>
        </w:tc>
        <w:tc>
          <w:tcPr>
            <w:tcW w:w="1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2,571 </w:t>
            </w:r>
          </w:p>
        </w:tc>
        <w:tc>
          <w:tcPr>
            <w:tcW w:w="1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6"/>
        <w:gridCol w:w="2870"/>
        <w:gridCol w:w="4069"/>
      </w:tblGrid>
      <w:tr>
        <w:trPr/>
        <w:tc>
          <w:tcPr>
            <w:tcW w:w="3266"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00" w:after="283"/>
              <w:jc w:val="left"/>
              <w:rPr>
                <w:rFonts w:ascii="Arial;sans-serif" w:hAnsi="Arial;sans-serif"/>
                <w:b/>
                <w:color w:val="00386C"/>
                <w:sz w:val="20"/>
              </w:rPr>
            </w:pPr>
            <w:r>
              <w:rPr>
                <w:rFonts w:ascii="Arial;sans-serif" w:hAnsi="Arial;sans-serif"/>
                <w:b/>
                <w:color w:val="00386C"/>
                <w:sz w:val="20"/>
              </w:rPr>
              <w:t>RECONCILIATION OF NET CASH PROVIDED BY OPERATING ACTIVITIES TO ADJUSTED FREE CASH FLOW (unaudited)</w:t>
            </w:r>
          </w:p>
        </w:tc>
      </w:tr>
    </w:tbl>
    <w:tbl>
      <w:tblPr>
        <w:tblW w:w="10019" w:type="dxa"/>
        <w:jc w:val="left"/>
        <w:tblInd w:w="0" w:type="dxa"/>
        <w:tblLayout w:type="fixed"/>
        <w:tblCellMar>
          <w:top w:w="28" w:type="dxa"/>
          <w:left w:w="28" w:type="dxa"/>
          <w:bottom w:w="28" w:type="dxa"/>
          <w:right w:w="28" w:type="dxa"/>
        </w:tblCellMar>
      </w:tblPr>
      <w:tblGrid>
        <w:gridCol w:w="1560"/>
        <w:gridCol w:w="1366"/>
        <w:gridCol w:w="1378"/>
        <w:gridCol w:w="109"/>
        <w:gridCol w:w="109"/>
        <w:gridCol w:w="109"/>
        <w:gridCol w:w="251"/>
        <w:gridCol w:w="735"/>
        <w:gridCol w:w="130"/>
        <w:gridCol w:w="130"/>
        <w:gridCol w:w="130"/>
        <w:gridCol w:w="130"/>
        <w:gridCol w:w="251"/>
        <w:gridCol w:w="735"/>
        <w:gridCol w:w="130"/>
        <w:gridCol w:w="109"/>
        <w:gridCol w:w="109"/>
        <w:gridCol w:w="109"/>
        <w:gridCol w:w="229"/>
        <w:gridCol w:w="671"/>
        <w:gridCol w:w="118"/>
        <w:gridCol w:w="118"/>
        <w:gridCol w:w="118"/>
        <w:gridCol w:w="118"/>
        <w:gridCol w:w="229"/>
        <w:gridCol w:w="671"/>
        <w:gridCol w:w="167"/>
      </w:tblGrid>
      <w:tr>
        <w:trPr/>
        <w:tc>
          <w:tcPr>
            <w:tcW w:w="156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 (GAAP)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3,498 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Free cash flow (Non-GAAP)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2,038 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distributions from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contributions to investments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merger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free cash flow (Non-GAAP)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1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692 </w:t>
            </w:r>
          </w:p>
        </w:tc>
        <w:tc>
          <w:tcPr>
            <w:tcW w:w="1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2,047 </w:t>
            </w:r>
          </w:p>
        </w:tc>
        <w:tc>
          <w:tcPr>
            <w:tcW w:w="1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1,269 </w:t>
            </w:r>
          </w:p>
        </w:tc>
        <w:tc>
          <w:tcPr>
            <w:tcW w:w="1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24" w:type="dxa"/>
        <w:jc w:val="left"/>
        <w:tblInd w:w="0" w:type="dxa"/>
        <w:tblLayout w:type="fixed"/>
        <w:tblCellMar>
          <w:top w:w="28" w:type="dxa"/>
          <w:left w:w="28" w:type="dxa"/>
          <w:bottom w:w="28" w:type="dxa"/>
          <w:right w:w="28" w:type="dxa"/>
        </w:tblCellMar>
      </w:tblPr>
      <w:tblGrid>
        <w:gridCol w:w="1896"/>
        <w:gridCol w:w="1666"/>
        <w:gridCol w:w="2362"/>
      </w:tblGrid>
      <w:tr>
        <w:trPr/>
        <w:tc>
          <w:tcPr>
            <w:tcW w:w="189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00" w:after="283"/>
              <w:jc w:val="left"/>
              <w:rPr>
                <w:rFonts w:ascii="Arial;sans-serif" w:hAnsi="Arial;sans-serif"/>
                <w:b/>
                <w:color w:val="00386C"/>
                <w:sz w:val="20"/>
              </w:rPr>
            </w:pPr>
            <w:r>
              <w:rPr>
                <w:rFonts w:ascii="Arial;sans-serif" w:hAnsi="Arial;sans-serif"/>
                <w:b/>
                <w:color w:val="00386C"/>
                <w:sz w:val="20"/>
              </w:rPr>
              <w:t>RECONCILIATION OF TOTAL DEBT TO NET DEBT (unaudited)</w:t>
            </w:r>
          </w:p>
        </w:tc>
      </w:tr>
    </w:tbl>
    <w:tbl>
      <w:tblPr>
        <w:tblW w:w="7837" w:type="dxa"/>
        <w:jc w:val="center"/>
        <w:tblInd w:w="0" w:type="dxa"/>
        <w:tblLayout w:type="fixed"/>
        <w:tblCellMar>
          <w:top w:w="28" w:type="dxa"/>
          <w:left w:w="28" w:type="dxa"/>
          <w:bottom w:w="28" w:type="dxa"/>
          <w:right w:w="28" w:type="dxa"/>
        </w:tblCellMar>
      </w:tblPr>
      <w:tblGrid>
        <w:gridCol w:w="1479"/>
        <w:gridCol w:w="1294"/>
        <w:gridCol w:w="1306"/>
        <w:gridCol w:w="109"/>
        <w:gridCol w:w="109"/>
        <w:gridCol w:w="109"/>
        <w:gridCol w:w="291"/>
        <w:gridCol w:w="849"/>
        <w:gridCol w:w="150"/>
        <w:gridCol w:w="109"/>
        <w:gridCol w:w="109"/>
        <w:gridCol w:w="109"/>
        <w:gridCol w:w="390"/>
        <w:gridCol w:w="1138"/>
        <w:gridCol w:w="286"/>
      </w:tblGrid>
      <w:tr>
        <w:trPr/>
        <w:tc>
          <w:tcPr>
            <w:tcW w:w="147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0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debt (GAAP)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3,685 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5,009 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Premiums, discounts and issuance costs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Principal amount of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3,738 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5,025 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debt (Non-GAAP)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3,075 </w:t>
            </w:r>
          </w:p>
        </w:tc>
        <w:tc>
          <w:tcPr>
            <w:tcW w:w="1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4,409 </w:t>
            </w:r>
          </w:p>
        </w:tc>
        <w:tc>
          <w:tcPr>
            <w:tcW w:w="2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61950"/>
                <wp:effectExtent l="0" t="0" r="0" b="0"/>
                <wp:wrapNone/>
                <wp:docPr id="18" name="Frame16"/>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59" w:type="dxa"/>
        <w:jc w:val="left"/>
        <w:tblInd w:w="0" w:type="dxa"/>
        <w:tblLayout w:type="fixed"/>
        <w:tblCellMar>
          <w:top w:w="28" w:type="dxa"/>
          <w:left w:w="28" w:type="dxa"/>
          <w:bottom w:w="28" w:type="dxa"/>
          <w:right w:w="28" w:type="dxa"/>
        </w:tblCellMar>
      </w:tblPr>
      <w:tblGrid>
        <w:gridCol w:w="3091"/>
        <w:gridCol w:w="2717"/>
        <w:gridCol w:w="3851"/>
      </w:tblGrid>
      <w:tr>
        <w:trPr/>
        <w:tc>
          <w:tcPr>
            <w:tcW w:w="3091"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965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00" w:after="283"/>
              <w:jc w:val="left"/>
              <w:rPr>
                <w:rFonts w:ascii="Arial;sans-serif" w:hAnsi="Arial;sans-serif"/>
                <w:b/>
                <w:color w:val="00386C"/>
                <w:sz w:val="20"/>
              </w:rPr>
            </w:pPr>
            <w:r>
              <w:rPr>
                <w:rFonts w:ascii="Arial;sans-serif" w:hAnsi="Arial;sans-serif"/>
                <w:b/>
                <w:color w:val="00386C"/>
                <w:sz w:val="20"/>
              </w:rPr>
              <w:t>RECONCILIATION OF NET INCOME TO ADJUSTED EBITDAX TRAILING TWELVE MONTHS (unaudited)</w:t>
            </w:r>
          </w:p>
        </w:tc>
      </w:tr>
    </w:tbl>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027"/>
        <w:gridCol w:w="522"/>
        <w:gridCol w:w="448"/>
        <w:gridCol w:w="109"/>
        <w:gridCol w:w="109"/>
        <w:gridCol w:w="109"/>
        <w:gridCol w:w="286"/>
        <w:gridCol w:w="836"/>
        <w:gridCol w:w="147"/>
        <w:gridCol w:w="109"/>
        <w:gridCol w:w="109"/>
        <w:gridCol w:w="109"/>
        <w:gridCol w:w="290"/>
        <w:gridCol w:w="849"/>
        <w:gridCol w:w="150"/>
        <w:gridCol w:w="109"/>
        <w:gridCol w:w="109"/>
        <w:gridCol w:w="109"/>
        <w:gridCol w:w="315"/>
        <w:gridCol w:w="924"/>
        <w:gridCol w:w="164"/>
        <w:gridCol w:w="109"/>
        <w:gridCol w:w="109"/>
        <w:gridCol w:w="109"/>
        <w:gridCol w:w="325"/>
        <w:gridCol w:w="953"/>
        <w:gridCol w:w="171"/>
        <w:gridCol w:w="109"/>
        <w:gridCol w:w="109"/>
        <w:gridCol w:w="109"/>
        <w:gridCol w:w="248"/>
        <w:gridCol w:w="725"/>
        <w:gridCol w:w="190"/>
      </w:tblGrid>
      <w:tr>
        <w:trPr/>
        <w:tc>
          <w:tcPr>
            <w:tcW w:w="102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Trailing Twelve Months</w:t>
            </w:r>
          </w:p>
        </w:tc>
      </w:tr>
      <w:tr>
        <w:trPr/>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(GAAP)</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shd w:fill="D9D9D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14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D9D9D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1,159 </w:t>
            </w:r>
          </w:p>
        </w:tc>
        <w:tc>
          <w:tcPr>
            <w:tcW w:w="150"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4" w:type="dxa"/>
            <w:tcBorders/>
            <w:shd w:fill="D9D9D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6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3" w:type="dxa"/>
            <w:tcBorders/>
            <w:shd w:fill="D9D9D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5" w:type="dxa"/>
            <w:tcBorders/>
            <w:shd w:fill="D9D9D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2,781 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Exploration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Separation and other termination costs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on sales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 (income),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purchases, exchanges or extinguishments of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EBITDAX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5,658 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0" w:after="283"/>
        <w:ind w:left="0" w:right="0" w:hanging="450"/>
        <w:jc w:val="left"/>
        <w:rPr/>
      </w:pPr>
      <w:r>
        <w:rPr/>
      </w:r>
    </w:p>
    <w:tbl>
      <w:tblPr>
        <w:tblW w:w="4590" w:type="dxa"/>
        <w:jc w:val="left"/>
        <w:tblInd w:w="0" w:type="dxa"/>
        <w:tblLayout w:type="fixed"/>
        <w:tblCellMar>
          <w:top w:w="28" w:type="dxa"/>
          <w:left w:w="28" w:type="dxa"/>
          <w:bottom w:w="28" w:type="dxa"/>
          <w:right w:w="28" w:type="dxa"/>
        </w:tblCellMar>
      </w:tblPr>
      <w:tblGrid>
        <w:gridCol w:w="1467"/>
        <w:gridCol w:w="1292"/>
        <w:gridCol w:w="1831"/>
      </w:tblGrid>
      <w:tr>
        <w:trPr/>
        <w:tc>
          <w:tcPr>
            <w:tcW w:w="1467"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00" w:after="283"/>
              <w:jc w:val="left"/>
              <w:rPr>
                <w:rFonts w:ascii="Arial;sans-serif" w:hAnsi="Arial;sans-serif"/>
                <w:b/>
                <w:color w:val="00386C"/>
                <w:sz w:val="20"/>
              </w:rPr>
            </w:pPr>
            <w:r>
              <w:rPr>
                <w:rFonts w:ascii="Arial;sans-serif" w:hAnsi="Arial;sans-serif"/>
                <w:b/>
                <w:color w:val="00386C"/>
                <w:sz w:val="20"/>
              </w:rPr>
              <w:t>NET DEBT TO ADJUSTED EBITDAX (unaudited)</w:t>
            </w:r>
          </w:p>
        </w:tc>
      </w:tr>
    </w:tbl>
    <w:tbl>
      <w:tblPr>
        <w:tblW w:w="4978" w:type="dxa"/>
        <w:jc w:val="left"/>
        <w:tblInd w:w="0" w:type="dxa"/>
        <w:tblLayout w:type="fixed"/>
        <w:tblCellMar>
          <w:top w:w="28" w:type="dxa"/>
          <w:left w:w="28" w:type="dxa"/>
          <w:bottom w:w="28" w:type="dxa"/>
          <w:right w:w="28" w:type="dxa"/>
        </w:tblCellMar>
      </w:tblPr>
      <w:tblGrid>
        <w:gridCol w:w="1320"/>
        <w:gridCol w:w="1159"/>
        <w:gridCol w:w="1165"/>
        <w:gridCol w:w="287"/>
        <w:gridCol w:w="838"/>
        <w:gridCol w:w="209"/>
      </w:tblGrid>
      <w:tr>
        <w:trPr/>
        <w:tc>
          <w:tcPr>
            <w:tcW w:w="132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millions)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3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debt (Non-GAAP)</w:t>
            </w:r>
          </w:p>
        </w:tc>
        <w:tc>
          <w:tcPr>
            <w:tcW w:w="2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3,075 </w:t>
            </w:r>
          </w:p>
        </w:tc>
        <w:tc>
          <w:tcPr>
            <w:tcW w:w="2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EBITDAX (Non-GAAP)</w:t>
            </w:r>
            <w:r>
              <w:rPr>
                <w:rFonts w:ascii="Arial;sans-serif" w:hAnsi="Arial;sans-serif"/>
                <w:b w:val="false"/>
                <w:color w:val="000000"/>
                <w:sz w:val="12"/>
              </w:rPr>
              <w:t>(a)</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5,658 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debt to Adjusted EBITDAX (Non-GAAP)</w:t>
            </w:r>
          </w:p>
        </w:tc>
        <w:tc>
          <w:tcPr>
            <w:tcW w:w="112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367" w:type="dxa"/>
        <w:jc w:val="left"/>
        <w:tblInd w:w="0" w:type="dxa"/>
        <w:tblLayout w:type="fixed"/>
        <w:tblCellMar>
          <w:top w:w="28" w:type="dxa"/>
          <w:left w:w="28" w:type="dxa"/>
          <w:bottom w:w="28" w:type="dxa"/>
          <w:right w:w="28" w:type="dxa"/>
        </w:tblCellMar>
      </w:tblPr>
      <w:tblGrid>
        <w:gridCol w:w="124"/>
        <w:gridCol w:w="109"/>
        <w:gridCol w:w="109"/>
        <w:gridCol w:w="1469"/>
        <w:gridCol w:w="1469"/>
        <w:gridCol w:w="2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EBITDAX using a trailing twelve month calculation.</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61950"/>
                <wp:effectExtent l="0" t="0" r="0" b="0"/>
                <wp:wrapNone/>
                <wp:docPr id="19" name="Frame17"/>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5438</Words>
  <Characters>30408</Characters>
  <CharactersWithSpaces>35182</CharactersWithSpaces>
  <Paragraphs>1345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