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80"/>
        <w:spacing w:after="0"/>
        <w:rPr>
          <w:sz w:val="20"/>
          <w:szCs w:val="20"/>
          <w:color w:val="auto"/>
        </w:rPr>
      </w:pPr>
      <w:r>
        <w:rPr>
          <w:rFonts w:ascii="Arial" w:cs="Arial" w:eastAsia="Arial" w:hAnsi="Arial"/>
          <w:sz w:val="27"/>
          <w:szCs w:val="27"/>
          <w:b w:val="1"/>
          <w:bCs w:val="1"/>
          <w:color w:val="auto"/>
        </w:rPr>
        <w:t>UNITED STATES</w:t>
      </w:r>
    </w:p>
    <w:p>
      <w:pPr>
        <w:spacing w:after="0" w:line="35" w:lineRule="exact"/>
        <w:rPr>
          <w:sz w:val="24"/>
          <w:szCs w:val="24"/>
          <w:color w:val="auto"/>
        </w:rPr>
      </w:pPr>
    </w:p>
    <w:p>
      <w:pPr>
        <w:jc w:val="center"/>
        <w:ind w:right="1580"/>
        <w:spacing w:after="0"/>
        <w:rPr>
          <w:sz w:val="20"/>
          <w:szCs w:val="20"/>
          <w:color w:val="auto"/>
        </w:rPr>
      </w:pPr>
      <w:r>
        <w:rPr>
          <w:rFonts w:ascii="Arial" w:cs="Arial" w:eastAsia="Arial" w:hAnsi="Arial"/>
          <w:sz w:val="27"/>
          <w:szCs w:val="27"/>
          <w:b w:val="1"/>
          <w:bCs w:val="1"/>
          <w:color w:val="auto"/>
        </w:rPr>
        <w:t>SECURITIES AND EXCHANGE COMMISSION</w:t>
      </w:r>
    </w:p>
    <w:p>
      <w:pPr>
        <w:spacing w:after="0" w:line="10"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2274570</wp:posOffset>
            </wp:positionH>
            <wp:positionV relativeFrom="paragraph">
              <wp:posOffset>154305</wp:posOffset>
            </wp:positionV>
            <wp:extent cx="116522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5225" cy="2222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3840"/>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2274570</wp:posOffset>
            </wp:positionH>
            <wp:positionV relativeFrom="paragraph">
              <wp:posOffset>173355</wp:posOffset>
            </wp:positionV>
            <wp:extent cx="1165225" cy="22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5225" cy="2222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ind w:left="3600"/>
        <w:spacing w:after="0"/>
        <w:rPr>
          <w:sz w:val="20"/>
          <w:szCs w:val="20"/>
          <w:color w:val="auto"/>
        </w:rPr>
      </w:pPr>
      <w:r>
        <w:rPr>
          <w:rFonts w:ascii="Arial" w:cs="Arial" w:eastAsia="Arial" w:hAnsi="Arial"/>
          <w:sz w:val="20"/>
          <w:szCs w:val="20"/>
          <w:b w:val="1"/>
          <w:bCs w:val="1"/>
          <w:color w:val="auto"/>
        </w:rPr>
        <w:t>CURRENT REPORT</w:t>
      </w:r>
    </w:p>
    <w:p>
      <w:pPr>
        <w:spacing w:after="0" w:line="200" w:lineRule="exact"/>
        <w:rPr>
          <w:sz w:val="24"/>
          <w:szCs w:val="24"/>
          <w:color w:val="auto"/>
        </w:rPr>
      </w:pPr>
    </w:p>
    <w:p>
      <w:pPr>
        <w:spacing w:after="0" w:line="365" w:lineRule="exact"/>
        <w:rPr>
          <w:sz w:val="24"/>
          <w:szCs w:val="24"/>
          <w:color w:val="auto"/>
        </w:rPr>
      </w:pPr>
    </w:p>
    <w:p>
      <w:pPr>
        <w:ind w:left="3200"/>
        <w:spacing w:after="0"/>
        <w:rPr>
          <w:sz w:val="20"/>
          <w:szCs w:val="20"/>
          <w:color w:val="auto"/>
        </w:rPr>
      </w:pPr>
      <w:r>
        <w:rPr>
          <w:rFonts w:ascii="Arial" w:cs="Arial" w:eastAsia="Arial" w:hAnsi="Arial"/>
          <w:sz w:val="20"/>
          <w:szCs w:val="20"/>
          <w:b w:val="1"/>
          <w:bCs w:val="1"/>
          <w:color w:val="auto"/>
        </w:rPr>
        <w:t>Pursuant to Section 13 or 15(d)</w:t>
      </w:r>
    </w:p>
    <w:p>
      <w:pPr>
        <w:spacing w:after="0" w:line="325" w:lineRule="exact"/>
        <w:rPr>
          <w:sz w:val="24"/>
          <w:szCs w:val="24"/>
          <w:color w:val="auto"/>
        </w:rPr>
      </w:pPr>
    </w:p>
    <w:p>
      <w:pPr>
        <w:ind w:left="4280"/>
        <w:spacing w:after="0"/>
        <w:rPr>
          <w:sz w:val="20"/>
          <w:szCs w:val="20"/>
          <w:color w:val="auto"/>
        </w:rPr>
      </w:pPr>
      <w:r>
        <w:rPr>
          <w:rFonts w:ascii="Arial" w:cs="Arial" w:eastAsia="Arial" w:hAnsi="Arial"/>
          <w:sz w:val="20"/>
          <w:szCs w:val="20"/>
          <w:b w:val="1"/>
          <w:bCs w:val="1"/>
          <w:color w:val="auto"/>
        </w:rPr>
        <w:t>of the</w:t>
      </w:r>
    </w:p>
    <w:p>
      <w:pPr>
        <w:spacing w:after="0" w:line="340" w:lineRule="exact"/>
        <w:rPr>
          <w:sz w:val="24"/>
          <w:szCs w:val="24"/>
          <w:color w:val="auto"/>
        </w:rPr>
      </w:pPr>
    </w:p>
    <w:p>
      <w:pPr>
        <w:ind w:left="3180"/>
        <w:spacing w:after="0"/>
        <w:rPr>
          <w:sz w:val="20"/>
          <w:szCs w:val="20"/>
          <w:color w:val="auto"/>
        </w:rPr>
      </w:pPr>
      <w:r>
        <w:rPr>
          <w:rFonts w:ascii="Arial" w:cs="Arial" w:eastAsia="Arial" w:hAnsi="Arial"/>
          <w:sz w:val="20"/>
          <w:szCs w:val="20"/>
          <w:b w:val="1"/>
          <w:bCs w:val="1"/>
          <w:color w:val="auto"/>
        </w:rPr>
        <w:t>Securities Exchange Act of 1934</w:t>
      </w:r>
    </w:p>
    <w:p>
      <w:pPr>
        <w:spacing w:after="0" w:line="325" w:lineRule="exact"/>
        <w:rPr>
          <w:sz w:val="24"/>
          <w:szCs w:val="24"/>
          <w:color w:val="auto"/>
        </w:rPr>
      </w:pPr>
    </w:p>
    <w:p>
      <w:pPr>
        <w:ind w:left="2540"/>
        <w:spacing w:after="0"/>
        <w:rPr>
          <w:sz w:val="20"/>
          <w:szCs w:val="20"/>
          <w:color w:val="auto"/>
        </w:rPr>
      </w:pPr>
      <w:r>
        <w:rPr>
          <w:rFonts w:ascii="Arial" w:cs="Arial" w:eastAsia="Arial" w:hAnsi="Arial"/>
          <w:sz w:val="20"/>
          <w:szCs w:val="20"/>
          <w:b w:val="1"/>
          <w:bCs w:val="1"/>
          <w:color w:val="auto"/>
        </w:rPr>
        <w:t>Date of Report (Date of earliest event reported)</w:t>
      </w:r>
    </w:p>
    <w:p>
      <w:pPr>
        <w:spacing w:after="0" w:line="325" w:lineRule="exact"/>
        <w:rPr>
          <w:sz w:val="24"/>
          <w:szCs w:val="24"/>
          <w:color w:val="auto"/>
        </w:rPr>
      </w:pPr>
    </w:p>
    <w:p>
      <w:pPr>
        <w:ind w:left="3360"/>
        <w:spacing w:after="0"/>
        <w:rPr>
          <w:sz w:val="20"/>
          <w:szCs w:val="20"/>
          <w:color w:val="auto"/>
        </w:rPr>
      </w:pPr>
      <w:r>
        <w:rPr>
          <w:rFonts w:ascii="Arial" w:cs="Arial" w:eastAsia="Arial" w:hAnsi="Arial"/>
          <w:sz w:val="20"/>
          <w:szCs w:val="20"/>
          <w:b w:val="1"/>
          <w:bCs w:val="1"/>
          <w:color w:val="auto"/>
        </w:rPr>
        <w:t>May 10, 2007 (May 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2274570</wp:posOffset>
            </wp:positionH>
            <wp:positionV relativeFrom="paragraph">
              <wp:posOffset>167005</wp:posOffset>
            </wp:positionV>
            <wp:extent cx="1165225" cy="22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225" cy="22225"/>
                    </a:xfrm>
                    <a:prstGeom prst="rect">
                      <a:avLst/>
                    </a:prstGeom>
                    <a:noFill/>
                  </pic:spPr>
                </pic:pic>
              </a:graphicData>
            </a:graphic>
          </wp:anchor>
        </w:drawing>
      </w:r>
    </w:p>
    <w:p>
      <w:pPr>
        <w:spacing w:after="0" w:line="393" w:lineRule="exact"/>
        <w:rPr>
          <w:sz w:val="24"/>
          <w:szCs w:val="24"/>
          <w:color w:val="auto"/>
        </w:rPr>
      </w:pPr>
    </w:p>
    <w:p>
      <w:pPr>
        <w:jc w:val="center"/>
        <w:ind w:right="1580"/>
        <w:spacing w:after="0"/>
        <w:rPr>
          <w:sz w:val="20"/>
          <w:szCs w:val="20"/>
          <w:color w:val="auto"/>
        </w:rPr>
      </w:pPr>
      <w:r>
        <w:rPr>
          <w:rFonts w:ascii="Arial" w:cs="Arial" w:eastAsia="Arial" w:hAnsi="Arial"/>
          <w:sz w:val="36"/>
          <w:szCs w:val="36"/>
          <w:b w:val="1"/>
          <w:bCs w:val="1"/>
          <w:color w:val="auto"/>
        </w:rPr>
        <w:t>CHESAPEAKE ENERGY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57150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pacing w:after="0" w:line="37" w:lineRule="exact"/>
        <w:rPr>
          <w:sz w:val="24"/>
          <w:szCs w:val="24"/>
          <w:color w:val="auto"/>
        </w:rPr>
      </w:pPr>
    </w:p>
    <w:p>
      <w:pPr>
        <w:ind w:left="2300"/>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20" w:type="dxa"/>
            <w:vAlign w:val="bottom"/>
            <w:gridSpan w:val="2"/>
          </w:tcPr>
          <w:p>
            <w:pPr>
              <w:ind w:left="820"/>
              <w:spacing w:after="0"/>
              <w:rPr>
                <w:sz w:val="20"/>
                <w:szCs w:val="20"/>
                <w:color w:val="auto"/>
              </w:rPr>
            </w:pPr>
            <w:r>
              <w:rPr>
                <w:rFonts w:ascii="Arial" w:cs="Arial" w:eastAsia="Arial" w:hAnsi="Arial"/>
                <w:sz w:val="20"/>
                <w:szCs w:val="20"/>
                <w:b w:val="1"/>
                <w:bCs w:val="1"/>
                <w:color w:val="auto"/>
              </w:rPr>
              <w:t>Oklahoma</w:t>
            </w:r>
          </w:p>
        </w:tc>
        <w:tc>
          <w:tcPr>
            <w:tcW w:w="2600" w:type="dxa"/>
            <w:vAlign w:val="bottom"/>
          </w:tcPr>
          <w:p>
            <w:pPr>
              <w:jc w:val="right"/>
              <w:ind w:right="1023"/>
              <w:spacing w:after="0"/>
              <w:rPr>
                <w:sz w:val="20"/>
                <w:szCs w:val="20"/>
                <w:color w:val="auto"/>
              </w:rPr>
            </w:pPr>
            <w:r>
              <w:rPr>
                <w:rFonts w:ascii="Arial" w:cs="Arial" w:eastAsia="Arial" w:hAnsi="Arial"/>
                <w:sz w:val="20"/>
                <w:szCs w:val="20"/>
                <w:b w:val="1"/>
                <w:bCs w:val="1"/>
                <w:color w:val="auto"/>
              </w:rPr>
              <w:t>1-13726</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60" w:type="dxa"/>
            <w:vAlign w:val="bottom"/>
          </w:tcPr>
          <w:p>
            <w:pPr>
              <w:jc w:val="center"/>
              <w:ind w:left="163"/>
              <w:spacing w:after="0"/>
              <w:rPr>
                <w:sz w:val="20"/>
                <w:szCs w:val="20"/>
                <w:color w:val="auto"/>
              </w:rPr>
            </w:pPr>
            <w:r>
              <w:rPr>
                <w:rFonts w:ascii="Arial" w:cs="Arial" w:eastAsia="Arial" w:hAnsi="Arial"/>
                <w:sz w:val="20"/>
                <w:szCs w:val="20"/>
                <w:b w:val="1"/>
                <w:bCs w:val="1"/>
                <w:color w:val="auto"/>
                <w:w w:val="88"/>
              </w:rPr>
              <w:t>73-1395733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6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20" w:type="dxa"/>
            <w:vAlign w:val="bottom"/>
            <w:gridSpan w:val="2"/>
          </w:tcPr>
          <w:p>
            <w:pPr>
              <w:jc w:val="center"/>
              <w:ind w:right="420"/>
              <w:spacing w:after="0"/>
              <w:rPr>
                <w:sz w:val="20"/>
                <w:szCs w:val="20"/>
                <w:color w:val="auto"/>
              </w:rPr>
            </w:pPr>
            <w:r>
              <w:rPr>
                <w:rFonts w:ascii="Arial" w:cs="Arial" w:eastAsia="Arial" w:hAnsi="Arial"/>
                <w:sz w:val="20"/>
                <w:szCs w:val="20"/>
                <w:color w:val="auto"/>
                <w:w w:val="91"/>
              </w:rPr>
              <w:t>(State or other jurisdiction of</w:t>
            </w:r>
          </w:p>
        </w:tc>
        <w:tc>
          <w:tcPr>
            <w:tcW w:w="3180" w:type="dxa"/>
            <w:vAlign w:val="bottom"/>
            <w:gridSpan w:val="4"/>
          </w:tcPr>
          <w:p>
            <w:pPr>
              <w:ind w:left="480"/>
              <w:spacing w:after="0"/>
              <w:rPr>
                <w:sz w:val="20"/>
                <w:szCs w:val="20"/>
                <w:color w:val="auto"/>
              </w:rPr>
            </w:pPr>
            <w:r>
              <w:rPr>
                <w:rFonts w:ascii="Arial" w:cs="Arial" w:eastAsia="Arial" w:hAnsi="Arial"/>
                <w:sz w:val="20"/>
                <w:szCs w:val="20"/>
                <w:color w:val="auto"/>
              </w:rPr>
              <w:t>(Commission File No.)</w:t>
            </w:r>
          </w:p>
        </w:tc>
        <w:tc>
          <w:tcPr>
            <w:tcW w:w="2560" w:type="dxa"/>
            <w:vAlign w:val="bottom"/>
            <w:gridSpan w:val="3"/>
          </w:tcPr>
          <w:p>
            <w:pPr>
              <w:jc w:val="center"/>
              <w:spacing w:after="0"/>
              <w:rPr>
                <w:sz w:val="20"/>
                <w:szCs w:val="20"/>
                <w:color w:val="auto"/>
              </w:rPr>
            </w:pPr>
            <w:r>
              <w:rPr>
                <w:rFonts w:ascii="Arial" w:cs="Arial" w:eastAsia="Arial" w:hAnsi="Arial"/>
                <w:sz w:val="20"/>
                <w:szCs w:val="20"/>
                <w:color w:val="auto"/>
                <w:w w:val="91"/>
              </w:rPr>
              <w:t>(IRS Employer Identification</w:t>
            </w: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2"/>
          </w:tcPr>
          <w:p>
            <w:pPr>
              <w:jc w:val="center"/>
              <w:ind w:right="420"/>
              <w:spacing w:after="0"/>
              <w:rPr>
                <w:sz w:val="20"/>
                <w:szCs w:val="20"/>
                <w:color w:val="auto"/>
              </w:rPr>
            </w:pPr>
            <w:r>
              <w:rPr>
                <w:rFonts w:ascii="Arial" w:cs="Arial" w:eastAsia="Arial" w:hAnsi="Arial"/>
                <w:sz w:val="20"/>
                <w:szCs w:val="20"/>
                <w:color w:val="auto"/>
                <w:w w:val="91"/>
              </w:rPr>
              <w:t>incorporation)</w:t>
            </w: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3"/>
          </w:tcPr>
          <w:p>
            <w:pPr>
              <w:jc w:val="center"/>
              <w:spacing w:after="0"/>
              <w:rPr>
                <w:sz w:val="20"/>
                <w:szCs w:val="20"/>
                <w:color w:val="auto"/>
              </w:rPr>
            </w:pPr>
            <w:r>
              <w:rPr>
                <w:rFonts w:ascii="Arial" w:cs="Arial" w:eastAsia="Arial" w:hAnsi="Arial"/>
                <w:sz w:val="20"/>
                <w:szCs w:val="20"/>
                <w:color w:val="auto"/>
                <w:w w:val="95"/>
              </w:rPr>
              <w:t>No.)</w:t>
            </w:r>
          </w:p>
        </w:tc>
      </w:tr>
      <w:tr>
        <w:trPr>
          <w:trHeight w:val="75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gridSpan w:val="6"/>
          </w:tcPr>
          <w:p>
            <w:pPr>
              <w:jc w:val="center"/>
              <w:ind w:right="700"/>
              <w:spacing w:after="0"/>
              <w:rPr>
                <w:sz w:val="20"/>
                <w:szCs w:val="20"/>
                <w:color w:val="auto"/>
              </w:rPr>
            </w:pPr>
            <w:r>
              <w:rPr>
                <w:rFonts w:ascii="Arial" w:cs="Arial" w:eastAsia="Arial" w:hAnsi="Arial"/>
                <w:sz w:val="20"/>
                <w:szCs w:val="20"/>
                <w:b w:val="1"/>
                <w:bCs w:val="1"/>
                <w:color w:val="auto"/>
                <w:w w:val="89"/>
              </w:rPr>
              <w:t>6100 North Western Avenue, Oklahoma City, Oklahoma</w:t>
            </w:r>
          </w:p>
        </w:tc>
        <w:tc>
          <w:tcPr>
            <w:tcW w:w="2360" w:type="dxa"/>
            <w:vAlign w:val="bottom"/>
          </w:tcPr>
          <w:p>
            <w:pPr>
              <w:jc w:val="right"/>
              <w:ind w:right="983"/>
              <w:spacing w:after="0"/>
              <w:rPr>
                <w:sz w:val="20"/>
                <w:szCs w:val="20"/>
                <w:color w:val="auto"/>
              </w:rPr>
            </w:pPr>
            <w:r>
              <w:rPr>
                <w:rFonts w:ascii="Arial" w:cs="Arial" w:eastAsia="Arial" w:hAnsi="Arial"/>
                <w:sz w:val="20"/>
                <w:szCs w:val="20"/>
                <w:b w:val="1"/>
                <w:bCs w:val="1"/>
                <w:color w:val="auto"/>
              </w:rPr>
              <w:t>73118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220" w:type="dxa"/>
            <w:vAlign w:val="bottom"/>
            <w:tcBorders>
              <w:top w:val="single" w:sz="8" w:color="auto"/>
            </w:tcBorders>
            <w:gridSpan w:val="3"/>
          </w:tcPr>
          <w:p>
            <w:pPr>
              <w:jc w:val="center"/>
              <w:ind w:right="23"/>
              <w:spacing w:after="0"/>
              <w:rPr>
                <w:sz w:val="20"/>
                <w:szCs w:val="20"/>
                <w:color w:val="auto"/>
              </w:rPr>
            </w:pPr>
            <w:r>
              <w:rPr>
                <w:rFonts w:ascii="Arial" w:cs="Arial" w:eastAsia="Arial" w:hAnsi="Arial"/>
                <w:sz w:val="20"/>
                <w:szCs w:val="20"/>
                <w:color w:val="auto"/>
                <w:w w:val="90"/>
              </w:rPr>
              <w:t>(Address of principal executive offices)</w:t>
            </w:r>
          </w:p>
        </w:tc>
        <w:tc>
          <w:tcPr>
            <w:tcW w:w="300" w:type="dxa"/>
            <w:vAlign w:val="bottom"/>
            <w:gridSpan w:val="2"/>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tcPr>
          <w:p>
            <w:pPr>
              <w:jc w:val="center"/>
              <w:ind w:right="163"/>
              <w:spacing w:after="0"/>
              <w:rPr>
                <w:sz w:val="20"/>
                <w:szCs w:val="20"/>
                <w:color w:val="auto"/>
              </w:rPr>
            </w:pPr>
            <w:r>
              <w:rPr>
                <w:rFonts w:ascii="Arial" w:cs="Arial" w:eastAsia="Arial" w:hAnsi="Arial"/>
                <w:sz w:val="20"/>
                <w:szCs w:val="20"/>
                <w:color w:val="auto"/>
                <w:w w:val="90"/>
              </w:rPr>
              <w:t>(Zip Code)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5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0" w:type="dxa"/>
            <w:vAlign w:val="bottom"/>
          </w:tcPr>
          <w:p>
            <w:pPr>
              <w:jc w:val="right"/>
              <w:ind w:right="943"/>
              <w:spacing w:after="0"/>
              <w:rPr>
                <w:sz w:val="20"/>
                <w:szCs w:val="20"/>
                <w:color w:val="auto"/>
              </w:rPr>
            </w:pPr>
            <w:r>
              <w:rPr>
                <w:rFonts w:ascii="Arial" w:cs="Arial" w:eastAsia="Arial" w:hAnsi="Arial"/>
                <w:sz w:val="20"/>
                <w:szCs w:val="20"/>
                <w:b w:val="1"/>
                <w:bCs w:val="1"/>
                <w:color w:val="auto"/>
              </w:rPr>
              <w:t>(405) 848-8000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gridSpan w:val="6"/>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6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0" w:type="dxa"/>
            <w:vAlign w:val="bottom"/>
            <w:gridSpan w:val="6"/>
          </w:tcPr>
          <w:p>
            <w:pPr>
              <w:jc w:val="center"/>
              <w:ind w:left="2243"/>
              <w:spacing w:after="0"/>
              <w:rPr>
                <w:sz w:val="20"/>
                <w:szCs w:val="20"/>
                <w:color w:val="auto"/>
              </w:rPr>
            </w:pPr>
            <w:r>
              <w:rPr>
                <w:rFonts w:ascii="Arial" w:cs="Arial" w:eastAsia="Arial" w:hAnsi="Arial"/>
                <w:sz w:val="20"/>
                <w:szCs w:val="20"/>
                <w:color w:val="auto"/>
                <w:w w:val="88"/>
              </w:rPr>
              <w:t>(Registrant’s telephone number, including area code)</w:t>
            </w:r>
          </w:p>
        </w:tc>
        <w:tc>
          <w:tcPr>
            <w:tcW w:w="2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r>
    </w:tbl>
    <w:p>
      <w:pPr>
        <w:spacing w:after="0" w:line="262" w:lineRule="exact"/>
        <w:rPr>
          <w:sz w:val="24"/>
          <w:szCs w:val="24"/>
          <w:color w:val="auto"/>
        </w:rPr>
      </w:pPr>
    </w:p>
    <w:p>
      <w:pPr>
        <w:ind w:right="1760"/>
        <w:spacing w:after="0" w:line="32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09" w:lineRule="exact"/>
        <w:rPr>
          <w:sz w:val="24"/>
          <w:szCs w:val="24"/>
          <w:color w:val="auto"/>
        </w:rPr>
      </w:pPr>
    </w:p>
    <w:p>
      <w:pPr>
        <w:spacing w:after="0"/>
        <w:tabs>
          <w:tab w:leader="none" w:pos="700" w:val="left"/>
        </w:tabs>
        <w:rPr>
          <w:sz w:val="20"/>
          <w:szCs w:val="20"/>
          <w:color w:val="auto"/>
        </w:rPr>
      </w:pPr>
      <w:r>
        <w:rPr>
          <w:rFonts w:ascii="Arial" w:cs="Arial" w:eastAsia="Arial" w:hAnsi="Arial"/>
          <w:sz w:val="20"/>
          <w:szCs w:val="20"/>
          <w:color w:val="auto"/>
        </w:rPr>
        <w:t>[_]</w:t>
      </w:r>
      <w:r>
        <w:rPr>
          <w:sz w:val="20"/>
          <w:szCs w:val="20"/>
          <w:color w:val="auto"/>
        </w:rPr>
        <w:tab/>
      </w:r>
      <w:r>
        <w:rPr>
          <w:rFonts w:ascii="Arial" w:cs="Arial" w:eastAsia="Arial" w:hAnsi="Arial"/>
          <w:sz w:val="17"/>
          <w:szCs w:val="17"/>
          <w:color w:val="auto"/>
        </w:rPr>
        <w:t>Written communications pursuant to Rule 425 under the Securities Act (17 CFR 230.425)</w:t>
      </w:r>
    </w:p>
    <w:p>
      <w:pPr>
        <w:spacing w:after="0" w:line="160" w:lineRule="exact"/>
        <w:rPr>
          <w:sz w:val="24"/>
          <w:szCs w:val="24"/>
          <w:color w:val="auto"/>
        </w:rPr>
      </w:pPr>
    </w:p>
    <w:p>
      <w:pPr>
        <w:spacing w:after="0"/>
        <w:tabs>
          <w:tab w:leader="none" w:pos="700" w:val="left"/>
        </w:tabs>
        <w:rPr>
          <w:sz w:val="20"/>
          <w:szCs w:val="20"/>
          <w:color w:val="auto"/>
        </w:rPr>
      </w:pPr>
      <w:r>
        <w:rPr>
          <w:rFonts w:ascii="Arial" w:cs="Arial" w:eastAsia="Arial" w:hAnsi="Arial"/>
          <w:sz w:val="20"/>
          <w:szCs w:val="20"/>
          <w:color w:val="auto"/>
        </w:rPr>
        <w:t>[_]</w:t>
      </w:r>
      <w:r>
        <w:rPr>
          <w:sz w:val="20"/>
          <w:szCs w:val="20"/>
          <w:color w:val="auto"/>
        </w:rPr>
        <w:tab/>
      </w:r>
      <w:r>
        <w:rPr>
          <w:rFonts w:ascii="Arial" w:cs="Arial" w:eastAsia="Arial" w:hAnsi="Arial"/>
          <w:sz w:val="17"/>
          <w:szCs w:val="17"/>
          <w:color w:val="auto"/>
        </w:rPr>
        <w:t>Soliciting material pursuant to Rule 14a-12 under the Exchange Act (17 CFR 240.14a-12)</w:t>
      </w:r>
    </w:p>
    <w:p>
      <w:pPr>
        <w:spacing w:after="0" w:line="160" w:lineRule="exact"/>
        <w:rPr>
          <w:sz w:val="24"/>
          <w:szCs w:val="24"/>
          <w:color w:val="auto"/>
        </w:rPr>
      </w:pPr>
    </w:p>
    <w:p>
      <w:pPr>
        <w:ind w:left="720" w:right="2980" w:hanging="719"/>
        <w:spacing w:after="0" w:line="268" w:lineRule="auto"/>
        <w:tabs>
          <w:tab w:leader="none" w:pos="700" w:val="left"/>
        </w:tabs>
        <w:rPr>
          <w:sz w:val="20"/>
          <w:szCs w:val="20"/>
          <w:color w:val="auto"/>
        </w:rPr>
      </w:pPr>
      <w:r>
        <w:rPr>
          <w:rFonts w:ascii="Arial" w:cs="Arial" w:eastAsia="Arial" w:hAnsi="Arial"/>
          <w:sz w:val="20"/>
          <w:szCs w:val="20"/>
          <w:color w:val="auto"/>
        </w:rPr>
        <w:t>[_]</w:t>
      </w:r>
      <w:r>
        <w:rPr>
          <w:sz w:val="20"/>
          <w:szCs w:val="20"/>
          <w:color w:val="auto"/>
        </w:rPr>
        <w:tab/>
      </w:r>
      <w:r>
        <w:rPr>
          <w:rFonts w:ascii="Arial" w:cs="Arial" w:eastAsia="Arial" w:hAnsi="Arial"/>
          <w:sz w:val="20"/>
          <w:szCs w:val="20"/>
          <w:color w:val="auto"/>
        </w:rPr>
        <w:t>Pre-commencement communications pursuant to Rule 14d-2(b) under the Exchange Act (17 CFR 240.14d-2(b))</w:t>
      </w:r>
    </w:p>
    <w:p>
      <w:pPr>
        <w:spacing w:after="0" w:line="116" w:lineRule="exact"/>
        <w:rPr>
          <w:sz w:val="24"/>
          <w:szCs w:val="24"/>
          <w:color w:val="auto"/>
        </w:rPr>
      </w:pPr>
    </w:p>
    <w:p>
      <w:pPr>
        <w:ind w:left="720" w:right="3000" w:hanging="719"/>
        <w:spacing w:after="0" w:line="268" w:lineRule="auto"/>
        <w:tabs>
          <w:tab w:leader="none" w:pos="700" w:val="left"/>
        </w:tabs>
        <w:rPr>
          <w:sz w:val="20"/>
          <w:szCs w:val="20"/>
          <w:color w:val="auto"/>
        </w:rPr>
      </w:pPr>
      <w:r>
        <w:rPr>
          <w:rFonts w:ascii="Arial" w:cs="Arial" w:eastAsia="Arial" w:hAnsi="Arial"/>
          <w:sz w:val="20"/>
          <w:szCs w:val="20"/>
          <w:color w:val="auto"/>
        </w:rPr>
        <w:t>[_]</w:t>
      </w:r>
      <w:r>
        <w:rPr>
          <w:sz w:val="20"/>
          <w:szCs w:val="20"/>
          <w:color w:val="auto"/>
        </w:rPr>
        <w:tab/>
      </w:r>
      <w:r>
        <w:rPr>
          <w:rFonts w:ascii="Arial" w:cs="Arial" w:eastAsia="Arial" w:hAnsi="Arial"/>
          <w:sz w:val="20"/>
          <w:szCs w:val="20"/>
          <w:color w:val="auto"/>
        </w:rPr>
        <w:t>Pre-commencement communications pursuant to Rule 13e-4(c) under the Exchange Act (17 CFR 240.13e-4(c))</w:t>
      </w:r>
    </w:p>
    <w:p>
      <w:pPr>
        <w:sectPr>
          <w:pgSz w:w="12240" w:h="15840" w:orient="portrait"/>
          <w:cols w:equalWidth="0" w:num="1">
            <w:col w:w="10600"/>
          </w:cols>
          <w:pgMar w:left="900" w:top="869" w:right="7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ind w:left="105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600"/>
          </w:cols>
          <w:pgMar w:left="900" w:top="869" w:right="740" w:bottom="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8 – Other Events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8.01 Other Events.</w:t>
      </w:r>
    </w:p>
    <w:p>
      <w:pPr>
        <w:spacing w:after="0" w:line="256" w:lineRule="exact"/>
        <w:rPr>
          <w:sz w:val="20"/>
          <w:szCs w:val="20"/>
          <w:color w:val="auto"/>
        </w:rPr>
      </w:pPr>
    </w:p>
    <w:p>
      <w:pPr>
        <w:jc w:val="both"/>
        <w:ind w:right="1600" w:firstLine="792"/>
        <w:spacing w:after="0" w:line="269" w:lineRule="auto"/>
        <w:rPr>
          <w:sz w:val="20"/>
          <w:szCs w:val="20"/>
          <w:color w:val="auto"/>
        </w:rPr>
      </w:pPr>
      <w:r>
        <w:rPr>
          <w:rFonts w:ascii="Arial" w:cs="Arial" w:eastAsia="Arial" w:hAnsi="Arial"/>
          <w:sz w:val="20"/>
          <w:szCs w:val="20"/>
          <w:color w:val="auto"/>
        </w:rPr>
        <w:t>On May 8, 2007, Chesapeake Energy Corporation issued a press release announcing its new corporate logo. The press release is attached hereto as Exhibit 99.1.</w:t>
      </w:r>
    </w:p>
    <w:p>
      <w:pPr>
        <w:spacing w:after="0" w:line="204" w:lineRule="exact"/>
        <w:rPr>
          <w:sz w:val="20"/>
          <w:szCs w:val="20"/>
          <w:color w:val="auto"/>
        </w:rPr>
      </w:pPr>
    </w:p>
    <w:p>
      <w:pPr>
        <w:jc w:val="both"/>
        <w:ind w:right="1600" w:firstLine="792"/>
        <w:spacing w:after="0" w:line="301" w:lineRule="auto"/>
        <w:rPr>
          <w:sz w:val="20"/>
          <w:szCs w:val="20"/>
          <w:color w:val="auto"/>
        </w:rPr>
      </w:pPr>
      <w:r>
        <w:rPr>
          <w:rFonts w:ascii="Arial" w:cs="Arial" w:eastAsia="Arial" w:hAnsi="Arial"/>
          <w:sz w:val="18"/>
          <w:szCs w:val="18"/>
          <w:color w:val="auto"/>
        </w:rPr>
        <w:t>On May 8, 2007, the Company announced that it intends to offer $1 billion of a new issue of contingent convertible senior notes due 2037. Chesapeake intends to use the net proceeds from the offering to repay outstanding indebtedness under its revolving credit facility. The press release is attached hereto as Exhibit 99.2.</w:t>
      </w:r>
    </w:p>
    <w:p>
      <w:pPr>
        <w:spacing w:after="0" w:line="181" w:lineRule="exact"/>
        <w:rPr>
          <w:sz w:val="20"/>
          <w:szCs w:val="20"/>
          <w:color w:val="auto"/>
        </w:rPr>
      </w:pPr>
    </w:p>
    <w:p>
      <w:pPr>
        <w:jc w:val="both"/>
        <w:ind w:right="1600" w:firstLine="792"/>
        <w:spacing w:after="0" w:line="269" w:lineRule="auto"/>
        <w:rPr>
          <w:sz w:val="20"/>
          <w:szCs w:val="20"/>
          <w:color w:val="auto"/>
        </w:rPr>
      </w:pPr>
      <w:r>
        <w:rPr>
          <w:rFonts w:ascii="Arial" w:cs="Arial" w:eastAsia="Arial" w:hAnsi="Arial"/>
          <w:sz w:val="20"/>
          <w:szCs w:val="20"/>
          <w:color w:val="auto"/>
        </w:rPr>
        <w:t>On May 10, 2007, the Company announced pricing of a new issue of contingent convertible senior notes due 2037. The press release is attached hereto as Exhibit 99.3.</w:t>
      </w:r>
    </w:p>
    <w:p>
      <w:pPr>
        <w:spacing w:after="0" w:line="200" w:lineRule="exact"/>
        <w:rPr>
          <w:sz w:val="20"/>
          <w:szCs w:val="20"/>
          <w:color w:val="auto"/>
        </w:r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Item 9.01 Final Statements and Exhibits.</w:t>
      </w:r>
    </w:p>
    <w:p>
      <w:pPr>
        <w:spacing w:after="0" w:line="181" w:lineRule="exact"/>
        <w:rPr>
          <w:sz w:val="20"/>
          <w:szCs w:val="20"/>
          <w:color w:val="auto"/>
        </w:rPr>
      </w:pPr>
    </w:p>
    <w:p>
      <w:pPr>
        <w:ind w:left="2220" w:hanging="860"/>
        <w:spacing w:after="0"/>
        <w:tabs>
          <w:tab w:leader="none" w:pos="2220" w:val="left"/>
        </w:tabs>
        <w:numPr>
          <w:ilvl w:val="0"/>
          <w:numId w:val="1"/>
        </w:numPr>
        <w:rPr>
          <w:rFonts w:ascii="Arial" w:cs="Arial" w:eastAsia="Arial" w:hAnsi="Arial"/>
          <w:sz w:val="20"/>
          <w:szCs w:val="20"/>
          <w:color w:val="auto"/>
        </w:rPr>
      </w:pPr>
      <w:r>
        <w:rPr>
          <w:rFonts w:ascii="Arial" w:cs="Arial" w:eastAsia="Arial" w:hAnsi="Arial"/>
          <w:sz w:val="20"/>
          <w:szCs w:val="20"/>
          <w:color w:val="auto"/>
        </w:rPr>
        <w:t>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Exhibit No.</w:t>
            </w:r>
          </w:p>
        </w:tc>
        <w:tc>
          <w:tcPr>
            <w:tcW w:w="560" w:type="dxa"/>
            <w:vAlign w:val="bottom"/>
          </w:tcPr>
          <w:p>
            <w:pPr>
              <w:spacing w:after="0"/>
              <w:rPr>
                <w:sz w:val="22"/>
                <w:szCs w:val="22"/>
                <w:color w:val="auto"/>
              </w:rPr>
            </w:pPr>
          </w:p>
        </w:tc>
        <w:tc>
          <w:tcPr>
            <w:tcW w:w="5340" w:type="dxa"/>
            <w:vAlign w:val="bottom"/>
            <w:tcBorders>
              <w:bottom w:val="single" w:sz="8" w:color="auto"/>
            </w:tcBorders>
          </w:tcPr>
          <w:p>
            <w:pPr>
              <w:ind w:left="1740"/>
              <w:spacing w:after="0"/>
              <w:rPr>
                <w:sz w:val="20"/>
                <w:szCs w:val="20"/>
                <w:color w:val="auto"/>
              </w:rPr>
            </w:pPr>
            <w:r>
              <w:rPr>
                <w:rFonts w:ascii="Arial" w:cs="Arial" w:eastAsia="Arial" w:hAnsi="Arial"/>
                <w:sz w:val="20"/>
                <w:szCs w:val="20"/>
                <w:b w:val="1"/>
                <w:bCs w:val="1"/>
                <w:color w:val="auto"/>
              </w:rPr>
              <w:t>Document Description</w:t>
            </w:r>
          </w:p>
        </w:tc>
        <w:tc>
          <w:tcPr>
            <w:tcW w:w="1460" w:type="dxa"/>
            <w:vAlign w:val="bottom"/>
          </w:tcPr>
          <w:p>
            <w:pPr>
              <w:spacing w:after="0"/>
              <w:rPr>
                <w:sz w:val="22"/>
                <w:szCs w:val="22"/>
                <w:color w:val="auto"/>
              </w:rPr>
            </w:pPr>
          </w:p>
        </w:tc>
      </w:tr>
      <w:tr>
        <w:trPr>
          <w:trHeight w:val="391"/>
        </w:trPr>
        <w:tc>
          <w:tcPr>
            <w:tcW w:w="2120" w:type="dxa"/>
            <w:vAlign w:val="bottom"/>
          </w:tcPr>
          <w:p>
            <w:pPr>
              <w:jc w:val="center"/>
              <w:spacing w:after="0"/>
              <w:rPr>
                <w:sz w:val="20"/>
                <w:szCs w:val="20"/>
                <w:color w:val="auto"/>
              </w:rPr>
            </w:pPr>
            <w:r>
              <w:rPr>
                <w:rFonts w:ascii="Arial" w:cs="Arial" w:eastAsia="Arial" w:hAnsi="Arial"/>
                <w:sz w:val="20"/>
                <w:szCs w:val="20"/>
                <w:color w:val="auto"/>
                <w:w w:val="87"/>
              </w:rPr>
              <w:t>99.1</w:t>
            </w:r>
          </w:p>
        </w:tc>
        <w:tc>
          <w:tcPr>
            <w:tcW w:w="7360" w:type="dxa"/>
            <w:vAlign w:val="bottom"/>
            <w:gridSpan w:val="3"/>
          </w:tcPr>
          <w:p>
            <w:pPr>
              <w:ind w:left="540"/>
              <w:spacing w:after="0"/>
              <w:rPr>
                <w:sz w:val="20"/>
                <w:szCs w:val="20"/>
                <w:color w:val="auto"/>
              </w:rPr>
            </w:pPr>
            <w:r>
              <w:rPr>
                <w:rFonts w:ascii="Arial" w:cs="Arial" w:eastAsia="Arial" w:hAnsi="Arial"/>
                <w:sz w:val="20"/>
                <w:szCs w:val="20"/>
                <w:color w:val="auto"/>
                <w:w w:val="88"/>
              </w:rPr>
              <w:t>Chesapeake Energy Corporation Press Release dated May 8, 2007 announcing a new</w:t>
            </w:r>
          </w:p>
        </w:tc>
      </w:tr>
      <w:tr>
        <w:trPr>
          <w:trHeight w:val="248"/>
        </w:trPr>
        <w:tc>
          <w:tcPr>
            <w:tcW w:w="2120" w:type="dxa"/>
            <w:vAlign w:val="bottom"/>
          </w:tcPr>
          <w:p>
            <w:pPr>
              <w:spacing w:after="0"/>
              <w:rPr>
                <w:sz w:val="21"/>
                <w:szCs w:val="21"/>
                <w:color w:val="auto"/>
              </w:rPr>
            </w:pPr>
          </w:p>
        </w:tc>
        <w:tc>
          <w:tcPr>
            <w:tcW w:w="7360" w:type="dxa"/>
            <w:vAlign w:val="bottom"/>
            <w:gridSpan w:val="3"/>
          </w:tcPr>
          <w:p>
            <w:pPr>
              <w:ind w:left="540"/>
              <w:spacing w:after="0"/>
              <w:rPr>
                <w:sz w:val="20"/>
                <w:szCs w:val="20"/>
                <w:color w:val="auto"/>
              </w:rPr>
            </w:pPr>
            <w:r>
              <w:rPr>
                <w:rFonts w:ascii="Arial" w:cs="Arial" w:eastAsia="Arial" w:hAnsi="Arial"/>
                <w:sz w:val="20"/>
                <w:szCs w:val="20"/>
                <w:color w:val="auto"/>
              </w:rPr>
              <w:t>company logo.</w:t>
            </w:r>
          </w:p>
        </w:tc>
      </w:tr>
      <w:tr>
        <w:trPr>
          <w:trHeight w:val="397"/>
        </w:trPr>
        <w:tc>
          <w:tcPr>
            <w:tcW w:w="2120" w:type="dxa"/>
            <w:vAlign w:val="bottom"/>
          </w:tcPr>
          <w:p>
            <w:pPr>
              <w:jc w:val="center"/>
              <w:spacing w:after="0"/>
              <w:rPr>
                <w:sz w:val="20"/>
                <w:szCs w:val="20"/>
                <w:color w:val="auto"/>
              </w:rPr>
            </w:pPr>
            <w:r>
              <w:rPr>
                <w:rFonts w:ascii="Arial" w:cs="Arial" w:eastAsia="Arial" w:hAnsi="Arial"/>
                <w:sz w:val="20"/>
                <w:szCs w:val="20"/>
                <w:color w:val="auto"/>
                <w:w w:val="87"/>
              </w:rPr>
              <w:t>99.2</w:t>
            </w:r>
          </w:p>
        </w:tc>
        <w:tc>
          <w:tcPr>
            <w:tcW w:w="7360" w:type="dxa"/>
            <w:vAlign w:val="bottom"/>
            <w:gridSpan w:val="3"/>
          </w:tcPr>
          <w:p>
            <w:pPr>
              <w:ind w:left="540"/>
              <w:spacing w:after="0"/>
              <w:rPr>
                <w:sz w:val="20"/>
                <w:szCs w:val="20"/>
                <w:color w:val="auto"/>
              </w:rPr>
            </w:pPr>
            <w:r>
              <w:rPr>
                <w:rFonts w:ascii="Arial" w:cs="Arial" w:eastAsia="Arial" w:hAnsi="Arial"/>
                <w:sz w:val="20"/>
                <w:szCs w:val="20"/>
                <w:color w:val="auto"/>
                <w:w w:val="87"/>
              </w:rPr>
              <w:t>Chesapeake Energy Corporation Press Release dated May 8, 2007 announcing offering</w:t>
            </w:r>
          </w:p>
        </w:tc>
      </w:tr>
      <w:tr>
        <w:trPr>
          <w:trHeight w:val="248"/>
        </w:trPr>
        <w:tc>
          <w:tcPr>
            <w:tcW w:w="2120" w:type="dxa"/>
            <w:vAlign w:val="bottom"/>
          </w:tcPr>
          <w:p>
            <w:pPr>
              <w:spacing w:after="0"/>
              <w:rPr>
                <w:sz w:val="21"/>
                <w:szCs w:val="21"/>
                <w:color w:val="auto"/>
              </w:rPr>
            </w:pPr>
          </w:p>
        </w:tc>
        <w:tc>
          <w:tcPr>
            <w:tcW w:w="7360" w:type="dxa"/>
            <w:vAlign w:val="bottom"/>
            <w:gridSpan w:val="3"/>
          </w:tcPr>
          <w:p>
            <w:pPr>
              <w:ind w:left="540"/>
              <w:spacing w:after="0"/>
              <w:rPr>
                <w:sz w:val="20"/>
                <w:szCs w:val="20"/>
                <w:color w:val="auto"/>
              </w:rPr>
            </w:pPr>
            <w:r>
              <w:rPr>
                <w:rFonts w:ascii="Arial" w:cs="Arial" w:eastAsia="Arial" w:hAnsi="Arial"/>
                <w:sz w:val="20"/>
                <w:szCs w:val="20"/>
                <w:color w:val="auto"/>
              </w:rPr>
              <w:t>of Senior Notes.</w:t>
            </w:r>
          </w:p>
        </w:tc>
      </w:tr>
      <w:tr>
        <w:trPr>
          <w:trHeight w:val="397"/>
        </w:trPr>
        <w:tc>
          <w:tcPr>
            <w:tcW w:w="2120" w:type="dxa"/>
            <w:vAlign w:val="bottom"/>
          </w:tcPr>
          <w:p>
            <w:pPr>
              <w:jc w:val="center"/>
              <w:spacing w:after="0"/>
              <w:rPr>
                <w:sz w:val="20"/>
                <w:szCs w:val="20"/>
                <w:color w:val="auto"/>
              </w:rPr>
            </w:pPr>
            <w:r>
              <w:rPr>
                <w:rFonts w:ascii="Arial" w:cs="Arial" w:eastAsia="Arial" w:hAnsi="Arial"/>
                <w:sz w:val="20"/>
                <w:szCs w:val="20"/>
                <w:color w:val="auto"/>
                <w:w w:val="87"/>
              </w:rPr>
              <w:t>99.3</w:t>
            </w:r>
          </w:p>
        </w:tc>
        <w:tc>
          <w:tcPr>
            <w:tcW w:w="7360" w:type="dxa"/>
            <w:vAlign w:val="bottom"/>
            <w:gridSpan w:val="3"/>
          </w:tcPr>
          <w:p>
            <w:pPr>
              <w:ind w:left="540"/>
              <w:spacing w:after="0"/>
              <w:rPr>
                <w:sz w:val="20"/>
                <w:szCs w:val="20"/>
                <w:color w:val="auto"/>
              </w:rPr>
            </w:pPr>
            <w:r>
              <w:rPr>
                <w:rFonts w:ascii="Arial" w:cs="Arial" w:eastAsia="Arial" w:hAnsi="Arial"/>
                <w:sz w:val="20"/>
                <w:szCs w:val="20"/>
                <w:color w:val="auto"/>
                <w:w w:val="86"/>
              </w:rPr>
              <w:t>Chesapeake Energy Corporation Press Release dated May 10, 2007 announcing pricing</w:t>
            </w:r>
          </w:p>
        </w:tc>
      </w:tr>
      <w:tr>
        <w:trPr>
          <w:trHeight w:val="248"/>
        </w:trPr>
        <w:tc>
          <w:tcPr>
            <w:tcW w:w="2120" w:type="dxa"/>
            <w:vAlign w:val="bottom"/>
          </w:tcPr>
          <w:p>
            <w:pPr>
              <w:spacing w:after="0"/>
              <w:rPr>
                <w:sz w:val="21"/>
                <w:szCs w:val="21"/>
                <w:color w:val="auto"/>
              </w:rPr>
            </w:pPr>
          </w:p>
        </w:tc>
        <w:tc>
          <w:tcPr>
            <w:tcW w:w="7360" w:type="dxa"/>
            <w:vAlign w:val="bottom"/>
            <w:gridSpan w:val="3"/>
          </w:tcPr>
          <w:p>
            <w:pPr>
              <w:ind w:left="540"/>
              <w:spacing w:after="0"/>
              <w:rPr>
                <w:sz w:val="20"/>
                <w:szCs w:val="20"/>
                <w:color w:val="auto"/>
              </w:rPr>
            </w:pPr>
            <w:r>
              <w:rPr>
                <w:rFonts w:ascii="Arial" w:cs="Arial" w:eastAsia="Arial" w:hAnsi="Arial"/>
                <w:sz w:val="20"/>
                <w:szCs w:val="20"/>
                <w:color w:val="auto"/>
              </w:rPr>
              <w:t>of Senior Notes</w:t>
            </w:r>
          </w:p>
        </w:tc>
      </w:tr>
      <w:tr>
        <w:trPr>
          <w:trHeight w:val="885"/>
        </w:trPr>
        <w:tc>
          <w:tcPr>
            <w:tcW w:w="2120" w:type="dxa"/>
            <w:vAlign w:val="bottom"/>
          </w:tcPr>
          <w:p>
            <w:pPr>
              <w:spacing w:after="0"/>
              <w:rPr>
                <w:sz w:val="24"/>
                <w:szCs w:val="24"/>
                <w:color w:val="auto"/>
              </w:rPr>
            </w:pPr>
          </w:p>
        </w:tc>
        <w:tc>
          <w:tcPr>
            <w:tcW w:w="5900" w:type="dxa"/>
            <w:vAlign w:val="bottom"/>
            <w:gridSpan w:val="2"/>
          </w:tcPr>
          <w:p>
            <w:pPr>
              <w:ind w:left="2340"/>
              <w:spacing w:after="0"/>
              <w:rPr>
                <w:sz w:val="20"/>
                <w:szCs w:val="20"/>
                <w:color w:val="auto"/>
              </w:rPr>
            </w:pPr>
            <w:r>
              <w:rPr>
                <w:rFonts w:ascii="Arial" w:cs="Arial" w:eastAsia="Arial" w:hAnsi="Arial"/>
                <w:sz w:val="20"/>
                <w:szCs w:val="20"/>
                <w:color w:val="auto"/>
              </w:rPr>
              <w:t>2</w:t>
            </w:r>
          </w:p>
        </w:tc>
        <w:tc>
          <w:tcPr>
            <w:tcW w:w="146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0600"/>
          </w:cols>
          <w:pgMar w:left="900" w:top="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5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600"/>
          </w:cols>
          <w:pgMar w:left="900" w:top="0" w:right="740" w:bottom="0" w:gutter="0" w:footer="0" w:header="0"/>
          <w:type w:val="continuous"/>
        </w:sectPr>
      </w:pPr>
    </w:p>
    <w:bookmarkStart w:id="2" w:name="page3"/>
    <w:bookmarkEnd w:id="2"/>
    <w:p>
      <w:pPr>
        <w:ind w:left="3940"/>
        <w:spacing w:after="0"/>
        <w:rPr>
          <w:sz w:val="20"/>
          <w:szCs w:val="20"/>
          <w:color w:val="auto"/>
        </w:rPr>
      </w:pPr>
      <w:r>
        <w:rPr>
          <w:rFonts w:ascii="Arial" w:cs="Arial" w:eastAsia="Arial" w:hAnsi="Arial"/>
          <w:sz w:val="20"/>
          <w:szCs w:val="20"/>
          <w:b w:val="1"/>
          <w:bCs w:val="1"/>
          <w:color w:val="auto"/>
        </w:rPr>
        <w:t>SIGNATURE</w:t>
      </w:r>
    </w:p>
    <w:p>
      <w:pPr>
        <w:spacing w:after="0" w:line="200" w:lineRule="exact"/>
        <w:rPr>
          <w:sz w:val="20"/>
          <w:szCs w:val="20"/>
          <w:color w:val="auto"/>
        </w:rPr>
      </w:pPr>
    </w:p>
    <w:p>
      <w:pPr>
        <w:spacing w:after="0" w:line="205" w:lineRule="exact"/>
        <w:rPr>
          <w:sz w:val="20"/>
          <w:szCs w:val="20"/>
          <w:color w:val="auto"/>
        </w:rPr>
      </w:pPr>
    </w:p>
    <w:p>
      <w:pPr>
        <w:ind w:right="1780" w:firstLine="720"/>
        <w:spacing w:after="0" w:line="269"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CHESAPEAKE ENERGY CORPORATION</w:t>
      </w:r>
    </w:p>
    <w:p>
      <w:pPr>
        <w:spacing w:after="0" w:line="309"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By: /s/ JENNIFER M. GRIGSBY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12700</wp:posOffset>
            </wp:positionV>
            <wp:extent cx="261937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19375" cy="9525"/>
                    </a:xfrm>
                    <a:prstGeom prst="rect">
                      <a:avLst/>
                    </a:prstGeom>
                    <a:noFill/>
                  </pic:spPr>
                </pic:pic>
              </a:graphicData>
            </a:graphic>
          </wp:anchor>
        </w:drawing>
      </w:r>
    </w:p>
    <w:p>
      <w:pPr>
        <w:spacing w:after="0" w:line="5"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Jennifer M. Grigsby</w:t>
      </w:r>
    </w:p>
    <w:p>
      <w:pPr>
        <w:spacing w:after="0" w:line="18"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Senior Vice President, Treasurer and</w:t>
      </w:r>
    </w:p>
    <w:p>
      <w:pPr>
        <w:spacing w:after="0" w:line="10"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Corporate Secretary</w:t>
      </w:r>
    </w:p>
    <w:p>
      <w:pPr>
        <w:spacing w:after="0" w:line="200" w:lineRule="exact"/>
        <w:rPr>
          <w:sz w:val="20"/>
          <w:szCs w:val="20"/>
          <w:color w:val="auto"/>
        </w:rPr>
      </w:pPr>
    </w:p>
    <w:p>
      <w:pPr>
        <w:spacing w:after="0" w:line="28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Date:</w:t>
        <w:tab/>
        <w:t>May 10, 2007</w:t>
      </w:r>
    </w:p>
    <w:p>
      <w:pPr>
        <w:spacing w:after="0" w:line="25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3</w:t>
      </w:r>
    </w:p>
    <w:p>
      <w:pPr>
        <w:sectPr>
          <w:pgSz w:w="12240" w:h="15840" w:orient="portrait"/>
          <w:cols w:equalWidth="0" w:num="1">
            <w:col w:w="10600"/>
          </w:cols>
          <w:pgMar w:left="900" w:top="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5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600"/>
          </w:cols>
          <w:pgMar w:left="900" w:top="0" w:right="7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54"/>
        </w:trPr>
        <w:tc>
          <w:tcPr>
            <w:tcW w:w="1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320" w:type="dxa"/>
            <w:vAlign w:val="bottom"/>
          </w:tcPr>
          <w:p>
            <w:pPr>
              <w:ind w:left="1720"/>
              <w:spacing w:after="0"/>
              <w:rPr>
                <w:sz w:val="20"/>
                <w:szCs w:val="20"/>
                <w:color w:val="auto"/>
              </w:rPr>
            </w:pPr>
            <w:r>
              <w:rPr>
                <w:rFonts w:ascii="Arial" w:cs="Arial" w:eastAsia="Arial" w:hAnsi="Arial"/>
                <w:sz w:val="20"/>
                <w:szCs w:val="20"/>
                <w:b w:val="1"/>
                <w:bCs w:val="1"/>
                <w:color w:val="auto"/>
              </w:rPr>
              <w:t>EXHIBIT INDEX</w:t>
            </w:r>
          </w:p>
        </w:tc>
      </w:tr>
      <w:tr>
        <w:trPr>
          <w:trHeight w:val="495"/>
        </w:trPr>
        <w:tc>
          <w:tcPr>
            <w:tcW w:w="2380" w:type="dxa"/>
            <w:vAlign w:val="bottom"/>
            <w:gridSpan w:val="2"/>
          </w:tcPr>
          <w:p>
            <w:pPr>
              <w:jc w:val="center"/>
              <w:ind w:right="420"/>
              <w:spacing w:after="0"/>
              <w:rPr>
                <w:sz w:val="20"/>
                <w:szCs w:val="20"/>
                <w:color w:val="auto"/>
              </w:rPr>
            </w:pPr>
            <w:r>
              <w:rPr>
                <w:rFonts w:ascii="Arial" w:cs="Arial" w:eastAsia="Arial" w:hAnsi="Arial"/>
                <w:sz w:val="20"/>
                <w:szCs w:val="20"/>
                <w:b w:val="1"/>
                <w:bCs w:val="1"/>
                <w:color w:val="auto"/>
                <w:w w:val="91"/>
              </w:rPr>
              <w:t>Exhibit No.</w:t>
            </w:r>
          </w:p>
        </w:tc>
        <w:tc>
          <w:tcPr>
            <w:tcW w:w="7320" w:type="dxa"/>
            <w:vAlign w:val="bottom"/>
          </w:tcPr>
          <w:p>
            <w:pPr>
              <w:ind w:left="1760"/>
              <w:spacing w:after="0"/>
              <w:rPr>
                <w:sz w:val="20"/>
                <w:szCs w:val="20"/>
                <w:color w:val="auto"/>
              </w:rPr>
            </w:pPr>
            <w:r>
              <w:rPr>
                <w:rFonts w:ascii="Arial" w:cs="Arial" w:eastAsia="Arial" w:hAnsi="Arial"/>
                <w:sz w:val="20"/>
                <w:szCs w:val="20"/>
                <w:b w:val="1"/>
                <w:bCs w:val="1"/>
                <w:color w:val="auto"/>
              </w:rPr>
              <w:t>Document Description</w:t>
            </w:r>
          </w:p>
        </w:tc>
      </w:tr>
      <w:tr>
        <w:trPr>
          <w:trHeight w:val="451"/>
        </w:trPr>
        <w:tc>
          <w:tcPr>
            <w:tcW w:w="19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7"/>
              </w:rPr>
              <w:t>99.1</w:t>
            </w:r>
          </w:p>
        </w:tc>
        <w:tc>
          <w:tcPr>
            <w:tcW w:w="440" w:type="dxa"/>
            <w:vAlign w:val="bottom"/>
          </w:tcPr>
          <w:p>
            <w:pPr>
              <w:spacing w:after="0"/>
              <w:rPr>
                <w:sz w:val="24"/>
                <w:szCs w:val="24"/>
                <w:color w:val="auto"/>
              </w:rPr>
            </w:pPr>
          </w:p>
        </w:tc>
        <w:tc>
          <w:tcPr>
            <w:tcW w:w="7320" w:type="dxa"/>
            <w:vAlign w:val="bottom"/>
            <w:tcBorders>
              <w:top w:val="single" w:sz="8" w:color="auto"/>
            </w:tcBorders>
          </w:tcPr>
          <w:p>
            <w:pPr>
              <w:ind w:left="100"/>
              <w:spacing w:after="0"/>
              <w:rPr>
                <w:sz w:val="20"/>
                <w:szCs w:val="20"/>
                <w:color w:val="auto"/>
              </w:rPr>
            </w:pPr>
            <w:r>
              <w:rPr>
                <w:rFonts w:ascii="Arial" w:cs="Arial" w:eastAsia="Arial" w:hAnsi="Arial"/>
                <w:sz w:val="20"/>
                <w:szCs w:val="20"/>
                <w:color w:val="auto"/>
              </w:rPr>
              <w:t>Chesapeake Energy Corporation Press Release dated May 8, 2007 announcing</w:t>
            </w:r>
          </w:p>
        </w:tc>
      </w:tr>
      <w:tr>
        <w:trPr>
          <w:trHeight w:val="248"/>
        </w:trPr>
        <w:tc>
          <w:tcPr>
            <w:tcW w:w="1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320" w:type="dxa"/>
            <w:vAlign w:val="bottom"/>
          </w:tcPr>
          <w:p>
            <w:pPr>
              <w:ind w:left="100"/>
              <w:spacing w:after="0"/>
              <w:rPr>
                <w:sz w:val="20"/>
                <w:szCs w:val="20"/>
                <w:color w:val="auto"/>
              </w:rPr>
            </w:pPr>
            <w:r>
              <w:rPr>
                <w:rFonts w:ascii="Arial" w:cs="Arial" w:eastAsia="Arial" w:hAnsi="Arial"/>
                <w:sz w:val="20"/>
                <w:szCs w:val="20"/>
                <w:color w:val="auto"/>
              </w:rPr>
              <w:t>a new company logo.</w:t>
            </w:r>
          </w:p>
        </w:tc>
      </w:tr>
      <w:tr>
        <w:trPr>
          <w:trHeight w:val="442"/>
        </w:trPr>
        <w:tc>
          <w:tcPr>
            <w:tcW w:w="1940" w:type="dxa"/>
            <w:vAlign w:val="bottom"/>
          </w:tcPr>
          <w:p>
            <w:pPr>
              <w:jc w:val="center"/>
              <w:spacing w:after="0"/>
              <w:rPr>
                <w:sz w:val="20"/>
                <w:szCs w:val="20"/>
                <w:color w:val="auto"/>
              </w:rPr>
            </w:pPr>
            <w:r>
              <w:rPr>
                <w:rFonts w:ascii="Arial" w:cs="Arial" w:eastAsia="Arial" w:hAnsi="Arial"/>
                <w:sz w:val="20"/>
                <w:szCs w:val="20"/>
                <w:color w:val="auto"/>
                <w:w w:val="87"/>
              </w:rPr>
              <w:t>99.2</w:t>
            </w:r>
          </w:p>
        </w:tc>
        <w:tc>
          <w:tcPr>
            <w:tcW w:w="440" w:type="dxa"/>
            <w:vAlign w:val="bottom"/>
          </w:tcPr>
          <w:p>
            <w:pPr>
              <w:spacing w:after="0"/>
              <w:rPr>
                <w:sz w:val="24"/>
                <w:szCs w:val="24"/>
                <w:color w:val="auto"/>
              </w:rPr>
            </w:pPr>
          </w:p>
        </w:tc>
        <w:tc>
          <w:tcPr>
            <w:tcW w:w="7320" w:type="dxa"/>
            <w:vAlign w:val="bottom"/>
          </w:tcPr>
          <w:p>
            <w:pPr>
              <w:ind w:left="100"/>
              <w:spacing w:after="0"/>
              <w:rPr>
                <w:sz w:val="20"/>
                <w:szCs w:val="20"/>
                <w:color w:val="auto"/>
              </w:rPr>
            </w:pPr>
            <w:r>
              <w:rPr>
                <w:rFonts w:ascii="Arial" w:cs="Arial" w:eastAsia="Arial" w:hAnsi="Arial"/>
                <w:sz w:val="20"/>
                <w:szCs w:val="20"/>
                <w:color w:val="auto"/>
              </w:rPr>
              <w:t>Chesapeake Energy Corporation Press Release dated May 8, 2007 announcing</w:t>
            </w:r>
          </w:p>
        </w:tc>
      </w:tr>
      <w:tr>
        <w:trPr>
          <w:trHeight w:val="248"/>
        </w:trPr>
        <w:tc>
          <w:tcPr>
            <w:tcW w:w="1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320" w:type="dxa"/>
            <w:vAlign w:val="bottom"/>
          </w:tcPr>
          <w:p>
            <w:pPr>
              <w:ind w:left="100"/>
              <w:spacing w:after="0"/>
              <w:rPr>
                <w:sz w:val="20"/>
                <w:szCs w:val="20"/>
                <w:color w:val="auto"/>
              </w:rPr>
            </w:pPr>
            <w:r>
              <w:rPr>
                <w:rFonts w:ascii="Arial" w:cs="Arial" w:eastAsia="Arial" w:hAnsi="Arial"/>
                <w:sz w:val="20"/>
                <w:szCs w:val="20"/>
                <w:color w:val="auto"/>
              </w:rPr>
              <w:t>offering of Senior Notes.</w:t>
            </w:r>
          </w:p>
        </w:tc>
      </w:tr>
      <w:tr>
        <w:trPr>
          <w:trHeight w:val="442"/>
        </w:trPr>
        <w:tc>
          <w:tcPr>
            <w:tcW w:w="1940" w:type="dxa"/>
            <w:vAlign w:val="bottom"/>
          </w:tcPr>
          <w:p>
            <w:pPr>
              <w:jc w:val="center"/>
              <w:spacing w:after="0"/>
              <w:rPr>
                <w:sz w:val="20"/>
                <w:szCs w:val="20"/>
                <w:color w:val="auto"/>
              </w:rPr>
            </w:pPr>
            <w:r>
              <w:rPr>
                <w:rFonts w:ascii="Arial" w:cs="Arial" w:eastAsia="Arial" w:hAnsi="Arial"/>
                <w:sz w:val="20"/>
                <w:szCs w:val="20"/>
                <w:color w:val="auto"/>
                <w:w w:val="87"/>
              </w:rPr>
              <w:t>99.3</w:t>
            </w:r>
          </w:p>
        </w:tc>
        <w:tc>
          <w:tcPr>
            <w:tcW w:w="440" w:type="dxa"/>
            <w:vAlign w:val="bottom"/>
          </w:tcPr>
          <w:p>
            <w:pPr>
              <w:spacing w:after="0"/>
              <w:rPr>
                <w:sz w:val="24"/>
                <w:szCs w:val="24"/>
                <w:color w:val="auto"/>
              </w:rPr>
            </w:pPr>
          </w:p>
        </w:tc>
        <w:tc>
          <w:tcPr>
            <w:tcW w:w="7320" w:type="dxa"/>
            <w:vAlign w:val="bottom"/>
          </w:tcPr>
          <w:p>
            <w:pPr>
              <w:ind w:left="100"/>
              <w:spacing w:after="0"/>
              <w:rPr>
                <w:sz w:val="20"/>
                <w:szCs w:val="20"/>
                <w:color w:val="auto"/>
              </w:rPr>
            </w:pPr>
            <w:r>
              <w:rPr>
                <w:rFonts w:ascii="Arial" w:cs="Arial" w:eastAsia="Arial" w:hAnsi="Arial"/>
                <w:sz w:val="20"/>
                <w:szCs w:val="20"/>
                <w:color w:val="auto"/>
              </w:rPr>
              <w:t>Chesapeake Energy Corporation Press Release dated May 10, 2007 announcing</w:t>
            </w:r>
          </w:p>
        </w:tc>
      </w:tr>
      <w:tr>
        <w:trPr>
          <w:trHeight w:val="248"/>
        </w:trPr>
        <w:tc>
          <w:tcPr>
            <w:tcW w:w="1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320" w:type="dxa"/>
            <w:vAlign w:val="bottom"/>
          </w:tcPr>
          <w:p>
            <w:pPr>
              <w:ind w:left="100"/>
              <w:spacing w:after="0"/>
              <w:rPr>
                <w:sz w:val="20"/>
                <w:szCs w:val="20"/>
                <w:color w:val="auto"/>
              </w:rPr>
            </w:pPr>
            <w:r>
              <w:rPr>
                <w:rFonts w:ascii="Arial" w:cs="Arial" w:eastAsia="Arial" w:hAnsi="Arial"/>
                <w:sz w:val="20"/>
                <w:szCs w:val="20"/>
                <w:color w:val="auto"/>
              </w:rPr>
              <w:t>pricing of Senior Notes</w:t>
            </w:r>
          </w:p>
        </w:tc>
      </w:tr>
      <w:tr>
        <w:trPr>
          <w:trHeight w:val="930"/>
        </w:trPr>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320" w:type="dxa"/>
            <w:vAlign w:val="bottom"/>
          </w:tcPr>
          <w:p>
            <w:pPr>
              <w:ind w:left="2080"/>
              <w:spacing w:after="0"/>
              <w:rPr>
                <w:sz w:val="20"/>
                <w:szCs w:val="20"/>
                <w:color w:val="auto"/>
              </w:rPr>
            </w:pPr>
            <w:r>
              <w:rPr>
                <w:rFonts w:ascii="Arial" w:cs="Arial" w:eastAsia="Arial" w:hAnsi="Arial"/>
                <w:sz w:val="20"/>
                <w:szCs w:val="20"/>
                <w:color w:val="auto"/>
              </w:rPr>
              <w:t>4</w:t>
            </w:r>
          </w:p>
        </w:tc>
      </w:tr>
    </w:tbl>
    <w:p>
      <w:pPr>
        <w:spacing w:after="0" w:line="200" w:lineRule="exact"/>
        <w:rPr>
          <w:sz w:val="20"/>
          <w:szCs w:val="20"/>
          <w:color w:val="auto"/>
        </w:rPr>
      </w:pPr>
    </w:p>
    <w:p>
      <w:pPr>
        <w:sectPr>
          <w:pgSz w:w="12240" w:h="15840" w:orient="portrait"/>
          <w:cols w:equalWidth="0" w:num="1">
            <w:col w:w="10600"/>
          </w:cols>
          <w:pgMar w:left="900" w:top="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5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600"/>
          </w:cols>
          <w:pgMar w:left="900" w:top="0" w:right="740" w:bottom="0" w:gutter="0" w:footer="0" w:header="0"/>
          <w:type w:val="continuous"/>
        </w:sectPr>
      </w:pPr>
    </w:p>
    <w:bookmarkStart w:id="4" w:name="page5"/>
    <w:bookmarkEnd w:id="4"/>
    <w:p>
      <w:pPr>
        <w:ind w:left="7780"/>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311150</wp:posOffset>
            </wp:positionV>
            <wp:extent cx="2314575" cy="1400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14575" cy="140017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120" w:type="dxa"/>
        <w:tblCellMar>
          <w:top w:w="0" w:type="dxa"/>
          <w:left w:w="0" w:type="dxa"/>
          <w:bottom w:w="0" w:type="dxa"/>
          <w:right w:w="0" w:type="dxa"/>
        </w:tblCellMar>
      </w:tblPr>
      <w:tr>
        <w:trPr>
          <w:trHeight w:val="614"/>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80" w:type="dxa"/>
            <w:vAlign w:val="bottom"/>
          </w:tcPr>
          <w:p>
            <w:pPr>
              <w:jc w:val="right"/>
              <w:spacing w:after="0"/>
              <w:rPr>
                <w:sz w:val="20"/>
                <w:szCs w:val="20"/>
                <w:color w:val="auto"/>
              </w:rPr>
            </w:pPr>
            <w:r>
              <w:rPr>
                <w:rFonts w:ascii="Arial" w:cs="Arial" w:eastAsia="Arial" w:hAnsi="Arial"/>
                <w:sz w:val="48"/>
                <w:szCs w:val="48"/>
                <w:b w:val="1"/>
                <w:bCs w:val="1"/>
                <w:i w:val="1"/>
                <w:iCs w:val="1"/>
                <w:color w:val="auto"/>
                <w:w w:val="99"/>
              </w:rPr>
              <w:t>N e w s R e l e a s e</w:t>
            </w:r>
          </w:p>
        </w:tc>
      </w:tr>
      <w:tr>
        <w:trPr>
          <w:trHeight w:val="611"/>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80" w:type="dxa"/>
            <w:vAlign w:val="bottom"/>
          </w:tcPr>
          <w:p>
            <w:pPr>
              <w:jc w:val="right"/>
              <w:spacing w:after="0"/>
              <w:rPr>
                <w:sz w:val="20"/>
                <w:szCs w:val="20"/>
                <w:color w:val="auto"/>
              </w:rPr>
            </w:pPr>
            <w:r>
              <w:rPr>
                <w:rFonts w:ascii="Arial" w:cs="Arial" w:eastAsia="Arial" w:hAnsi="Arial"/>
                <w:sz w:val="20"/>
                <w:szCs w:val="20"/>
                <w:b w:val="1"/>
                <w:bCs w:val="1"/>
                <w:color w:val="auto"/>
              </w:rPr>
              <w:t>Chesapeake Energy Corporation</w:t>
            </w:r>
          </w:p>
        </w:tc>
      </w:tr>
      <w:tr>
        <w:trPr>
          <w:trHeight w:val="240"/>
        </w:trPr>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380" w:type="dxa"/>
            <w:vAlign w:val="bottom"/>
          </w:tcPr>
          <w:p>
            <w:pPr>
              <w:jc w:val="right"/>
              <w:spacing w:after="0"/>
              <w:rPr>
                <w:sz w:val="20"/>
                <w:szCs w:val="20"/>
                <w:color w:val="auto"/>
              </w:rPr>
            </w:pPr>
            <w:r>
              <w:rPr>
                <w:rFonts w:ascii="Arial" w:cs="Arial" w:eastAsia="Arial" w:hAnsi="Arial"/>
                <w:sz w:val="20"/>
                <w:szCs w:val="20"/>
                <w:color w:val="auto"/>
              </w:rPr>
              <w:t>P. O. Box 18496</w:t>
            </w:r>
          </w:p>
        </w:tc>
      </w:tr>
      <w:tr>
        <w:trPr>
          <w:trHeight w:val="248"/>
        </w:trPr>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380" w:type="dxa"/>
            <w:vAlign w:val="bottom"/>
          </w:tcPr>
          <w:p>
            <w:pPr>
              <w:jc w:val="right"/>
              <w:spacing w:after="0"/>
              <w:rPr>
                <w:sz w:val="20"/>
                <w:szCs w:val="20"/>
                <w:color w:val="auto"/>
              </w:rPr>
            </w:pPr>
            <w:r>
              <w:rPr>
                <w:rFonts w:ascii="Arial" w:cs="Arial" w:eastAsia="Arial" w:hAnsi="Arial"/>
                <w:sz w:val="20"/>
                <w:szCs w:val="20"/>
                <w:color w:val="auto"/>
              </w:rPr>
              <w:t>Oklahoma City, OK 73154</w:t>
            </w:r>
          </w:p>
        </w:tc>
      </w:tr>
      <w:tr>
        <w:trPr>
          <w:trHeight w:val="826"/>
        </w:trPr>
        <w:tc>
          <w:tcPr>
            <w:tcW w:w="3720" w:type="dxa"/>
            <w:vAlign w:val="bottom"/>
          </w:tcPr>
          <w:p>
            <w:pPr>
              <w:spacing w:after="0"/>
              <w:rPr>
                <w:sz w:val="20"/>
                <w:szCs w:val="20"/>
                <w:color w:val="auto"/>
              </w:rPr>
            </w:pPr>
            <w:r>
              <w:rPr>
                <w:rFonts w:ascii="Arial" w:cs="Arial" w:eastAsia="Arial" w:hAnsi="Arial"/>
                <w:sz w:val="20"/>
                <w:szCs w:val="20"/>
                <w:b w:val="1"/>
                <w:bCs w:val="1"/>
                <w:color w:val="auto"/>
              </w:rPr>
              <w:t>FOR IMMEDIATE RELEASE</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54"/>
        </w:trPr>
        <w:tc>
          <w:tcPr>
            <w:tcW w:w="3720" w:type="dxa"/>
            <w:vAlign w:val="bottom"/>
          </w:tcPr>
          <w:p>
            <w:pPr>
              <w:spacing w:after="0"/>
              <w:rPr>
                <w:sz w:val="20"/>
                <w:szCs w:val="20"/>
                <w:color w:val="auto"/>
              </w:rPr>
            </w:pPr>
            <w:r>
              <w:rPr>
                <w:rFonts w:ascii="Arial" w:cs="Arial" w:eastAsia="Arial" w:hAnsi="Arial"/>
                <w:sz w:val="20"/>
                <w:szCs w:val="20"/>
                <w:b w:val="1"/>
                <w:bCs w:val="1"/>
                <w:color w:val="auto"/>
              </w:rPr>
              <w:t>MAY 8, 2007</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380" w:type="dxa"/>
            <w:vAlign w:val="bottom"/>
          </w:tcPr>
          <w:p>
            <w:pPr>
              <w:spacing w:after="0"/>
              <w:rPr>
                <w:sz w:val="22"/>
                <w:szCs w:val="22"/>
                <w:color w:val="auto"/>
              </w:rPr>
            </w:pPr>
          </w:p>
        </w:tc>
      </w:tr>
      <w:tr>
        <w:trPr>
          <w:trHeight w:val="692"/>
        </w:trPr>
        <w:tc>
          <w:tcPr>
            <w:tcW w:w="3720" w:type="dxa"/>
            <w:vAlign w:val="bottom"/>
          </w:tcPr>
          <w:p>
            <w:pPr>
              <w:spacing w:after="0"/>
              <w:rPr>
                <w:sz w:val="24"/>
                <w:szCs w:val="24"/>
                <w:color w:val="auto"/>
              </w:rPr>
            </w:pPr>
          </w:p>
        </w:tc>
        <w:tc>
          <w:tcPr>
            <w:tcW w:w="5620" w:type="dxa"/>
            <w:vAlign w:val="bottom"/>
            <w:gridSpan w:val="3"/>
          </w:tcPr>
          <w:p>
            <w:pPr>
              <w:jc w:val="right"/>
              <w:ind w:right="4262"/>
              <w:spacing w:after="0"/>
              <w:rPr>
                <w:sz w:val="20"/>
                <w:szCs w:val="20"/>
                <w:color w:val="auto"/>
              </w:rPr>
            </w:pPr>
            <w:r>
              <w:rPr>
                <w:rFonts w:ascii="Arial" w:cs="Arial" w:eastAsia="Arial" w:hAnsi="Arial"/>
                <w:sz w:val="20"/>
                <w:szCs w:val="20"/>
                <w:b w:val="1"/>
                <w:bCs w:val="1"/>
                <w:color w:val="auto"/>
              </w:rPr>
              <w:t>CONTACTS:</w:t>
            </w:r>
          </w:p>
        </w:tc>
      </w:tr>
      <w:tr>
        <w:trPr>
          <w:trHeight w:val="255"/>
        </w:trPr>
        <w:tc>
          <w:tcPr>
            <w:tcW w:w="3720" w:type="dxa"/>
            <w:vAlign w:val="bottom"/>
          </w:tcPr>
          <w:p>
            <w:pPr>
              <w:spacing w:after="0"/>
              <w:rPr>
                <w:sz w:val="20"/>
                <w:szCs w:val="20"/>
                <w:color w:val="auto"/>
              </w:rPr>
            </w:pPr>
            <w:r>
              <w:rPr>
                <w:rFonts w:ascii="Arial" w:cs="Arial" w:eastAsia="Arial" w:hAnsi="Arial"/>
                <w:sz w:val="20"/>
                <w:szCs w:val="20"/>
                <w:color w:val="auto"/>
              </w:rPr>
              <w:t>JEFFREY L. MOBLEY, CFA</w:t>
            </w: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4380" w:type="dxa"/>
            <w:vAlign w:val="bottom"/>
          </w:tcPr>
          <w:p>
            <w:pPr>
              <w:jc w:val="right"/>
              <w:spacing w:after="0"/>
              <w:rPr>
                <w:sz w:val="20"/>
                <w:szCs w:val="20"/>
                <w:color w:val="auto"/>
              </w:rPr>
            </w:pPr>
            <w:r>
              <w:rPr>
                <w:rFonts w:ascii="Arial" w:cs="Arial" w:eastAsia="Arial" w:hAnsi="Arial"/>
                <w:sz w:val="20"/>
                <w:szCs w:val="20"/>
                <w:color w:val="auto"/>
              </w:rPr>
              <w:t>MARC ROWLAND</w:t>
            </w:r>
          </w:p>
        </w:tc>
      </w:tr>
      <w:tr>
        <w:trPr>
          <w:trHeight w:val="240"/>
        </w:trPr>
        <w:tc>
          <w:tcPr>
            <w:tcW w:w="3720" w:type="dxa"/>
            <w:vAlign w:val="bottom"/>
          </w:tcPr>
          <w:p>
            <w:pPr>
              <w:spacing w:after="0"/>
              <w:rPr>
                <w:sz w:val="20"/>
                <w:szCs w:val="20"/>
                <w:color w:val="auto"/>
              </w:rPr>
            </w:pPr>
            <w:r>
              <w:rPr>
                <w:rFonts w:ascii="Arial" w:cs="Arial" w:eastAsia="Arial" w:hAnsi="Arial"/>
                <w:sz w:val="20"/>
                <w:szCs w:val="20"/>
                <w:color w:val="auto"/>
              </w:rPr>
              <w:t>SENIOR VICE PRESIDENT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380" w:type="dxa"/>
            <w:vAlign w:val="bottom"/>
          </w:tcPr>
          <w:p>
            <w:pPr>
              <w:jc w:val="right"/>
              <w:spacing w:after="0"/>
              <w:rPr>
                <w:sz w:val="20"/>
                <w:szCs w:val="20"/>
                <w:color w:val="auto"/>
              </w:rPr>
            </w:pPr>
            <w:r>
              <w:rPr>
                <w:rFonts w:ascii="Arial" w:cs="Arial" w:eastAsia="Arial" w:hAnsi="Arial"/>
                <w:sz w:val="20"/>
                <w:szCs w:val="20"/>
                <w:color w:val="auto"/>
              </w:rPr>
              <w:t>EXECUTIVE VICE PRESIDENT</w:t>
            </w:r>
          </w:p>
        </w:tc>
      </w:tr>
      <w:tr>
        <w:trPr>
          <w:trHeight w:val="240"/>
        </w:trPr>
        <w:tc>
          <w:tcPr>
            <w:tcW w:w="3720" w:type="dxa"/>
            <w:vAlign w:val="bottom"/>
          </w:tcPr>
          <w:p>
            <w:pPr>
              <w:spacing w:after="0"/>
              <w:rPr>
                <w:sz w:val="20"/>
                <w:szCs w:val="20"/>
                <w:color w:val="auto"/>
              </w:rPr>
            </w:pPr>
            <w:r>
              <w:rPr>
                <w:rFonts w:ascii="Arial" w:cs="Arial" w:eastAsia="Arial" w:hAnsi="Arial"/>
                <w:sz w:val="20"/>
                <w:szCs w:val="20"/>
                <w:color w:val="auto"/>
                <w:w w:val="95"/>
              </w:rPr>
              <w:t>INVESTOR RELATIONS AND RESEARCH</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380" w:type="dxa"/>
            <w:vAlign w:val="bottom"/>
          </w:tcPr>
          <w:p>
            <w:pPr>
              <w:jc w:val="right"/>
              <w:spacing w:after="0"/>
              <w:rPr>
                <w:sz w:val="20"/>
                <w:szCs w:val="20"/>
                <w:color w:val="auto"/>
              </w:rPr>
            </w:pPr>
            <w:r>
              <w:rPr>
                <w:rFonts w:ascii="Arial" w:cs="Arial" w:eastAsia="Arial" w:hAnsi="Arial"/>
                <w:sz w:val="20"/>
                <w:szCs w:val="20"/>
                <w:color w:val="auto"/>
              </w:rPr>
              <w:t>AND CHIEF FINANCIAL OFFICER</w:t>
            </w:r>
          </w:p>
        </w:tc>
      </w:tr>
      <w:tr>
        <w:trPr>
          <w:trHeight w:val="248"/>
        </w:trPr>
        <w:tc>
          <w:tcPr>
            <w:tcW w:w="3720" w:type="dxa"/>
            <w:vAlign w:val="bottom"/>
          </w:tcPr>
          <w:p>
            <w:pPr>
              <w:spacing w:after="0"/>
              <w:rPr>
                <w:sz w:val="20"/>
                <w:szCs w:val="20"/>
                <w:color w:val="auto"/>
              </w:rPr>
            </w:pPr>
            <w:r>
              <w:rPr>
                <w:rFonts w:ascii="Arial" w:cs="Arial" w:eastAsia="Arial" w:hAnsi="Arial"/>
                <w:sz w:val="20"/>
                <w:szCs w:val="20"/>
                <w:color w:val="auto"/>
              </w:rPr>
              <w:t>(405) 767-4763</w:t>
            </w:r>
          </w:p>
        </w:tc>
        <w:tc>
          <w:tcPr>
            <w:tcW w:w="5620" w:type="dxa"/>
            <w:vAlign w:val="bottom"/>
            <w:gridSpan w:val="3"/>
          </w:tcPr>
          <w:p>
            <w:pPr>
              <w:jc w:val="right"/>
              <w:spacing w:after="0"/>
              <w:rPr>
                <w:sz w:val="20"/>
                <w:szCs w:val="20"/>
                <w:color w:val="auto"/>
              </w:rPr>
            </w:pPr>
            <w:r>
              <w:rPr>
                <w:rFonts w:ascii="Arial" w:cs="Arial" w:eastAsia="Arial" w:hAnsi="Arial"/>
                <w:sz w:val="20"/>
                <w:szCs w:val="20"/>
                <w:color w:val="auto"/>
              </w:rPr>
              <w:t>(405) 879-9232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607695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695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191770</wp:posOffset>
            </wp:positionV>
            <wp:extent cx="607695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6950" cy="952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1600"/>
        <w:spacing w:after="0"/>
        <w:rPr>
          <w:sz w:val="20"/>
          <w:szCs w:val="20"/>
          <w:color w:val="auto"/>
        </w:rPr>
      </w:pPr>
      <w:r>
        <w:rPr>
          <w:rFonts w:ascii="Arial" w:cs="Arial" w:eastAsia="Arial" w:hAnsi="Arial"/>
          <w:sz w:val="20"/>
          <w:szCs w:val="20"/>
          <w:b w:val="1"/>
          <w:bCs w:val="1"/>
          <w:color w:val="auto"/>
        </w:rPr>
        <w:t>CHESAPEAKE ENERGY CORPORATION INTRODUCES NEW LOGO</w:t>
      </w:r>
    </w:p>
    <w:p>
      <w:pPr>
        <w:spacing w:after="0" w:line="256" w:lineRule="exact"/>
        <w:rPr>
          <w:sz w:val="20"/>
          <w:szCs w:val="20"/>
          <w:color w:val="auto"/>
        </w:rPr>
      </w:pPr>
    </w:p>
    <w:p>
      <w:pPr>
        <w:jc w:val="both"/>
        <w:ind w:right="1600"/>
        <w:spacing w:after="0" w:line="294" w:lineRule="auto"/>
        <w:rPr>
          <w:sz w:val="20"/>
          <w:szCs w:val="20"/>
          <w:color w:val="auto"/>
        </w:rPr>
      </w:pPr>
      <w:r>
        <w:rPr>
          <w:rFonts w:ascii="Arial" w:cs="Arial" w:eastAsia="Arial" w:hAnsi="Arial"/>
          <w:sz w:val="18"/>
          <w:szCs w:val="18"/>
          <w:color w:val="auto"/>
        </w:rPr>
        <w:t>OKLAHOMA CITY, OK, MAY 8, 2007 – Chesapeake Energy Corporation (NYSE:CHK), the nation’s third-largest independent and sixth-largest overall producer of natural gas, introduced its new corporate logo today featuring a distinctive green element to communicate both the environmental attractiveness of natural gas and Chesapeake and the country’s increasing environmental awareness.</w:t>
      </w:r>
    </w:p>
    <w:p>
      <w:pPr>
        <w:spacing w:after="0" w:line="186" w:lineRule="exact"/>
        <w:rPr>
          <w:sz w:val="20"/>
          <w:szCs w:val="20"/>
          <w:color w:val="auto"/>
        </w:rPr>
      </w:pPr>
    </w:p>
    <w:p>
      <w:pPr>
        <w:jc w:val="both"/>
        <w:ind w:right="1600"/>
        <w:spacing w:after="0" w:line="286" w:lineRule="auto"/>
        <w:rPr>
          <w:sz w:val="20"/>
          <w:szCs w:val="20"/>
          <w:color w:val="auto"/>
        </w:rPr>
      </w:pPr>
      <w:r>
        <w:rPr>
          <w:rFonts w:ascii="Arial" w:cs="Arial" w:eastAsia="Arial" w:hAnsi="Arial"/>
          <w:sz w:val="18"/>
          <w:szCs w:val="18"/>
          <w:color w:val="auto"/>
        </w:rPr>
        <w:t>“Corporate logos should clearly communicate what a company stands for and because Chesapeake has evolved significantly in the seven years since we last updated our logo, we believed it was time for an upgrade. The new logo reflects the increased size of Chesapeake, our unparalleled commitment to natural gas and highlights to our stakeholders the environmental attractiveness of the product we sell. Our new logo also serves as a key visual element of our corporate communications focus to more strongly leverage our industry leadership position and to emphasize the economic and environmental attributes of natural gas,” said Chesapeake’s chairman and CEO, Aubrey K. McClendon.</w:t>
      </w:r>
    </w:p>
    <w:p>
      <w:pPr>
        <w:spacing w:after="0" w:line="193" w:lineRule="exact"/>
        <w:rPr>
          <w:sz w:val="20"/>
          <w:szCs w:val="20"/>
          <w:color w:val="auto"/>
        </w:rPr>
      </w:pPr>
    </w:p>
    <w:p>
      <w:pPr>
        <w:jc w:val="both"/>
        <w:ind w:right="1600"/>
        <w:spacing w:after="0" w:line="287" w:lineRule="auto"/>
        <w:rPr>
          <w:sz w:val="20"/>
          <w:szCs w:val="20"/>
          <w:color w:val="auto"/>
        </w:rPr>
      </w:pPr>
      <w:r>
        <w:rPr>
          <w:rFonts w:ascii="Arial" w:cs="Arial" w:eastAsia="Arial" w:hAnsi="Arial"/>
          <w:sz w:val="18"/>
          <w:szCs w:val="18"/>
          <w:color w:val="auto"/>
        </w:rPr>
        <w:t>Chesapeake’s new logo features several new and updated design elements. The addition of a bright green stroke represents the most notable addition to the new logo. “This element suggests the earth and visibly communicates the company’s commitment to the environment – an attribute of which we are very proud,” McClendon noted. In addition, the familiar flame in Chesapeake’s previous logo has been graphically revamped to more effectively convey the energetic spirit of Chesapeake’s strategy and employees. Moreover, adding the word “Energy” to the logo more clearly identifies the company as a leading energy explorer and producer.</w:t>
      </w:r>
    </w:p>
    <w:p>
      <w:pPr>
        <w:sectPr>
          <w:pgSz w:w="12240" w:h="15840" w:orient="portrait"/>
          <w:cols w:equalWidth="0" w:num="1">
            <w:col w:w="10600"/>
          </w:cols>
          <w:pgMar w:left="900" w:top="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5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600"/>
          </w:cols>
          <w:pgMar w:left="900" w:top="0" w:right="740" w:bottom="0" w:gutter="0" w:footer="0" w:header="0"/>
          <w:type w:val="continuous"/>
        </w:sectPr>
      </w:pPr>
    </w:p>
    <w:bookmarkStart w:id="5" w:name="page6"/>
    <w:bookmarkEnd w:id="5"/>
    <w:p>
      <w:pPr>
        <w:jc w:val="both"/>
        <w:ind w:right="1600"/>
        <w:spacing w:after="0" w:line="287" w:lineRule="auto"/>
        <w:rPr>
          <w:sz w:val="20"/>
          <w:szCs w:val="20"/>
          <w:color w:val="auto"/>
        </w:rPr>
      </w:pPr>
      <w:r>
        <w:rPr>
          <w:rFonts w:ascii="Arial" w:cs="Arial" w:eastAsia="Arial" w:hAnsi="Arial"/>
          <w:sz w:val="18"/>
          <w:szCs w:val="18"/>
          <w:color w:val="auto"/>
        </w:rPr>
        <w:t>In his email to Chesapeake’s 5,000 employees that rolled out the new “Clean and Green” logo, McClendon emphasized that Chesapeake and the natural gas industry can help solve the energy and environmental challenges the country and the world are facing in the years ahead. He also noted that some of the great public debates of the next decade will be waged over how America will meet its growing need for more electricity while at the same time reducing greenhouse gas emissions that are widely blamed for causing global warming.</w:t>
      </w:r>
    </w:p>
    <w:p>
      <w:pPr>
        <w:spacing w:after="0" w:line="193" w:lineRule="exact"/>
        <w:rPr>
          <w:sz w:val="20"/>
          <w:szCs w:val="20"/>
          <w:color w:val="auto"/>
        </w:rPr>
      </w:pPr>
    </w:p>
    <w:p>
      <w:pPr>
        <w:jc w:val="both"/>
        <w:ind w:right="1600"/>
        <w:spacing w:after="0" w:line="285" w:lineRule="auto"/>
        <w:rPr>
          <w:sz w:val="20"/>
          <w:szCs w:val="20"/>
          <w:color w:val="auto"/>
        </w:rPr>
      </w:pPr>
      <w:r>
        <w:rPr>
          <w:rFonts w:ascii="Arial" w:cs="Arial" w:eastAsia="Arial" w:hAnsi="Arial"/>
          <w:sz w:val="18"/>
          <w:szCs w:val="18"/>
          <w:color w:val="auto"/>
        </w:rPr>
        <w:t>Citing current statistics, Mr. McClendon stated, “Burning natural gas instead of oil products or coal reduces greenhouse gas emissions by approximately 50%. Natural gas currently fuels about 21% of the nation’s electricity generation and is well positioned for further market-share gains. By comparison, coal-fired generation provides 52%, nuclear plants provide 21% and renewable sources such as hydro and wind provide 6%. We are seeing a broad movement in our country toward limiting greenhouse gas emissions and embracing smarter environmental practices by consumers and companies. Americans need more energy, but they also want cleaner skies. We believe the evidence clearly demonstrates that natural gas is by far the most practical solution to the problem – it is abundant, affordable, reliable, clean burning and domestically produced.</w:t>
      </w:r>
    </w:p>
    <w:p>
      <w:pPr>
        <w:spacing w:after="0" w:line="194" w:lineRule="exact"/>
        <w:rPr>
          <w:sz w:val="20"/>
          <w:szCs w:val="20"/>
          <w:color w:val="auto"/>
        </w:rPr>
      </w:pPr>
    </w:p>
    <w:p>
      <w:pPr>
        <w:jc w:val="both"/>
        <w:ind w:right="1600"/>
        <w:spacing w:after="0" w:line="290" w:lineRule="auto"/>
        <w:rPr>
          <w:sz w:val="20"/>
          <w:szCs w:val="20"/>
          <w:color w:val="auto"/>
        </w:rPr>
      </w:pPr>
      <w:r>
        <w:rPr>
          <w:rFonts w:ascii="Arial" w:cs="Arial" w:eastAsia="Arial" w:hAnsi="Arial"/>
          <w:sz w:val="18"/>
          <w:szCs w:val="18"/>
          <w:color w:val="auto"/>
        </w:rPr>
        <w:t>“We intend to enthusiastically communicate the superiority of natural gas over other energy sources beginning with the introduction of our new logo and the founding of the American Clean Skies Foundation. This foundation will be focused on educating policymakers and consumers about the positive attributes of natural gas. It will be based in Washington, D.C. and will be headed by the very capable and knowledgeable Denise Bode upon her resignation from Oklahoma’s Corporation Commission at the end of May,” McClendon said.</w:t>
      </w:r>
    </w:p>
    <w:p>
      <w:pPr>
        <w:spacing w:after="0" w:line="189" w:lineRule="exact"/>
        <w:rPr>
          <w:sz w:val="20"/>
          <w:szCs w:val="20"/>
          <w:color w:val="auto"/>
        </w:rPr>
      </w:pPr>
    </w:p>
    <w:p>
      <w:pPr>
        <w:jc w:val="both"/>
        <w:ind w:right="1600"/>
        <w:spacing w:after="0" w:line="259" w:lineRule="auto"/>
        <w:rPr>
          <w:sz w:val="20"/>
          <w:szCs w:val="20"/>
          <w:color w:val="auto"/>
        </w:rPr>
      </w:pPr>
      <w:r>
        <w:rPr>
          <w:rFonts w:ascii="Arial" w:cs="Arial" w:eastAsia="Arial" w:hAnsi="Arial"/>
          <w:sz w:val="20"/>
          <w:szCs w:val="20"/>
          <w:color w:val="auto"/>
        </w:rPr>
        <w:t>The Oklahoma City-based advertising agency Ackerman-McQueen has worked with Chesapeake on numerous corporate image projects over the years and developed the new logo with input from Chesapeake’s graphic design department.</w:t>
      </w:r>
    </w:p>
    <w:p>
      <w:pPr>
        <w:spacing w:after="0" w:line="215" w:lineRule="exact"/>
        <w:rPr>
          <w:sz w:val="20"/>
          <w:szCs w:val="20"/>
          <w:color w:val="auto"/>
        </w:rPr>
      </w:pPr>
    </w:p>
    <w:p>
      <w:pPr>
        <w:jc w:val="both"/>
        <w:ind w:right="1600"/>
        <w:spacing w:after="0" w:line="260" w:lineRule="auto"/>
        <w:rPr>
          <w:sz w:val="20"/>
          <w:szCs w:val="20"/>
          <w:color w:val="auto"/>
        </w:rPr>
      </w:pPr>
      <w:r>
        <w:rPr>
          <w:rFonts w:ascii="Arial" w:cs="Arial" w:eastAsia="Arial" w:hAnsi="Arial"/>
          <w:sz w:val="14"/>
          <w:szCs w:val="14"/>
          <w:i w:val="1"/>
          <w:iCs w:val="1"/>
          <w:color w:val="auto"/>
        </w:rPr>
        <w:t xml:space="preserve">Chesapeake Energy Corporation is the third-largest independent and sixth-largest overall producer of natural gas in the U.S. Headquartered in Oklahoma City, the company’s operations are focused on exploratory and developmental drilling and corporate and property acquisitions in the Mid-Continent, Fort Worth Barnett Shale, Fayetteville Shale, Permian Basin, Delaware Basin, South Texas, Texas Gulf Coast, Ark-La-Tex and Appalachian Basin regions of the United States. The company’s Internet address is </w:t>
      </w:r>
      <w:r>
        <w:rPr>
          <w:rFonts w:ascii="Arial" w:cs="Arial" w:eastAsia="Arial" w:hAnsi="Arial"/>
          <w:sz w:val="14"/>
          <w:szCs w:val="14"/>
          <w:i w:val="1"/>
          <w:iCs w:val="1"/>
          <w:color w:val="0000FF"/>
        </w:rPr>
        <w:t>www.chkenergy.com</w:t>
      </w:r>
      <w:r>
        <w:rPr>
          <w:rFonts w:ascii="Arial" w:cs="Arial" w:eastAsia="Arial" w:hAnsi="Arial"/>
          <w:sz w:val="14"/>
          <w:szCs w:val="14"/>
          <w:i w:val="1"/>
          <w:iCs w:val="1"/>
          <w:color w:val="auto"/>
        </w:rPr>
        <w:t>.</w:t>
      </w:r>
    </w:p>
    <w:p>
      <w:pPr>
        <w:sectPr>
          <w:pgSz w:w="12240" w:h="15840" w:orient="portrait"/>
          <w:cols w:equalWidth="0" w:num="1">
            <w:col w:w="10600"/>
          </w:cols>
          <w:pgMar w:left="900" w:top="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5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600"/>
          </w:cols>
          <w:pgMar w:left="900" w:top="0" w:right="740" w:bottom="0" w:gutter="0" w:footer="0" w:header="0"/>
          <w:type w:val="continuous"/>
        </w:sectPr>
      </w:pPr>
    </w:p>
    <w:bookmarkStart w:id="6" w:name="page7"/>
    <w:bookmarkEnd w:id="6"/>
    <w:p>
      <w:pPr>
        <w:ind w:left="7780"/>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311150</wp:posOffset>
            </wp:positionV>
            <wp:extent cx="2314575" cy="1400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4575" cy="140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614"/>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80" w:type="dxa"/>
            <w:vAlign w:val="bottom"/>
          </w:tcPr>
          <w:p>
            <w:pPr>
              <w:jc w:val="right"/>
              <w:spacing w:after="0"/>
              <w:rPr>
                <w:sz w:val="20"/>
                <w:szCs w:val="20"/>
                <w:color w:val="auto"/>
              </w:rPr>
            </w:pPr>
            <w:r>
              <w:rPr>
                <w:rFonts w:ascii="Arial" w:cs="Arial" w:eastAsia="Arial" w:hAnsi="Arial"/>
                <w:sz w:val="48"/>
                <w:szCs w:val="48"/>
                <w:b w:val="1"/>
                <w:bCs w:val="1"/>
                <w:i w:val="1"/>
                <w:iCs w:val="1"/>
                <w:color w:val="auto"/>
                <w:w w:val="99"/>
              </w:rPr>
              <w:t>N e w s R e l e a s e</w:t>
            </w:r>
          </w:p>
        </w:tc>
      </w:tr>
      <w:tr>
        <w:trPr>
          <w:trHeight w:val="926"/>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80" w:type="dxa"/>
            <w:vAlign w:val="bottom"/>
          </w:tcPr>
          <w:p>
            <w:pPr>
              <w:jc w:val="right"/>
              <w:spacing w:after="0"/>
              <w:rPr>
                <w:sz w:val="20"/>
                <w:szCs w:val="20"/>
                <w:color w:val="auto"/>
              </w:rPr>
            </w:pPr>
            <w:r>
              <w:rPr>
                <w:rFonts w:ascii="Arial" w:cs="Arial" w:eastAsia="Arial" w:hAnsi="Arial"/>
                <w:sz w:val="20"/>
                <w:szCs w:val="20"/>
                <w:b w:val="1"/>
                <w:bCs w:val="1"/>
                <w:color w:val="auto"/>
              </w:rPr>
              <w:t>Chesapeake Energy Corporation</w:t>
            </w:r>
          </w:p>
        </w:tc>
      </w:tr>
      <w:tr>
        <w:trPr>
          <w:trHeight w:val="240"/>
        </w:trPr>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380" w:type="dxa"/>
            <w:vAlign w:val="bottom"/>
          </w:tcPr>
          <w:p>
            <w:pPr>
              <w:jc w:val="right"/>
              <w:spacing w:after="0"/>
              <w:rPr>
                <w:sz w:val="20"/>
                <w:szCs w:val="20"/>
                <w:color w:val="auto"/>
              </w:rPr>
            </w:pPr>
            <w:r>
              <w:rPr>
                <w:rFonts w:ascii="Arial" w:cs="Arial" w:eastAsia="Arial" w:hAnsi="Arial"/>
                <w:sz w:val="20"/>
                <w:szCs w:val="20"/>
                <w:color w:val="auto"/>
              </w:rPr>
              <w:t>P. O. Box 18496</w:t>
            </w:r>
          </w:p>
        </w:tc>
      </w:tr>
      <w:tr>
        <w:trPr>
          <w:trHeight w:val="248"/>
        </w:trPr>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380" w:type="dxa"/>
            <w:vAlign w:val="bottom"/>
          </w:tcPr>
          <w:p>
            <w:pPr>
              <w:jc w:val="right"/>
              <w:spacing w:after="0"/>
              <w:rPr>
                <w:sz w:val="20"/>
                <w:szCs w:val="20"/>
                <w:color w:val="auto"/>
              </w:rPr>
            </w:pPr>
            <w:r>
              <w:rPr>
                <w:rFonts w:ascii="Arial" w:cs="Arial" w:eastAsia="Arial" w:hAnsi="Arial"/>
                <w:sz w:val="20"/>
                <w:szCs w:val="20"/>
                <w:color w:val="auto"/>
              </w:rPr>
              <w:t>Oklahoma City, OK 73154</w:t>
            </w:r>
          </w:p>
        </w:tc>
      </w:tr>
      <w:tr>
        <w:trPr>
          <w:trHeight w:val="271"/>
        </w:trPr>
        <w:tc>
          <w:tcPr>
            <w:tcW w:w="3720" w:type="dxa"/>
            <w:vAlign w:val="bottom"/>
          </w:tcPr>
          <w:p>
            <w:pPr>
              <w:spacing w:after="0"/>
              <w:rPr>
                <w:sz w:val="20"/>
                <w:szCs w:val="20"/>
                <w:color w:val="auto"/>
              </w:rPr>
            </w:pPr>
            <w:r>
              <w:rPr>
                <w:rFonts w:ascii="Arial" w:cs="Arial" w:eastAsia="Arial" w:hAnsi="Arial"/>
                <w:sz w:val="20"/>
                <w:szCs w:val="20"/>
                <w:b w:val="1"/>
                <w:bCs w:val="1"/>
                <w:color w:val="auto"/>
              </w:rPr>
              <w:t>FOR IMMEDIATE RELEASE</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380" w:type="dxa"/>
            <w:vAlign w:val="bottom"/>
          </w:tcPr>
          <w:p>
            <w:pPr>
              <w:spacing w:after="0"/>
              <w:rPr>
                <w:sz w:val="23"/>
                <w:szCs w:val="23"/>
                <w:color w:val="auto"/>
              </w:rPr>
            </w:pPr>
          </w:p>
        </w:tc>
      </w:tr>
      <w:tr>
        <w:trPr>
          <w:trHeight w:val="254"/>
        </w:trPr>
        <w:tc>
          <w:tcPr>
            <w:tcW w:w="3720" w:type="dxa"/>
            <w:vAlign w:val="bottom"/>
          </w:tcPr>
          <w:p>
            <w:pPr>
              <w:spacing w:after="0"/>
              <w:rPr>
                <w:sz w:val="20"/>
                <w:szCs w:val="20"/>
                <w:color w:val="auto"/>
              </w:rPr>
            </w:pPr>
            <w:r>
              <w:rPr>
                <w:rFonts w:ascii="Arial" w:cs="Arial" w:eastAsia="Arial" w:hAnsi="Arial"/>
                <w:sz w:val="20"/>
                <w:szCs w:val="20"/>
                <w:b w:val="1"/>
                <w:bCs w:val="1"/>
                <w:color w:val="auto"/>
              </w:rPr>
              <w:t>MAY 8, 2007</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380" w:type="dxa"/>
            <w:vAlign w:val="bottom"/>
          </w:tcPr>
          <w:p>
            <w:pPr>
              <w:spacing w:after="0"/>
              <w:rPr>
                <w:sz w:val="22"/>
                <w:szCs w:val="22"/>
                <w:color w:val="auto"/>
              </w:rPr>
            </w:pPr>
          </w:p>
        </w:tc>
      </w:tr>
      <w:tr>
        <w:trPr>
          <w:trHeight w:val="722"/>
        </w:trPr>
        <w:tc>
          <w:tcPr>
            <w:tcW w:w="3720" w:type="dxa"/>
            <w:vAlign w:val="bottom"/>
          </w:tcPr>
          <w:p>
            <w:pPr>
              <w:spacing w:after="0"/>
              <w:rPr>
                <w:sz w:val="24"/>
                <w:szCs w:val="24"/>
                <w:color w:val="auto"/>
              </w:rPr>
            </w:pPr>
          </w:p>
        </w:tc>
        <w:tc>
          <w:tcPr>
            <w:tcW w:w="5620" w:type="dxa"/>
            <w:vAlign w:val="bottom"/>
            <w:gridSpan w:val="3"/>
          </w:tcPr>
          <w:p>
            <w:pPr>
              <w:jc w:val="right"/>
              <w:ind w:right="4262"/>
              <w:spacing w:after="0"/>
              <w:rPr>
                <w:sz w:val="20"/>
                <w:szCs w:val="20"/>
                <w:color w:val="auto"/>
              </w:rPr>
            </w:pPr>
            <w:r>
              <w:rPr>
                <w:rFonts w:ascii="Arial" w:cs="Arial" w:eastAsia="Arial" w:hAnsi="Arial"/>
                <w:sz w:val="20"/>
                <w:szCs w:val="20"/>
                <w:b w:val="1"/>
                <w:bCs w:val="1"/>
                <w:color w:val="auto"/>
              </w:rPr>
              <w:t>CONTACTS:</w:t>
            </w:r>
          </w:p>
        </w:tc>
      </w:tr>
      <w:tr>
        <w:trPr>
          <w:trHeight w:val="255"/>
        </w:trPr>
        <w:tc>
          <w:tcPr>
            <w:tcW w:w="3720" w:type="dxa"/>
            <w:vAlign w:val="bottom"/>
          </w:tcPr>
          <w:p>
            <w:pPr>
              <w:spacing w:after="0"/>
              <w:rPr>
                <w:sz w:val="20"/>
                <w:szCs w:val="20"/>
                <w:color w:val="auto"/>
              </w:rPr>
            </w:pPr>
            <w:r>
              <w:rPr>
                <w:rFonts w:ascii="Arial" w:cs="Arial" w:eastAsia="Arial" w:hAnsi="Arial"/>
                <w:sz w:val="20"/>
                <w:szCs w:val="20"/>
                <w:color w:val="auto"/>
              </w:rPr>
              <w:t>JEFFREY L. MOBLEY, CFA</w:t>
            </w: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4380" w:type="dxa"/>
            <w:vAlign w:val="bottom"/>
          </w:tcPr>
          <w:p>
            <w:pPr>
              <w:jc w:val="right"/>
              <w:spacing w:after="0"/>
              <w:rPr>
                <w:sz w:val="20"/>
                <w:szCs w:val="20"/>
                <w:color w:val="auto"/>
              </w:rPr>
            </w:pPr>
            <w:r>
              <w:rPr>
                <w:rFonts w:ascii="Arial" w:cs="Arial" w:eastAsia="Arial" w:hAnsi="Arial"/>
                <w:sz w:val="20"/>
                <w:szCs w:val="20"/>
                <w:color w:val="auto"/>
              </w:rPr>
              <w:t>MARC ROWLAND</w:t>
            </w:r>
          </w:p>
        </w:tc>
      </w:tr>
      <w:tr>
        <w:trPr>
          <w:trHeight w:val="240"/>
        </w:trPr>
        <w:tc>
          <w:tcPr>
            <w:tcW w:w="3720" w:type="dxa"/>
            <w:vAlign w:val="bottom"/>
          </w:tcPr>
          <w:p>
            <w:pPr>
              <w:spacing w:after="0"/>
              <w:rPr>
                <w:sz w:val="20"/>
                <w:szCs w:val="20"/>
                <w:color w:val="auto"/>
              </w:rPr>
            </w:pPr>
            <w:r>
              <w:rPr>
                <w:rFonts w:ascii="Arial" w:cs="Arial" w:eastAsia="Arial" w:hAnsi="Arial"/>
                <w:sz w:val="20"/>
                <w:szCs w:val="20"/>
                <w:color w:val="auto"/>
              </w:rPr>
              <w:t>SENIOR VICE PRESIDENT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380" w:type="dxa"/>
            <w:vAlign w:val="bottom"/>
          </w:tcPr>
          <w:p>
            <w:pPr>
              <w:jc w:val="right"/>
              <w:spacing w:after="0"/>
              <w:rPr>
                <w:sz w:val="20"/>
                <w:szCs w:val="20"/>
                <w:color w:val="auto"/>
              </w:rPr>
            </w:pPr>
            <w:r>
              <w:rPr>
                <w:rFonts w:ascii="Arial" w:cs="Arial" w:eastAsia="Arial" w:hAnsi="Arial"/>
                <w:sz w:val="20"/>
                <w:szCs w:val="20"/>
                <w:color w:val="auto"/>
              </w:rPr>
              <w:t>EXECUTIVE VICE PRESIDENT</w:t>
            </w:r>
          </w:p>
        </w:tc>
      </w:tr>
      <w:tr>
        <w:trPr>
          <w:trHeight w:val="240"/>
        </w:trPr>
        <w:tc>
          <w:tcPr>
            <w:tcW w:w="3720" w:type="dxa"/>
            <w:vAlign w:val="bottom"/>
          </w:tcPr>
          <w:p>
            <w:pPr>
              <w:spacing w:after="0"/>
              <w:rPr>
                <w:sz w:val="20"/>
                <w:szCs w:val="20"/>
                <w:color w:val="auto"/>
              </w:rPr>
            </w:pPr>
            <w:r>
              <w:rPr>
                <w:rFonts w:ascii="Arial" w:cs="Arial" w:eastAsia="Arial" w:hAnsi="Arial"/>
                <w:sz w:val="20"/>
                <w:szCs w:val="20"/>
                <w:color w:val="auto"/>
                <w:w w:val="95"/>
              </w:rPr>
              <w:t>INVESTOR RELATIONS AND RESEARCH</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380" w:type="dxa"/>
            <w:vAlign w:val="bottom"/>
          </w:tcPr>
          <w:p>
            <w:pPr>
              <w:jc w:val="right"/>
              <w:spacing w:after="0"/>
              <w:rPr>
                <w:sz w:val="20"/>
                <w:szCs w:val="20"/>
                <w:color w:val="auto"/>
              </w:rPr>
            </w:pPr>
            <w:r>
              <w:rPr>
                <w:rFonts w:ascii="Arial" w:cs="Arial" w:eastAsia="Arial" w:hAnsi="Arial"/>
                <w:sz w:val="20"/>
                <w:szCs w:val="20"/>
                <w:color w:val="auto"/>
              </w:rPr>
              <w:t>AND CHIEF FINANCIAL OFFICER</w:t>
            </w:r>
          </w:p>
        </w:tc>
      </w:tr>
      <w:tr>
        <w:trPr>
          <w:trHeight w:val="248"/>
        </w:trPr>
        <w:tc>
          <w:tcPr>
            <w:tcW w:w="3720" w:type="dxa"/>
            <w:vAlign w:val="bottom"/>
          </w:tcPr>
          <w:p>
            <w:pPr>
              <w:spacing w:after="0"/>
              <w:rPr>
                <w:sz w:val="20"/>
                <w:szCs w:val="20"/>
                <w:color w:val="auto"/>
              </w:rPr>
            </w:pPr>
            <w:r>
              <w:rPr>
                <w:rFonts w:ascii="Arial" w:cs="Arial" w:eastAsia="Arial" w:hAnsi="Arial"/>
                <w:sz w:val="20"/>
                <w:szCs w:val="20"/>
                <w:color w:val="auto"/>
              </w:rPr>
              <w:t>(405) 767-4763</w:t>
            </w:r>
          </w:p>
        </w:tc>
        <w:tc>
          <w:tcPr>
            <w:tcW w:w="5620" w:type="dxa"/>
            <w:vAlign w:val="bottom"/>
            <w:gridSpan w:val="3"/>
          </w:tcPr>
          <w:p>
            <w:pPr>
              <w:jc w:val="right"/>
              <w:spacing w:after="0"/>
              <w:rPr>
                <w:sz w:val="20"/>
                <w:szCs w:val="20"/>
                <w:color w:val="auto"/>
              </w:rPr>
            </w:pPr>
            <w:r>
              <w:rPr>
                <w:rFonts w:ascii="Arial" w:cs="Arial" w:eastAsia="Arial" w:hAnsi="Arial"/>
                <w:sz w:val="20"/>
                <w:szCs w:val="20"/>
                <w:color w:val="auto"/>
              </w:rPr>
              <w:t>(405) 879-9232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607695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695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191770</wp:posOffset>
            </wp:positionV>
            <wp:extent cx="607695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6950" cy="952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1600"/>
        <w:spacing w:after="0"/>
        <w:rPr>
          <w:sz w:val="20"/>
          <w:szCs w:val="20"/>
          <w:color w:val="auto"/>
        </w:rPr>
      </w:pPr>
      <w:r>
        <w:rPr>
          <w:rFonts w:ascii="Arial" w:cs="Arial" w:eastAsia="Arial" w:hAnsi="Arial"/>
          <w:sz w:val="20"/>
          <w:szCs w:val="20"/>
          <w:b w:val="1"/>
          <w:bCs w:val="1"/>
          <w:color w:val="auto"/>
        </w:rPr>
        <w:t>CHESAPEAKE ENERGY CORPORATION ANNOUNCES OFFERING OF</w:t>
      </w:r>
    </w:p>
    <w:p>
      <w:pPr>
        <w:spacing w:after="0" w:line="24" w:lineRule="exact"/>
        <w:rPr>
          <w:sz w:val="20"/>
          <w:szCs w:val="20"/>
          <w:color w:val="auto"/>
        </w:rPr>
      </w:pPr>
    </w:p>
    <w:p>
      <w:pPr>
        <w:jc w:val="center"/>
        <w:ind w:right="1600"/>
        <w:spacing w:after="0"/>
        <w:rPr>
          <w:sz w:val="20"/>
          <w:szCs w:val="20"/>
          <w:color w:val="auto"/>
        </w:rPr>
      </w:pPr>
      <w:r>
        <w:rPr>
          <w:rFonts w:ascii="Arial" w:cs="Arial" w:eastAsia="Arial" w:hAnsi="Arial"/>
          <w:sz w:val="20"/>
          <w:szCs w:val="20"/>
          <w:b w:val="1"/>
          <w:bCs w:val="1"/>
          <w:color w:val="auto"/>
        </w:rPr>
        <w:t>$1.0 BILLION OF CONTINGENT CONVERTIBLE SENIOR NOTES</w:t>
      </w:r>
    </w:p>
    <w:p>
      <w:pPr>
        <w:spacing w:after="0" w:line="242" w:lineRule="exact"/>
        <w:rPr>
          <w:sz w:val="20"/>
          <w:szCs w:val="20"/>
          <w:color w:val="auto"/>
        </w:rPr>
      </w:pPr>
    </w:p>
    <w:p>
      <w:pPr>
        <w:jc w:val="both"/>
        <w:ind w:right="1600"/>
        <w:spacing w:after="0" w:line="302" w:lineRule="auto"/>
        <w:rPr>
          <w:sz w:val="20"/>
          <w:szCs w:val="20"/>
          <w:color w:val="auto"/>
        </w:rPr>
      </w:pPr>
      <w:r>
        <w:rPr>
          <w:rFonts w:ascii="Arial" w:cs="Arial" w:eastAsia="Arial" w:hAnsi="Arial"/>
          <w:sz w:val="17"/>
          <w:szCs w:val="17"/>
          <w:color w:val="auto"/>
        </w:rPr>
        <w:t>OKLAHOMA CITY, OKLAHOMA, MAY 8, 2007 – Chesapeake Energy Corporation (NYSE:CHK) today announced that it is commencing a public offering of $1.0 billion of a new issue of contingent convertible senior notes due 2037. The notes will be convertible, under certain circumstances, using a net share settlement process, into a combination of cash and Chesapeake common stock. In general, upon conversion of a note, the holder of such note will receive cash equal to the principal amount of the note and common stock for the note’s conversion value in excess of the principal amount of the note. Chesapeake intends to use the net proceeds from the offering to repay outstanding indebtedness under its revolving credit facility. The contingent convertible senior notes are being offered pursuant to an automatically effective registration statement filed today with the U.S. Securities and Exchange Commission. Chesapeake intends to list the notes on the New York Stock Exchange after issuance.</w:t>
      </w:r>
    </w:p>
    <w:p>
      <w:pPr>
        <w:spacing w:after="0" w:line="186" w:lineRule="exact"/>
        <w:rPr>
          <w:sz w:val="20"/>
          <w:szCs w:val="20"/>
          <w:color w:val="auto"/>
        </w:rPr>
      </w:pPr>
    </w:p>
    <w:p>
      <w:pPr>
        <w:jc w:val="both"/>
        <w:ind w:right="1600"/>
        <w:spacing w:after="0" w:line="287" w:lineRule="auto"/>
        <w:rPr>
          <w:sz w:val="20"/>
          <w:szCs w:val="20"/>
          <w:color w:val="auto"/>
        </w:rPr>
      </w:pPr>
      <w:r>
        <w:rPr>
          <w:rFonts w:ascii="Arial" w:cs="Arial" w:eastAsia="Arial" w:hAnsi="Arial"/>
          <w:sz w:val="18"/>
          <w:szCs w:val="18"/>
          <w:color w:val="auto"/>
        </w:rPr>
        <w:t>Credit Suisse Securities (USA) LLC and UBS Securities LLC will act as Joint Global Coordinators and Book-Running Managers for the offering. Copies of the preliminary prospectus and records relating to the offering may be obtained from the offices of Credit Suisse Securities (USA) LLC, Prospectus Department, One Madison Avenue, New York, NY 10010, 1-800-221-1037 or UBS Securities LLC, Prospectus Department, 299 Park Avenue, 29th Floor, New York, NY 10071, 212-821-3000. An electronic copy of the prospectus will be available on the website of the Securities and Exchange Commission at www.sec.gov.</w:t>
      </w:r>
    </w:p>
    <w:p>
      <w:pPr>
        <w:spacing w:after="0" w:line="195" w:lineRule="exact"/>
        <w:rPr>
          <w:sz w:val="20"/>
          <w:szCs w:val="20"/>
          <w:color w:val="auto"/>
        </w:rPr>
      </w:pPr>
    </w:p>
    <w:p>
      <w:pPr>
        <w:jc w:val="both"/>
        <w:ind w:right="1600"/>
        <w:spacing w:after="0" w:line="301"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country in which such offer, solicitation or sale would be unlawful prior to registration or qualification under the securities laws of any state or country.</w:t>
      </w:r>
    </w:p>
    <w:p>
      <w:pPr>
        <w:sectPr>
          <w:pgSz w:w="12240" w:h="15840" w:orient="portrait"/>
          <w:cols w:equalWidth="0" w:num="1">
            <w:col w:w="10600"/>
          </w:cols>
          <w:pgMar w:left="900" w:top="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5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600"/>
          </w:cols>
          <w:pgMar w:left="900" w:top="0" w:right="740" w:bottom="0" w:gutter="0" w:footer="0" w:header="0"/>
          <w:type w:val="continuous"/>
        </w:sectPr>
      </w:pPr>
    </w:p>
    <w:bookmarkStart w:id="7" w:name="page8"/>
    <w:bookmarkEnd w:id="7"/>
    <w:p>
      <w:pPr>
        <w:jc w:val="both"/>
        <w:ind w:right="1600"/>
        <w:spacing w:after="0" w:line="234" w:lineRule="auto"/>
        <w:rPr>
          <w:sz w:val="20"/>
          <w:szCs w:val="20"/>
          <w:color w:val="auto"/>
        </w:rPr>
      </w:pPr>
      <w:r>
        <w:rPr>
          <w:rFonts w:ascii="Arial" w:cs="Arial" w:eastAsia="Arial" w:hAnsi="Arial"/>
          <w:sz w:val="15"/>
          <w:szCs w:val="15"/>
          <w:i w:val="1"/>
          <w:iCs w:val="1"/>
          <w:color w:val="auto"/>
        </w:rPr>
        <w:t>Chesapeake Energy Corporation is the third-largest independent and sixth-largest overall producer of natural gas in the U.S. Headquartered in Oklahoma City, the company’s operations are focused on exploratory and developmental drilling and corporate and property acquisitions in the Mid-Continent, Fort Worth Barnett Shale, Fayetteville Shale, Permian Basin, Delaware Basin, South Texas, Texas Gulf Coast, Ark-La-Tex and Appalachian Basin regions of the United States.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2</w:t>
      </w:r>
    </w:p>
    <w:p>
      <w:pPr>
        <w:sectPr>
          <w:pgSz w:w="12240" w:h="15840" w:orient="portrait"/>
          <w:cols w:equalWidth="0" w:num="1">
            <w:col w:w="10600"/>
          </w:cols>
          <w:pgMar w:left="900" w:top="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5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600"/>
          </w:cols>
          <w:pgMar w:left="900" w:top="0" w:right="740" w:bottom="0" w:gutter="0" w:footer="0" w:header="0"/>
          <w:type w:val="continuous"/>
        </w:sectPr>
      </w:pPr>
    </w:p>
    <w:bookmarkStart w:id="8" w:name="page9"/>
    <w:bookmarkEnd w:id="8"/>
    <w:p>
      <w:pPr>
        <w:ind w:left="7780"/>
        <w:spacing w:after="0"/>
        <w:rPr>
          <w:sz w:val="20"/>
          <w:szCs w:val="20"/>
          <w:color w:val="auto"/>
        </w:rPr>
      </w:pPr>
      <w:r>
        <w:rPr>
          <w:rFonts w:ascii="Arial" w:cs="Arial" w:eastAsia="Arial" w:hAnsi="Arial"/>
          <w:sz w:val="20"/>
          <w:szCs w:val="20"/>
          <w:b w:val="1"/>
          <w:bCs w:val="1"/>
          <w:u w:val="single" w:color="auto"/>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311150</wp:posOffset>
            </wp:positionV>
            <wp:extent cx="2314575" cy="1400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4575" cy="140017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right"/>
        <w:ind w:right="1140"/>
        <w:spacing w:after="0"/>
        <w:rPr>
          <w:sz w:val="20"/>
          <w:szCs w:val="20"/>
          <w:color w:val="auto"/>
        </w:rPr>
      </w:pPr>
      <w:r>
        <w:rPr>
          <w:rFonts w:ascii="Arial" w:cs="Arial" w:eastAsia="Arial" w:hAnsi="Arial"/>
          <w:sz w:val="48"/>
          <w:szCs w:val="48"/>
          <w:b w:val="1"/>
          <w:bCs w:val="1"/>
          <w:i w:val="1"/>
          <w:iCs w:val="1"/>
          <w:color w:val="auto"/>
        </w:rPr>
        <w:t>N e w s R e l e a s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46"/>
        </w:trPr>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380" w:type="dxa"/>
            <w:vAlign w:val="bottom"/>
          </w:tcPr>
          <w:p>
            <w:pPr>
              <w:jc w:val="right"/>
              <w:spacing w:after="0"/>
              <w:rPr>
                <w:sz w:val="20"/>
                <w:szCs w:val="20"/>
                <w:color w:val="auto"/>
              </w:rPr>
            </w:pPr>
            <w:r>
              <w:rPr>
                <w:rFonts w:ascii="Arial" w:cs="Arial" w:eastAsia="Arial" w:hAnsi="Arial"/>
                <w:sz w:val="20"/>
                <w:szCs w:val="20"/>
                <w:b w:val="1"/>
                <w:bCs w:val="1"/>
                <w:color w:val="auto"/>
              </w:rPr>
              <w:t>Chesapeake Energy Corporation</w:t>
            </w:r>
          </w:p>
        </w:tc>
      </w:tr>
      <w:tr>
        <w:trPr>
          <w:trHeight w:val="240"/>
        </w:trPr>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380" w:type="dxa"/>
            <w:vAlign w:val="bottom"/>
          </w:tcPr>
          <w:p>
            <w:pPr>
              <w:jc w:val="right"/>
              <w:spacing w:after="0"/>
              <w:rPr>
                <w:sz w:val="20"/>
                <w:szCs w:val="20"/>
                <w:color w:val="auto"/>
              </w:rPr>
            </w:pPr>
            <w:r>
              <w:rPr>
                <w:rFonts w:ascii="Arial" w:cs="Arial" w:eastAsia="Arial" w:hAnsi="Arial"/>
                <w:sz w:val="20"/>
                <w:szCs w:val="20"/>
                <w:color w:val="auto"/>
              </w:rPr>
              <w:t>P. O. Box 18496</w:t>
            </w:r>
          </w:p>
        </w:tc>
      </w:tr>
      <w:tr>
        <w:trPr>
          <w:trHeight w:val="248"/>
        </w:trPr>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380" w:type="dxa"/>
            <w:vAlign w:val="bottom"/>
          </w:tcPr>
          <w:p>
            <w:pPr>
              <w:jc w:val="right"/>
              <w:spacing w:after="0"/>
              <w:rPr>
                <w:sz w:val="20"/>
                <w:szCs w:val="20"/>
                <w:color w:val="auto"/>
              </w:rPr>
            </w:pPr>
            <w:r>
              <w:rPr>
                <w:rFonts w:ascii="Arial" w:cs="Arial" w:eastAsia="Arial" w:hAnsi="Arial"/>
                <w:sz w:val="20"/>
                <w:szCs w:val="20"/>
                <w:color w:val="auto"/>
              </w:rPr>
              <w:t>Oklahoma City, OK 73154</w:t>
            </w:r>
          </w:p>
        </w:tc>
      </w:tr>
      <w:tr>
        <w:trPr>
          <w:trHeight w:val="436"/>
        </w:trPr>
        <w:tc>
          <w:tcPr>
            <w:tcW w:w="3720" w:type="dxa"/>
            <w:vAlign w:val="bottom"/>
          </w:tcPr>
          <w:p>
            <w:pPr>
              <w:spacing w:after="0"/>
              <w:rPr>
                <w:sz w:val="20"/>
                <w:szCs w:val="20"/>
                <w:color w:val="auto"/>
              </w:rPr>
            </w:pPr>
            <w:r>
              <w:rPr>
                <w:rFonts w:ascii="Arial" w:cs="Arial" w:eastAsia="Arial" w:hAnsi="Arial"/>
                <w:sz w:val="20"/>
                <w:szCs w:val="20"/>
                <w:b w:val="1"/>
                <w:bCs w:val="1"/>
                <w:color w:val="auto"/>
              </w:rPr>
              <w:t>FOR IMMEDIATE RELEASE</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54"/>
        </w:trPr>
        <w:tc>
          <w:tcPr>
            <w:tcW w:w="3720" w:type="dxa"/>
            <w:vAlign w:val="bottom"/>
          </w:tcPr>
          <w:p>
            <w:pPr>
              <w:spacing w:after="0"/>
              <w:rPr>
                <w:sz w:val="20"/>
                <w:szCs w:val="20"/>
                <w:color w:val="auto"/>
              </w:rPr>
            </w:pPr>
            <w:r>
              <w:rPr>
                <w:rFonts w:ascii="Arial" w:cs="Arial" w:eastAsia="Arial" w:hAnsi="Arial"/>
                <w:sz w:val="20"/>
                <w:szCs w:val="20"/>
                <w:b w:val="1"/>
                <w:bCs w:val="1"/>
                <w:color w:val="auto"/>
              </w:rPr>
              <w:t>MAY 10, 2007</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380" w:type="dxa"/>
            <w:vAlign w:val="bottom"/>
          </w:tcPr>
          <w:p>
            <w:pPr>
              <w:spacing w:after="0"/>
              <w:rPr>
                <w:sz w:val="22"/>
                <w:szCs w:val="22"/>
                <w:color w:val="auto"/>
              </w:rPr>
            </w:pPr>
          </w:p>
        </w:tc>
      </w:tr>
      <w:tr>
        <w:trPr>
          <w:trHeight w:val="722"/>
        </w:trPr>
        <w:tc>
          <w:tcPr>
            <w:tcW w:w="3720" w:type="dxa"/>
            <w:vAlign w:val="bottom"/>
          </w:tcPr>
          <w:p>
            <w:pPr>
              <w:spacing w:after="0"/>
              <w:rPr>
                <w:sz w:val="24"/>
                <w:szCs w:val="24"/>
                <w:color w:val="auto"/>
              </w:rPr>
            </w:pPr>
          </w:p>
        </w:tc>
        <w:tc>
          <w:tcPr>
            <w:tcW w:w="5620" w:type="dxa"/>
            <w:vAlign w:val="bottom"/>
            <w:gridSpan w:val="3"/>
          </w:tcPr>
          <w:p>
            <w:pPr>
              <w:jc w:val="right"/>
              <w:ind w:right="4283"/>
              <w:spacing w:after="0"/>
              <w:rPr>
                <w:sz w:val="20"/>
                <w:szCs w:val="20"/>
                <w:color w:val="auto"/>
              </w:rPr>
            </w:pPr>
            <w:r>
              <w:rPr>
                <w:rFonts w:ascii="Arial" w:cs="Arial" w:eastAsia="Arial" w:hAnsi="Arial"/>
                <w:sz w:val="20"/>
                <w:szCs w:val="20"/>
                <w:b w:val="1"/>
                <w:bCs w:val="1"/>
                <w:color w:val="auto"/>
              </w:rPr>
              <w:t>CONTACTS:</w:t>
            </w:r>
          </w:p>
        </w:tc>
      </w:tr>
      <w:tr>
        <w:trPr>
          <w:trHeight w:val="255"/>
        </w:trPr>
        <w:tc>
          <w:tcPr>
            <w:tcW w:w="3720" w:type="dxa"/>
            <w:vAlign w:val="bottom"/>
          </w:tcPr>
          <w:p>
            <w:pPr>
              <w:spacing w:after="0"/>
              <w:rPr>
                <w:sz w:val="20"/>
                <w:szCs w:val="20"/>
                <w:color w:val="auto"/>
              </w:rPr>
            </w:pPr>
            <w:r>
              <w:rPr>
                <w:rFonts w:ascii="Arial" w:cs="Arial" w:eastAsia="Arial" w:hAnsi="Arial"/>
                <w:sz w:val="20"/>
                <w:szCs w:val="20"/>
                <w:color w:val="auto"/>
              </w:rPr>
              <w:t>JEFFREY L. MOBLEY, CFA</w:t>
            </w: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4380" w:type="dxa"/>
            <w:vAlign w:val="bottom"/>
          </w:tcPr>
          <w:p>
            <w:pPr>
              <w:jc w:val="right"/>
              <w:spacing w:after="0"/>
              <w:rPr>
                <w:sz w:val="20"/>
                <w:szCs w:val="20"/>
                <w:color w:val="auto"/>
              </w:rPr>
            </w:pPr>
            <w:r>
              <w:rPr>
                <w:rFonts w:ascii="Arial" w:cs="Arial" w:eastAsia="Arial" w:hAnsi="Arial"/>
                <w:sz w:val="20"/>
                <w:szCs w:val="20"/>
                <w:color w:val="auto"/>
              </w:rPr>
              <w:t>MARC ROWLAND</w:t>
            </w:r>
          </w:p>
        </w:tc>
      </w:tr>
      <w:tr>
        <w:trPr>
          <w:trHeight w:val="240"/>
        </w:trPr>
        <w:tc>
          <w:tcPr>
            <w:tcW w:w="3720" w:type="dxa"/>
            <w:vAlign w:val="bottom"/>
          </w:tcPr>
          <w:p>
            <w:pPr>
              <w:spacing w:after="0"/>
              <w:rPr>
                <w:sz w:val="20"/>
                <w:szCs w:val="20"/>
                <w:color w:val="auto"/>
              </w:rPr>
            </w:pPr>
            <w:r>
              <w:rPr>
                <w:rFonts w:ascii="Arial" w:cs="Arial" w:eastAsia="Arial" w:hAnsi="Arial"/>
                <w:sz w:val="20"/>
                <w:szCs w:val="20"/>
                <w:color w:val="auto"/>
              </w:rPr>
              <w:t>SENIOR VICE PRESIDENT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380" w:type="dxa"/>
            <w:vAlign w:val="bottom"/>
          </w:tcPr>
          <w:p>
            <w:pPr>
              <w:jc w:val="right"/>
              <w:spacing w:after="0"/>
              <w:rPr>
                <w:sz w:val="20"/>
                <w:szCs w:val="20"/>
                <w:color w:val="auto"/>
              </w:rPr>
            </w:pPr>
            <w:r>
              <w:rPr>
                <w:rFonts w:ascii="Arial" w:cs="Arial" w:eastAsia="Arial" w:hAnsi="Arial"/>
                <w:sz w:val="20"/>
                <w:szCs w:val="20"/>
                <w:color w:val="auto"/>
              </w:rPr>
              <w:t>EXECUTIVE VICE PRESIDENT</w:t>
            </w:r>
          </w:p>
        </w:tc>
      </w:tr>
      <w:tr>
        <w:trPr>
          <w:trHeight w:val="240"/>
        </w:trPr>
        <w:tc>
          <w:tcPr>
            <w:tcW w:w="3720" w:type="dxa"/>
            <w:vAlign w:val="bottom"/>
          </w:tcPr>
          <w:p>
            <w:pPr>
              <w:spacing w:after="0"/>
              <w:rPr>
                <w:sz w:val="20"/>
                <w:szCs w:val="20"/>
                <w:color w:val="auto"/>
              </w:rPr>
            </w:pPr>
            <w:r>
              <w:rPr>
                <w:rFonts w:ascii="Arial" w:cs="Arial" w:eastAsia="Arial" w:hAnsi="Arial"/>
                <w:sz w:val="20"/>
                <w:szCs w:val="20"/>
                <w:color w:val="auto"/>
                <w:w w:val="95"/>
              </w:rPr>
              <w:t>INVESTOR RELATIONS AND RESEARCH</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380" w:type="dxa"/>
            <w:vAlign w:val="bottom"/>
          </w:tcPr>
          <w:p>
            <w:pPr>
              <w:jc w:val="right"/>
              <w:spacing w:after="0"/>
              <w:rPr>
                <w:sz w:val="20"/>
                <w:szCs w:val="20"/>
                <w:color w:val="auto"/>
              </w:rPr>
            </w:pPr>
            <w:r>
              <w:rPr>
                <w:rFonts w:ascii="Arial" w:cs="Arial" w:eastAsia="Arial" w:hAnsi="Arial"/>
                <w:sz w:val="20"/>
                <w:szCs w:val="20"/>
                <w:color w:val="auto"/>
              </w:rPr>
              <w:t>AND CHIEF FINANCIAL OFFICER</w:t>
            </w:r>
          </w:p>
        </w:tc>
      </w:tr>
      <w:tr>
        <w:trPr>
          <w:trHeight w:val="248"/>
        </w:trPr>
        <w:tc>
          <w:tcPr>
            <w:tcW w:w="3720" w:type="dxa"/>
            <w:vAlign w:val="bottom"/>
          </w:tcPr>
          <w:p>
            <w:pPr>
              <w:spacing w:after="0"/>
              <w:rPr>
                <w:sz w:val="20"/>
                <w:szCs w:val="20"/>
                <w:color w:val="auto"/>
              </w:rPr>
            </w:pPr>
            <w:r>
              <w:rPr>
                <w:rFonts w:ascii="Arial" w:cs="Arial" w:eastAsia="Arial" w:hAnsi="Arial"/>
                <w:sz w:val="20"/>
                <w:szCs w:val="20"/>
                <w:color w:val="auto"/>
              </w:rPr>
              <w:t>(405) 767-4763</w:t>
            </w:r>
          </w:p>
        </w:tc>
        <w:tc>
          <w:tcPr>
            <w:tcW w:w="5620" w:type="dxa"/>
            <w:vAlign w:val="bottom"/>
            <w:gridSpan w:val="3"/>
          </w:tcPr>
          <w:p>
            <w:pPr>
              <w:jc w:val="right"/>
              <w:spacing w:after="0"/>
              <w:rPr>
                <w:sz w:val="20"/>
                <w:szCs w:val="20"/>
                <w:color w:val="auto"/>
              </w:rPr>
            </w:pPr>
            <w:r>
              <w:rPr>
                <w:rFonts w:ascii="Arial" w:cs="Arial" w:eastAsia="Arial" w:hAnsi="Arial"/>
                <w:sz w:val="20"/>
                <w:szCs w:val="20"/>
                <w:color w:val="auto"/>
              </w:rPr>
              <w:t>(405) 879-9232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607695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695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191770</wp:posOffset>
            </wp:positionV>
            <wp:extent cx="607695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6950" cy="952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1580"/>
        <w:spacing w:after="0" w:line="275" w:lineRule="auto"/>
        <w:rPr>
          <w:sz w:val="20"/>
          <w:szCs w:val="20"/>
          <w:color w:val="auto"/>
        </w:rPr>
      </w:pPr>
      <w:r>
        <w:rPr>
          <w:rFonts w:ascii="Arial" w:cs="Arial" w:eastAsia="Arial" w:hAnsi="Arial"/>
          <w:sz w:val="20"/>
          <w:szCs w:val="20"/>
          <w:b w:val="1"/>
          <w:bCs w:val="1"/>
          <w:color w:val="auto"/>
        </w:rPr>
        <w:t>CHESAPEAKE ENERGY CORPORATION ANNOUNCES PRICING OF OFFERING OF $1 BILLION OF CONTINGENT CONVERTIBLE SENIOR NOTES</w:t>
      </w:r>
    </w:p>
    <w:p>
      <w:pPr>
        <w:spacing w:after="0" w:line="199" w:lineRule="exact"/>
        <w:rPr>
          <w:sz w:val="20"/>
          <w:szCs w:val="20"/>
          <w:color w:val="auto"/>
        </w:rPr>
      </w:pPr>
    </w:p>
    <w:p>
      <w:pPr>
        <w:jc w:val="both"/>
        <w:ind w:right="1600"/>
        <w:spacing w:after="0" w:line="254" w:lineRule="auto"/>
        <w:rPr>
          <w:sz w:val="20"/>
          <w:szCs w:val="20"/>
          <w:color w:val="auto"/>
        </w:rPr>
      </w:pPr>
      <w:r>
        <w:rPr>
          <w:rFonts w:ascii="Arial" w:cs="Arial" w:eastAsia="Arial" w:hAnsi="Arial"/>
          <w:sz w:val="20"/>
          <w:szCs w:val="20"/>
          <w:color w:val="auto"/>
        </w:rPr>
        <w:t>OKLAHOMA CITY, OKLAHOMA, May 10, 2007 – Chesapeake Energy Corporation (NYSE:CHK) today announced that it has priced its previously announced offering of</w:t>
      </w:r>
    </w:p>
    <w:p>
      <w:pPr>
        <w:spacing w:after="0" w:line="1" w:lineRule="exact"/>
        <w:rPr>
          <w:sz w:val="20"/>
          <w:szCs w:val="20"/>
          <w:color w:val="auto"/>
        </w:rPr>
      </w:pPr>
    </w:p>
    <w:p>
      <w:pPr>
        <w:jc w:val="both"/>
        <w:ind w:right="1600"/>
        <w:spacing w:after="0" w:line="282" w:lineRule="auto"/>
        <w:rPr>
          <w:sz w:val="20"/>
          <w:szCs w:val="20"/>
          <w:color w:val="auto"/>
        </w:rPr>
      </w:pPr>
      <w:r>
        <w:rPr>
          <w:rFonts w:ascii="Arial" w:cs="Arial" w:eastAsia="Arial" w:hAnsi="Arial"/>
          <w:sz w:val="18"/>
          <w:szCs w:val="18"/>
          <w:color w:val="auto"/>
        </w:rPr>
        <w:t>$1 billion aggregate principal amount of contingent convertible senior notes due 2037. In addition, Chesapeake has granted the underwriters a 13-day option to purchase up to an additional $150 million of the convertible notes to cover over-allotments. The notes will be convertible, under certain circumstances, using a net share settlement process, into a combination of cash and Chesapeake common stock at an initial base conversion price of $51.585 (subject to adjustment in certain circumstances), which is equivalent to an initial base conversion rate of approximately 19.3855 common shares per $1,000 principal amount of convertible notes. In addition, if at the time of conversion the applicable price of Chesapeake’s common stock exceeds the base conversion price, holders will receive up to an additional 9.6927 shares of Chesapeake common stock per $1,000 principal amount of notes, as determined pursuant to a specified formula. In general, upon conversion of a note, the holder of such note will receive cash equal to the principal amount of the note and Chesapeake common stock for the note’s conversion value in excess of such principal amount.</w:t>
      </w:r>
    </w:p>
    <w:p>
      <w:pPr>
        <w:spacing w:after="0" w:line="197" w:lineRule="exact"/>
        <w:rPr>
          <w:sz w:val="20"/>
          <w:szCs w:val="20"/>
          <w:color w:val="auto"/>
        </w:rPr>
      </w:pPr>
    </w:p>
    <w:p>
      <w:pPr>
        <w:jc w:val="both"/>
        <w:ind w:right="1600"/>
        <w:spacing w:after="0" w:line="290" w:lineRule="auto"/>
        <w:rPr>
          <w:sz w:val="20"/>
          <w:szCs w:val="20"/>
          <w:color w:val="auto"/>
        </w:rPr>
      </w:pPr>
      <w:r>
        <w:rPr>
          <w:rFonts w:ascii="Arial" w:cs="Arial" w:eastAsia="Arial" w:hAnsi="Arial"/>
          <w:sz w:val="18"/>
          <w:szCs w:val="18"/>
          <w:color w:val="auto"/>
        </w:rPr>
        <w:t>The convertible notes will bear interest at a rate of 2.50% per annum and will also bear contingent interest, in certain circumstances, for periods commencing with the six-month period ending November 14, 2017. The convertible notes will mature on May 15, 2037 and may not be redeemed by Chesapeake prior to May 15, 2017, after which they may be redeemed at 100% of the principal amount plus accrued interest. Holders of the convertible notes may require Chesapeake to repurchase some or all of the convertible</w:t>
      </w:r>
    </w:p>
    <w:p>
      <w:pPr>
        <w:sectPr>
          <w:pgSz w:w="12240" w:h="15840" w:orient="portrait"/>
          <w:cols w:equalWidth="0" w:num="1">
            <w:col w:w="10600"/>
          </w:cols>
          <w:pgMar w:left="900" w:top="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5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600"/>
          </w:cols>
          <w:pgMar w:left="900" w:top="0" w:right="740" w:bottom="0" w:gutter="0" w:footer="0" w:header="0"/>
          <w:type w:val="continuous"/>
        </w:sectPr>
      </w:pPr>
    </w:p>
    <w:bookmarkStart w:id="9" w:name="page10"/>
    <w:bookmarkEnd w:id="9"/>
    <w:p>
      <w:pPr>
        <w:jc w:val="both"/>
        <w:ind w:right="1600"/>
        <w:spacing w:after="0" w:line="296" w:lineRule="auto"/>
        <w:rPr>
          <w:sz w:val="20"/>
          <w:szCs w:val="20"/>
          <w:color w:val="auto"/>
        </w:rPr>
      </w:pPr>
      <w:r>
        <w:rPr>
          <w:rFonts w:ascii="Arial" w:cs="Arial" w:eastAsia="Arial" w:hAnsi="Arial"/>
          <w:sz w:val="18"/>
          <w:szCs w:val="18"/>
          <w:color w:val="auto"/>
        </w:rPr>
        <w:t>notes on May 15, 2017, 2022, 2027 and 2032, or in the event of certain change of control transactions, at 100% of the principal amount plus accrued interest. The convertible notes will be senior unsecured obligations of Chesapeake and will be guaranteed by substantially all of Chesapeake’s subsidiaries.</w:t>
      </w:r>
    </w:p>
    <w:p>
      <w:pPr>
        <w:spacing w:after="0" w:line="184" w:lineRule="exact"/>
        <w:rPr>
          <w:sz w:val="20"/>
          <w:szCs w:val="20"/>
          <w:color w:val="auto"/>
        </w:rPr>
      </w:pPr>
    </w:p>
    <w:p>
      <w:pPr>
        <w:jc w:val="both"/>
        <w:ind w:right="1600"/>
        <w:spacing w:after="0" w:line="358" w:lineRule="auto"/>
        <w:rPr>
          <w:sz w:val="20"/>
          <w:szCs w:val="20"/>
          <w:color w:val="auto"/>
        </w:rPr>
      </w:pPr>
      <w:r>
        <w:rPr>
          <w:rFonts w:ascii="Arial" w:cs="Arial" w:eastAsia="Arial" w:hAnsi="Arial"/>
          <w:sz w:val="17"/>
          <w:szCs w:val="17"/>
          <w:color w:val="auto"/>
        </w:rPr>
        <w:t>The offering is being made under an automatically effective shelf registration statement filed with the Securities and Exchange Commission on May 8, 2007 by means of a separate prospectus supplement and a final term sheet.</w:t>
      </w:r>
    </w:p>
    <w:p>
      <w:pPr>
        <w:spacing w:after="0" w:line="137" w:lineRule="exact"/>
        <w:rPr>
          <w:sz w:val="20"/>
          <w:szCs w:val="20"/>
          <w:color w:val="auto"/>
        </w:rPr>
      </w:pPr>
    </w:p>
    <w:p>
      <w:pPr>
        <w:jc w:val="both"/>
        <w:ind w:right="1600"/>
        <w:spacing w:after="0" w:line="325" w:lineRule="auto"/>
        <w:rPr>
          <w:sz w:val="20"/>
          <w:szCs w:val="20"/>
          <w:color w:val="auto"/>
        </w:rPr>
      </w:pPr>
      <w:r>
        <w:rPr>
          <w:rFonts w:ascii="Arial" w:cs="Arial" w:eastAsia="Arial" w:hAnsi="Arial"/>
          <w:sz w:val="18"/>
          <w:szCs w:val="18"/>
          <w:color w:val="auto"/>
        </w:rPr>
        <w:t>The offering is expected to close on May 15, 2007, subject to customary closing conditions. Chesapeake intends to use the net proceeds from the offering to repay outstanding indebtedness under its revolving credit facility.</w:t>
      </w:r>
    </w:p>
    <w:p>
      <w:pPr>
        <w:spacing w:after="0" w:line="159" w:lineRule="exact"/>
        <w:rPr>
          <w:sz w:val="20"/>
          <w:szCs w:val="20"/>
          <w:color w:val="auto"/>
        </w:rPr>
      </w:pPr>
    </w:p>
    <w:p>
      <w:pPr>
        <w:jc w:val="both"/>
        <w:ind w:right="1600"/>
        <w:spacing w:after="0" w:line="287" w:lineRule="auto"/>
        <w:rPr>
          <w:sz w:val="20"/>
          <w:szCs w:val="20"/>
          <w:color w:val="auto"/>
        </w:rPr>
      </w:pPr>
      <w:r>
        <w:rPr>
          <w:rFonts w:ascii="Arial" w:cs="Arial" w:eastAsia="Arial" w:hAnsi="Arial"/>
          <w:sz w:val="18"/>
          <w:szCs w:val="18"/>
          <w:color w:val="auto"/>
        </w:rPr>
        <w:t>Credit Suisse Securities (USA) LLC and UBS Securities LLC were Joint Global Coordinators and Book-Running Managers for the offering. Copies of the prospectus supplement and may be obtained from the offices of Credit Suisse Securities (USA) LLC, Prospectus Department, One Madison Avenue, New York, NY 10010, 1-800-221-1037 or UBS Securities LLC, Prospectus Department, 299 Park Avenue, 29th Floor, New York, NY 10071, 212-821-3000. An electronic copy of the prospectus supplement will be available on the website of the Securities and Exchange Commission at www.sec.gov.</w:t>
      </w:r>
    </w:p>
    <w:p>
      <w:pPr>
        <w:spacing w:after="0" w:line="194" w:lineRule="exact"/>
        <w:rPr>
          <w:sz w:val="20"/>
          <w:szCs w:val="20"/>
          <w:color w:val="auto"/>
        </w:rPr>
      </w:pPr>
    </w:p>
    <w:p>
      <w:pPr>
        <w:jc w:val="both"/>
        <w:ind w:right="1600"/>
        <w:spacing w:after="0" w:line="238" w:lineRule="auto"/>
        <w:rPr>
          <w:sz w:val="20"/>
          <w:szCs w:val="20"/>
          <w:color w:val="auto"/>
        </w:rPr>
      </w:pPr>
      <w:r>
        <w:rPr>
          <w:rFonts w:ascii="Arial" w:cs="Arial" w:eastAsia="Arial" w:hAnsi="Arial"/>
          <w:sz w:val="15"/>
          <w:szCs w:val="15"/>
          <w:i w:val="1"/>
          <w:iCs w:val="1"/>
          <w:color w:val="auto"/>
        </w:rPr>
        <w:t>Chesapeake Energy Corporation is the third-largest independent and sixth-largest overall producer of natural gas in the U.S. Headquartered in Oklahoma City, the company’s operations are focused on exploratory and developmental drilling and corporate and property acquisitions in the Mid-Continent, Fort Worth Barnett Shale, Fayetteville Shale, Permian Basin, Delaware Basin, South Texas, Texas Gulf Coast, Ark-La-Tex and Appalachian Basin regions of the United States.</w:t>
      </w:r>
    </w:p>
    <w:p>
      <w:pPr>
        <w:spacing w:after="0" w:line="200" w:lineRule="exact"/>
        <w:rPr>
          <w:sz w:val="20"/>
          <w:szCs w:val="20"/>
          <w:color w:val="auto"/>
        </w:rPr>
      </w:pPr>
    </w:p>
    <w:p>
      <w:pPr>
        <w:spacing w:after="0" w:line="257"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2</w:t>
      </w:r>
    </w:p>
    <w:p>
      <w:pPr>
        <w:sectPr>
          <w:pgSz w:w="12240" w:h="15840" w:orient="portrait"/>
          <w:cols w:equalWidth="0" w:num="1">
            <w:col w:w="10600"/>
          </w:cols>
          <w:pgMar w:left="900" w:top="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560"/>
        <w:spacing w:after="0"/>
        <w:rPr>
          <w:sz w:val="20"/>
          <w:szCs w:val="20"/>
          <w:color w:val="auto"/>
        </w:rPr>
      </w:pPr>
      <w:r>
        <w:rPr>
          <w:rFonts w:ascii="Arial" w:cs="Arial" w:eastAsia="Arial" w:hAnsi="Arial"/>
          <w:sz w:val="14"/>
          <w:szCs w:val="14"/>
          <w:color w:val="auto"/>
        </w:rPr>
        <w:t>/</w:t>
      </w:r>
    </w:p>
    <w:sectPr>
      <w:pgSz w:w="12240" w:h="15840" w:orient="portrait"/>
      <w:cols w:equalWidth="0" w:num="1">
        <w:col w:w="10600"/>
      </w:cols>
      <w:pgMar w:left="900" w:top="0" w:right="7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2020-02-04T15:52:01Z</dcterms:created>
  <dcterms:modified xsi:type="dcterms:W3CDTF">2020-02-04T15:52:01Z</dcterms:modified>
</cp:coreProperties>
</file>