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81" w:lineRule="exact"/>
        <w:rPr>
          <w:sz w:val="24"/>
          <w:szCs w:val="24"/>
          <w:color w:val="auto"/>
        </w:rPr>
      </w:pPr>
    </w:p>
    <w:p>
      <w:pPr>
        <w:ind w:left="4000" w:right="1400" w:hanging="2586"/>
        <w:spacing w:after="0" w:line="211" w:lineRule="auto"/>
        <w:tabs>
          <w:tab w:leader="none" w:pos="1836" w:val="left"/>
        </w:tabs>
        <w:numPr>
          <w:ilvl w:val="1"/>
          <w:numId w:val="1"/>
        </w:numPr>
        <w:rPr>
          <w:rFonts w:ascii="MS PGothic" w:cs="MS PGothic" w:eastAsia="MS PGothic" w:hAnsi="MS PGothic"/>
          <w:sz w:val="32"/>
          <w:szCs w:val="32"/>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December 31, 2024</w:t>
      </w:r>
    </w:p>
    <w:p>
      <w:pPr>
        <w:spacing w:after="0" w:line="29" w:lineRule="exact"/>
        <w:rPr>
          <w:rFonts w:ascii="MS PGothic" w:cs="MS PGothic" w:eastAsia="MS PGothic" w:hAnsi="MS PGothic"/>
          <w:sz w:val="32"/>
          <w:szCs w:val="32"/>
          <w:color w:val="auto"/>
        </w:rPr>
      </w:pPr>
    </w:p>
    <w:p>
      <w:pPr>
        <w:ind w:left="1680" w:hanging="422"/>
        <w:spacing w:after="0"/>
        <w:tabs>
          <w:tab w:leader="none" w:pos="1680" w:val="left"/>
        </w:tabs>
        <w:numPr>
          <w:ilvl w:val="0"/>
          <w:numId w:val="1"/>
        </w:numPr>
        <w:rPr>
          <w:rFonts w:ascii="MS PGothic" w:cs="MS PGothic" w:eastAsia="MS PGothic" w:hAnsi="MS PGothic"/>
          <w:sz w:val="29"/>
          <w:szCs w:val="29"/>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001-13726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EXPAND ENERGY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7" w:lineRule="exact"/>
        <w:rPr>
          <w:sz w:val="24"/>
          <w:szCs w:val="24"/>
          <w:color w:val="auto"/>
        </w:rPr>
      </w:pPr>
    </w:p>
    <w:tbl>
      <w:tblPr>
        <w:tblLayout w:type="fixed"/>
        <w:tblInd w:w="1200" w:type="dxa"/>
        <w:tblCellMar>
          <w:top w:w="0" w:type="dxa"/>
          <w:left w:w="0" w:type="dxa"/>
          <w:bottom w:w="0" w:type="dxa"/>
          <w:right w:w="0" w:type="dxa"/>
        </w:tblCellMar>
      </w:tblPr>
      <w:tr>
        <w:trPr>
          <w:trHeight w:val="247"/>
        </w:trPr>
        <w:tc>
          <w:tcPr>
            <w:tcW w:w="3680" w:type="dxa"/>
            <w:vAlign w:val="bottom"/>
            <w:gridSpan w:val="3"/>
          </w:tcPr>
          <w:p>
            <w:pPr>
              <w:jc w:val="center"/>
              <w:ind w:left="799"/>
              <w:spacing w:after="0"/>
              <w:rPr>
                <w:sz w:val="20"/>
                <w:szCs w:val="20"/>
                <w:color w:val="auto"/>
              </w:rPr>
            </w:pPr>
            <w:r>
              <w:rPr>
                <w:rFonts w:ascii="Arial" w:cs="Arial" w:eastAsia="Arial" w:hAnsi="Arial"/>
                <w:sz w:val="18"/>
                <w:szCs w:val="18"/>
                <w:b w:val="1"/>
                <w:bCs w:val="1"/>
                <w:color w:val="auto"/>
              </w:rPr>
              <w:t>Oklahoma</w:t>
            </w:r>
          </w:p>
        </w:tc>
        <w:tc>
          <w:tcPr>
            <w:tcW w:w="1860" w:type="dxa"/>
            <w:vAlign w:val="bottom"/>
          </w:tcPr>
          <w:p>
            <w:pPr>
              <w:spacing w:after="0"/>
              <w:rPr>
                <w:sz w:val="21"/>
                <w:szCs w:val="21"/>
                <w:color w:val="auto"/>
              </w:rPr>
            </w:pPr>
          </w:p>
        </w:tc>
        <w:tc>
          <w:tcPr>
            <w:tcW w:w="3700" w:type="dxa"/>
            <w:vAlign w:val="bottom"/>
            <w:gridSpan w:val="2"/>
          </w:tcPr>
          <w:p>
            <w:pPr>
              <w:jc w:val="right"/>
              <w:ind w:right="1780"/>
              <w:spacing w:after="0"/>
              <w:rPr>
                <w:sz w:val="20"/>
                <w:szCs w:val="20"/>
                <w:color w:val="auto"/>
              </w:rPr>
            </w:pPr>
            <w:r>
              <w:rPr>
                <w:rFonts w:ascii="Arial" w:cs="Arial" w:eastAsia="Arial" w:hAnsi="Arial"/>
                <w:sz w:val="18"/>
                <w:szCs w:val="18"/>
                <w:b w:val="1"/>
                <w:bCs w:val="1"/>
                <w:color w:val="auto"/>
              </w:rPr>
              <w:t>73-1395733</w:t>
            </w:r>
          </w:p>
        </w:tc>
      </w:tr>
      <w:tr>
        <w:trPr>
          <w:trHeight w:val="256"/>
        </w:trPr>
        <w:tc>
          <w:tcPr>
            <w:tcW w:w="5540" w:type="dxa"/>
            <w:vAlign w:val="bottom"/>
            <w:gridSpan w:val="4"/>
          </w:tcPr>
          <w:p>
            <w:pPr>
              <w:jc w:val="center"/>
              <w:ind w:right="880"/>
              <w:spacing w:after="0"/>
              <w:rPr>
                <w:sz w:val="20"/>
                <w:szCs w:val="20"/>
                <w:color w:val="auto"/>
              </w:rPr>
            </w:pPr>
            <w:r>
              <w:rPr>
                <w:rFonts w:ascii="Arial" w:cs="Arial" w:eastAsia="Arial" w:hAnsi="Arial"/>
                <w:sz w:val="16"/>
                <w:szCs w:val="16"/>
                <w:color w:val="auto"/>
              </w:rPr>
              <w:t>(State or other jurisdiction of incorporation or organization)</w:t>
            </w:r>
          </w:p>
        </w:tc>
        <w:tc>
          <w:tcPr>
            <w:tcW w:w="3700" w:type="dxa"/>
            <w:vAlign w:val="bottom"/>
            <w:gridSpan w:val="2"/>
          </w:tcPr>
          <w:p>
            <w:pPr>
              <w:ind w:left="120"/>
              <w:spacing w:after="0"/>
              <w:rPr>
                <w:sz w:val="20"/>
                <w:szCs w:val="20"/>
                <w:color w:val="auto"/>
              </w:rPr>
            </w:pPr>
            <w:r>
              <w:rPr>
                <w:rFonts w:ascii="Arial" w:cs="Arial" w:eastAsia="Arial" w:hAnsi="Arial"/>
                <w:sz w:val="16"/>
                <w:szCs w:val="16"/>
                <w:color w:val="auto"/>
              </w:rPr>
              <w:t>(I.R.S. Employer Identification No.)</w:t>
            </w:r>
          </w:p>
        </w:tc>
      </w:tr>
      <w:tr>
        <w:trPr>
          <w:trHeight w:val="278"/>
        </w:trPr>
        <w:tc>
          <w:tcPr>
            <w:tcW w:w="3680" w:type="dxa"/>
            <w:vAlign w:val="bottom"/>
            <w:gridSpan w:val="3"/>
          </w:tcPr>
          <w:p>
            <w:pPr>
              <w:ind w:left="40"/>
              <w:spacing w:after="0"/>
              <w:rPr>
                <w:sz w:val="20"/>
                <w:szCs w:val="20"/>
                <w:color w:val="auto"/>
              </w:rPr>
            </w:pPr>
            <w:r>
              <w:rPr>
                <w:rFonts w:ascii="Arial" w:cs="Arial" w:eastAsia="Arial" w:hAnsi="Arial"/>
                <w:sz w:val="16"/>
                <w:szCs w:val="16"/>
                <w:b w:val="1"/>
                <w:bCs w:val="1"/>
                <w:color w:val="auto"/>
              </w:rPr>
              <w:t>6100 North Western Avenue,  Oklahoma City,</w:t>
            </w:r>
          </w:p>
        </w:tc>
        <w:tc>
          <w:tcPr>
            <w:tcW w:w="1860" w:type="dxa"/>
            <w:vAlign w:val="bottom"/>
          </w:tcPr>
          <w:p>
            <w:pPr>
              <w:spacing w:after="0"/>
              <w:rPr>
                <w:sz w:val="20"/>
                <w:szCs w:val="20"/>
                <w:color w:val="auto"/>
              </w:rPr>
            </w:pPr>
            <w:r>
              <w:rPr>
                <w:rFonts w:ascii="Arial" w:cs="Arial" w:eastAsia="Arial" w:hAnsi="Arial"/>
                <w:sz w:val="16"/>
                <w:szCs w:val="16"/>
                <w:b w:val="1"/>
                <w:bCs w:val="1"/>
                <w:color w:val="auto"/>
              </w:rPr>
              <w:t>Oklahoma</w:t>
            </w:r>
          </w:p>
        </w:tc>
        <w:tc>
          <w:tcPr>
            <w:tcW w:w="3700" w:type="dxa"/>
            <w:vAlign w:val="bottom"/>
            <w:gridSpan w:val="2"/>
          </w:tcPr>
          <w:p>
            <w:pPr>
              <w:jc w:val="right"/>
              <w:ind w:right="2040"/>
              <w:spacing w:after="0"/>
              <w:rPr>
                <w:sz w:val="20"/>
                <w:szCs w:val="20"/>
                <w:color w:val="auto"/>
              </w:rPr>
            </w:pPr>
            <w:r>
              <w:rPr>
                <w:rFonts w:ascii="Arial" w:cs="Arial" w:eastAsia="Arial" w:hAnsi="Arial"/>
                <w:sz w:val="16"/>
                <w:szCs w:val="16"/>
                <w:b w:val="1"/>
                <w:bCs w:val="1"/>
                <w:color w:val="auto"/>
              </w:rPr>
              <w:t>73118</w:t>
            </w:r>
          </w:p>
        </w:tc>
      </w:tr>
      <w:tr>
        <w:trPr>
          <w:trHeight w:val="262"/>
        </w:trPr>
        <w:tc>
          <w:tcPr>
            <w:tcW w:w="3680" w:type="dxa"/>
            <w:vAlign w:val="bottom"/>
            <w:gridSpan w:val="3"/>
          </w:tcPr>
          <w:p>
            <w:pPr>
              <w:jc w:val="center"/>
              <w:ind w:left="799"/>
              <w:spacing w:after="0"/>
              <w:rPr>
                <w:sz w:val="20"/>
                <w:szCs w:val="20"/>
                <w:color w:val="auto"/>
              </w:rPr>
            </w:pPr>
            <w:r>
              <w:rPr>
                <w:rFonts w:ascii="Arial" w:cs="Arial" w:eastAsia="Arial" w:hAnsi="Arial"/>
                <w:sz w:val="16"/>
                <w:szCs w:val="16"/>
                <w:color w:val="auto"/>
              </w:rPr>
              <w:t>(Address of principal executive offices)</w:t>
            </w:r>
          </w:p>
        </w:tc>
        <w:tc>
          <w:tcPr>
            <w:tcW w:w="1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ind w:left="700"/>
              <w:spacing w:after="0"/>
              <w:rPr>
                <w:sz w:val="20"/>
                <w:szCs w:val="20"/>
                <w:color w:val="auto"/>
              </w:rPr>
            </w:pPr>
            <w:r>
              <w:rPr>
                <w:rFonts w:ascii="Arial" w:cs="Arial" w:eastAsia="Arial" w:hAnsi="Arial"/>
                <w:sz w:val="16"/>
                <w:szCs w:val="16"/>
                <w:color w:val="auto"/>
              </w:rPr>
              <w:t>(Zip Code)</w:t>
            </w:r>
          </w:p>
        </w:tc>
      </w:tr>
      <w:tr>
        <w:trPr>
          <w:trHeight w:val="264"/>
        </w:trPr>
        <w:tc>
          <w:tcPr>
            <w:tcW w:w="3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60" w:type="dxa"/>
            <w:vAlign w:val="bottom"/>
          </w:tcPr>
          <w:p>
            <w:pPr>
              <w:ind w:left="480"/>
              <w:spacing w:after="0"/>
              <w:rPr>
                <w:sz w:val="20"/>
                <w:szCs w:val="20"/>
                <w:color w:val="auto"/>
              </w:rPr>
            </w:pPr>
            <w:r>
              <w:rPr>
                <w:rFonts w:ascii="Arial" w:cs="Arial" w:eastAsia="Arial" w:hAnsi="Arial"/>
                <w:sz w:val="16"/>
                <w:szCs w:val="16"/>
                <w:b w:val="1"/>
                <w:bCs w:val="1"/>
                <w:color w:val="auto"/>
              </w:rPr>
              <w:t>(405) 848-8000</w:t>
            </w:r>
          </w:p>
        </w:tc>
        <w:tc>
          <w:tcPr>
            <w:tcW w:w="28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62"/>
        </w:trPr>
        <w:tc>
          <w:tcPr>
            <w:tcW w:w="9240" w:type="dxa"/>
            <w:vAlign w:val="bottom"/>
            <w:gridSpan w:val="6"/>
          </w:tcPr>
          <w:p>
            <w:pPr>
              <w:ind w:left="2720"/>
              <w:spacing w:after="0"/>
              <w:rPr>
                <w:sz w:val="20"/>
                <w:szCs w:val="20"/>
                <w:color w:val="auto"/>
              </w:rPr>
            </w:pPr>
            <w:r>
              <w:rPr>
                <w:rFonts w:ascii="Arial" w:cs="Arial" w:eastAsia="Arial" w:hAnsi="Arial"/>
                <w:sz w:val="16"/>
                <w:szCs w:val="16"/>
                <w:color w:val="auto"/>
              </w:rPr>
              <w:t>(Registrant’s telephone number, including area code)</w:t>
            </w:r>
          </w:p>
        </w:tc>
      </w:tr>
      <w:tr>
        <w:trPr>
          <w:trHeight w:val="307"/>
        </w:trPr>
        <w:tc>
          <w:tcPr>
            <w:tcW w:w="9240" w:type="dxa"/>
            <w:vAlign w:val="bottom"/>
            <w:gridSpan w:val="6"/>
          </w:tcPr>
          <w:p>
            <w:pPr>
              <w:ind w:left="2520"/>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08"/>
        </w:trPr>
        <w:tc>
          <w:tcPr>
            <w:tcW w:w="368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 of each class</w:t>
            </w:r>
          </w:p>
        </w:tc>
        <w:tc>
          <w:tcPr>
            <w:tcW w:w="1860" w:type="dxa"/>
            <w:vAlign w:val="bottom"/>
          </w:tcPr>
          <w:p>
            <w:pPr>
              <w:spacing w:after="0"/>
              <w:rPr>
                <w:sz w:val="20"/>
                <w:szCs w:val="20"/>
                <w:color w:val="auto"/>
              </w:rPr>
            </w:pPr>
            <w:r>
              <w:rPr>
                <w:rFonts w:ascii="Arial" w:cs="Arial" w:eastAsia="Arial" w:hAnsi="Arial"/>
                <w:sz w:val="15"/>
                <w:szCs w:val="15"/>
                <w:b w:val="1"/>
                <w:bCs w:val="1"/>
                <w:color w:val="auto"/>
              </w:rPr>
              <w:t>Trading Symbol(s)</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8"/>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$0.01 par value per share</w:t>
            </w: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EXE</w:t>
            </w:r>
          </w:p>
        </w:tc>
        <w:tc>
          <w:tcPr>
            <w:tcW w:w="280" w:type="dxa"/>
            <w:vAlign w:val="bottom"/>
          </w:tcPr>
          <w:p>
            <w:pPr>
              <w:spacing w:after="0"/>
              <w:rPr>
                <w:sz w:val="18"/>
                <w:szCs w:val="18"/>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A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EXEEW</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B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EXEEZ</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r>
        <w:trPr>
          <w:trHeight w:val="216"/>
        </w:trPr>
        <w:tc>
          <w:tcPr>
            <w:tcW w:w="3680" w:type="dxa"/>
            <w:vAlign w:val="bottom"/>
            <w:gridSpan w:val="3"/>
          </w:tcPr>
          <w:p>
            <w:pPr>
              <w:ind w:left="20"/>
              <w:spacing w:after="0"/>
              <w:rPr>
                <w:sz w:val="20"/>
                <w:szCs w:val="20"/>
                <w:color w:val="auto"/>
              </w:rPr>
            </w:pPr>
            <w:r>
              <w:rPr>
                <w:rFonts w:ascii="Arial" w:cs="Arial" w:eastAsia="Arial" w:hAnsi="Arial"/>
                <w:sz w:val="16"/>
                <w:szCs w:val="16"/>
                <w:color w:val="auto"/>
              </w:rPr>
              <w:t>Class C Warrants to purchase Common Stock</w:t>
            </w:r>
          </w:p>
        </w:tc>
        <w:tc>
          <w:tcPr>
            <w:tcW w:w="1860" w:type="dxa"/>
            <w:vAlign w:val="bottom"/>
          </w:tcPr>
          <w:p>
            <w:pPr>
              <w:spacing w:after="0"/>
              <w:rPr>
                <w:sz w:val="20"/>
                <w:szCs w:val="20"/>
                <w:color w:val="auto"/>
              </w:rPr>
            </w:pPr>
            <w:r>
              <w:rPr>
                <w:rFonts w:ascii="Arial" w:cs="Arial" w:eastAsia="Arial" w:hAnsi="Arial"/>
                <w:sz w:val="16"/>
                <w:szCs w:val="16"/>
                <w:color w:val="auto"/>
              </w:rPr>
              <w:t>EXEEL</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118" w:lineRule="exact"/>
        <w:rPr>
          <w:sz w:val="24"/>
          <w:szCs w:val="24"/>
          <w:color w:val="auto"/>
        </w:rPr>
      </w:pPr>
    </w:p>
    <w:tbl>
      <w:tblPr>
        <w:tblLayout w:type="fixed"/>
        <w:tblInd w:w="180" w:type="dxa"/>
        <w:tblCellMar>
          <w:top w:w="0" w:type="dxa"/>
          <w:left w:w="0" w:type="dxa"/>
          <w:bottom w:w="0" w:type="dxa"/>
          <w:right w:w="0" w:type="dxa"/>
        </w:tblCellMar>
      </w:tblPr>
      <w:tr>
        <w:trPr>
          <w:trHeight w:val="173"/>
        </w:trPr>
        <w:tc>
          <w:tcPr>
            <w:tcW w:w="9080" w:type="dxa"/>
            <w:vAlign w:val="bottom"/>
          </w:tcPr>
          <w:p>
            <w:pPr>
              <w:ind w:left="3340"/>
              <w:spacing w:after="0"/>
              <w:rPr>
                <w:sz w:val="20"/>
                <w:szCs w:val="20"/>
                <w:color w:val="auto"/>
              </w:rPr>
            </w:pPr>
            <w:r>
              <w:rPr>
                <w:rFonts w:ascii="Arial" w:cs="Arial" w:eastAsia="Arial" w:hAnsi="Arial"/>
                <w:sz w:val="15"/>
                <w:szCs w:val="15"/>
                <w:b w:val="1"/>
                <w:bCs w:val="1"/>
                <w:color w:val="auto"/>
              </w:rPr>
              <w:t>Securities registered pursuant to Section 12(g) of the Act: None</w:t>
            </w:r>
          </w:p>
        </w:tc>
        <w:tc>
          <w:tcPr>
            <w:tcW w:w="600" w:type="dxa"/>
            <w:vAlign w:val="bottom"/>
            <w:vMerge w:val="restart"/>
          </w:tcPr>
          <w:p>
            <w:pPr>
              <w:ind w:left="60"/>
              <w:spacing w:after="0" w:line="242"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338"/>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9080" w:type="dxa"/>
            <w:vAlign w:val="bottom"/>
          </w:tcPr>
          <w:p>
            <w:pPr>
              <w:spacing w:after="0" w:line="242"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21"/>
                <w:szCs w:val="21"/>
                <w:color w:val="auto"/>
              </w:rPr>
              <w:t>☐</w:t>
            </w:r>
          </w:p>
        </w:tc>
        <w:tc>
          <w:tcPr>
            <w:tcW w:w="600" w:type="dxa"/>
            <w:vAlign w:val="bottom"/>
          </w:tcPr>
          <w:p>
            <w:pPr>
              <w:ind w:left="160"/>
              <w:spacing w:after="0" w:line="242" w:lineRule="exact"/>
              <w:rPr>
                <w:sz w:val="20"/>
                <w:szCs w:val="20"/>
                <w:color w:val="auto"/>
              </w:rPr>
            </w:pPr>
            <w:r>
              <w:rPr>
                <w:rFonts w:ascii="Arial" w:cs="Arial" w:eastAsia="Arial" w:hAnsi="Arial"/>
                <w:sz w:val="16"/>
                <w:szCs w:val="16"/>
                <w:color w:val="auto"/>
                <w:w w:val="91"/>
              </w:rPr>
              <w:t xml:space="preserve">No </w:t>
            </w:r>
            <w:r>
              <w:rPr>
                <w:rFonts w:ascii="MS PGothic" w:cs="MS PGothic" w:eastAsia="MS PGothic" w:hAnsi="MS PGothic"/>
                <w:sz w:val="21"/>
                <w:szCs w:val="21"/>
                <w:color w:val="auto"/>
                <w:w w:val="91"/>
              </w:rPr>
              <w:t>☒</w:t>
            </w:r>
          </w:p>
        </w:tc>
        <w:tc>
          <w:tcPr>
            <w:tcW w:w="0" w:type="dxa"/>
            <w:vAlign w:val="bottom"/>
          </w:tcPr>
          <w:p>
            <w:pPr>
              <w:spacing w:after="0"/>
              <w:rPr>
                <w:sz w:val="1"/>
                <w:szCs w:val="1"/>
                <w:color w:val="auto"/>
              </w:rPr>
            </w:pPr>
          </w:p>
        </w:tc>
      </w:tr>
    </w:tbl>
    <w:p>
      <w:pPr>
        <w:spacing w:after="0" w:line="9"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180" w:val="left"/>
        </w:tabs>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42"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165"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ind w:right="-139"/>
        <w:spacing w:after="0" w:line="242"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Non-accelerated filer </w:t>
      </w:r>
      <w:r>
        <w:rPr>
          <w:rFonts w:ascii="MS PGothic" w:cs="MS PGothic" w:eastAsia="MS PGothic" w:hAnsi="MS PGothic"/>
          <w:sz w:val="21"/>
          <w:szCs w:val="21"/>
          <w:color w:val="auto"/>
        </w:rPr>
        <w:t>☐</w:t>
      </w:r>
    </w:p>
    <w:p>
      <w:pPr>
        <w:spacing w:after="0" w:line="115" w:lineRule="exact"/>
        <w:rPr>
          <w:sz w:val="24"/>
          <w:szCs w:val="24"/>
          <w:color w:val="auto"/>
        </w:rPr>
      </w:pPr>
    </w:p>
    <w:p>
      <w:pPr>
        <w:jc w:val="center"/>
        <w:ind w:right="-119"/>
        <w:spacing w:after="0" w:line="242"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20" w:firstLine="162"/>
        <w:spacing w:after="0" w:line="25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18" w:lineRule="exact"/>
        <w:rPr>
          <w:sz w:val="20"/>
          <w:szCs w:val="20"/>
          <w:color w:val="auto"/>
        </w:rPr>
      </w:pPr>
    </w:p>
    <w:p>
      <w:pPr>
        <w:jc w:val="both"/>
        <w:ind w:firstLine="162"/>
        <w:spacing w:after="0" w:line="23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25" w:lineRule="exact"/>
        <w:rPr>
          <w:sz w:val="20"/>
          <w:szCs w:val="20"/>
          <w:color w:val="auto"/>
        </w:rPr>
      </w:pPr>
    </w:p>
    <w:p>
      <w:pPr>
        <w:ind w:firstLine="162"/>
        <w:spacing w:after="0" w:line="252"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23" w:lineRule="exact"/>
        <w:rPr>
          <w:sz w:val="20"/>
          <w:szCs w:val="20"/>
          <w:color w:val="auto"/>
        </w:rPr>
      </w:pPr>
    </w:p>
    <w:p>
      <w:pPr>
        <w:ind w:right="20" w:firstLine="162"/>
        <w:spacing w:after="0" w:line="252"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21"/>
          <w:szCs w:val="21"/>
          <w:color w:val="auto"/>
        </w:rPr>
        <w:t>☐</w:t>
      </w:r>
    </w:p>
    <w:p>
      <w:pPr>
        <w:ind w:left="180"/>
        <w:spacing w:after="0" w:line="24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05" w:lineRule="exact"/>
        <w:rPr>
          <w:sz w:val="20"/>
          <w:szCs w:val="20"/>
          <w:color w:val="auto"/>
        </w:rPr>
      </w:pPr>
    </w:p>
    <w:p>
      <w:pPr>
        <w:ind w:right="20" w:firstLine="162"/>
        <w:spacing w:after="0" w:line="258"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1" w:lineRule="exact"/>
        <w:rPr>
          <w:sz w:val="20"/>
          <w:szCs w:val="20"/>
          <w:color w:val="auto"/>
        </w:rPr>
      </w:pPr>
    </w:p>
    <w:p>
      <w:pPr>
        <w:ind w:firstLine="162"/>
        <w:spacing w:after="0" w:line="281" w:lineRule="auto"/>
        <w:rPr>
          <w:sz w:val="20"/>
          <w:szCs w:val="20"/>
          <w:color w:val="auto"/>
        </w:rPr>
      </w:pPr>
      <w:r>
        <w:rPr>
          <w:rFonts w:ascii="Arial" w:cs="Arial" w:eastAsia="Arial" w:hAnsi="Arial"/>
          <w:sz w:val="16"/>
          <w:szCs w:val="16"/>
          <w:color w:val="auto"/>
        </w:rPr>
        <w:t>The aggregate market value of our common stock held by non-affiliates on June 28, 2024 was approximately $6.5 billion. As of February 19, 2025, there were 232,699,939 shares of our common stock outstanding.</w:t>
      </w:r>
    </w:p>
    <w:p>
      <w:pPr>
        <w:spacing w:after="0" w:line="59"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__________________________________________</w:t>
      </w:r>
    </w:p>
    <w:p>
      <w:pPr>
        <w:spacing w:after="0" w:line="49" w:lineRule="exact"/>
        <w:rPr>
          <w:sz w:val="20"/>
          <w:szCs w:val="20"/>
          <w:color w:val="auto"/>
        </w:rPr>
      </w:pPr>
    </w:p>
    <w:p>
      <w:pPr>
        <w:jc w:val="center"/>
        <w:ind w:left="400"/>
        <w:spacing w:after="0"/>
        <w:rPr>
          <w:sz w:val="20"/>
          <w:szCs w:val="20"/>
          <w:color w:val="auto"/>
        </w:rPr>
      </w:pPr>
      <w:r>
        <w:rPr>
          <w:rFonts w:ascii="Arial" w:cs="Arial" w:eastAsia="Arial" w:hAnsi="Arial"/>
          <w:sz w:val="16"/>
          <w:szCs w:val="16"/>
          <w:b w:val="1"/>
          <w:bCs w:val="1"/>
          <w:color w:val="auto"/>
        </w:rPr>
        <w:t>DOCUMENTS INCORPORATED BY REFERENCE</w:t>
      </w:r>
    </w:p>
    <w:p>
      <w:pPr>
        <w:spacing w:after="0" w:line="4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Portions of the proxy statement for the 2025 Annual Meeting of Stockholders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TABLE OF CONTENTS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0" w:type="dxa"/>
            <w:vAlign w:val="bottom"/>
            <w:shd w:val="clear" w:color="auto" w:fill="DBDBDB"/>
          </w:tcPr>
          <w:p>
            <w:pPr>
              <w:spacing w:after="0"/>
              <w:rPr>
                <w:sz w:val="24"/>
                <w:szCs w:val="24"/>
                <w:color w:val="auto"/>
              </w:rPr>
            </w:pPr>
          </w:p>
        </w:tc>
        <w:tc>
          <w:tcPr>
            <w:tcW w:w="50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6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56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300" w:type="dxa"/>
            <w:vAlign w:val="bottom"/>
            <w:shd w:val="clear" w:color="auto" w:fill="DBDBDB"/>
          </w:tcPr>
          <w:p>
            <w:pPr>
              <w:spacing w:after="0"/>
              <w:rPr>
                <w:sz w:val="24"/>
                <w:szCs w:val="24"/>
                <w:color w:val="auto"/>
              </w:rPr>
            </w:pPr>
          </w:p>
        </w:tc>
        <w:tc>
          <w:tcPr>
            <w:tcW w:w="80" w:type="dxa"/>
            <w:vAlign w:val="bottom"/>
            <w:shd w:val="clear" w:color="auto" w:fill="DBDBDB"/>
          </w:tcPr>
          <w:p>
            <w:pPr>
              <w:spacing w:after="0"/>
              <w:rPr>
                <w:sz w:val="24"/>
                <w:szCs w:val="24"/>
                <w:color w:val="auto"/>
              </w:rPr>
            </w:pPr>
          </w:p>
        </w:tc>
        <w:tc>
          <w:tcPr>
            <w:tcW w:w="1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60" w:type="dxa"/>
            <w:vAlign w:val="bottom"/>
            <w:shd w:val="clear" w:color="auto" w:fill="DBDBDB"/>
          </w:tcPr>
          <w:p>
            <w:pPr>
              <w:spacing w:after="0"/>
              <w:rPr>
                <w:sz w:val="24"/>
                <w:szCs w:val="24"/>
                <w:color w:val="auto"/>
              </w:rPr>
            </w:pPr>
          </w:p>
        </w:tc>
        <w:tc>
          <w:tcPr>
            <w:tcW w:w="60" w:type="dxa"/>
            <w:vAlign w:val="bottom"/>
            <w:shd w:val="clear" w:color="auto" w:fill="DBDBDB"/>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620" w:type="dxa"/>
            <w:vAlign w:val="bottom"/>
            <w:shd w:val="clear" w:color="auto" w:fill="DBDBDB"/>
          </w:tcPr>
          <w:p>
            <w:pPr>
              <w:spacing w:after="0"/>
              <w:rPr>
                <w:sz w:val="24"/>
                <w:szCs w:val="24"/>
                <w:color w:val="auto"/>
              </w:rPr>
            </w:pPr>
          </w:p>
        </w:tc>
        <w:tc>
          <w:tcPr>
            <w:tcW w:w="3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760" w:type="dxa"/>
            <w:vAlign w:val="bottom"/>
            <w:gridSpan w:val="15"/>
            <w:shd w:val="clear" w:color="auto" w:fill="DBDBDB"/>
          </w:tcPr>
          <w:p>
            <w:pPr>
              <w:jc w:val="center"/>
              <w:ind w:right="4100"/>
              <w:spacing w:after="0"/>
              <w:rPr>
                <w:sz w:val="20"/>
                <w:szCs w:val="20"/>
                <w:color w:val="auto"/>
              </w:rPr>
            </w:pPr>
            <w:r>
              <w:rPr>
                <w:rFonts w:ascii="Arial" w:cs="Arial" w:eastAsia="Arial" w:hAnsi="Arial"/>
                <w:sz w:val="18"/>
                <w:szCs w:val="18"/>
                <w:b w:val="1"/>
                <w:bCs w:val="1"/>
                <w:color w:val="auto"/>
                <w:w w:val="98"/>
              </w:rPr>
              <w:t>PART I</w:t>
            </w:r>
          </w:p>
        </w:tc>
        <w:tc>
          <w:tcPr>
            <w:tcW w:w="1240" w:type="dxa"/>
            <w:vAlign w:val="bottom"/>
            <w:gridSpan w:val="5"/>
            <w:shd w:val="clear" w:color="auto" w:fill="DBDBDB"/>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0"/>
        </w:trPr>
        <w:tc>
          <w:tcPr>
            <w:tcW w:w="1520" w:type="dxa"/>
            <w:vAlign w:val="bottom"/>
            <w:tcBorders>
              <w:top w:val="single" w:sz="8" w:color="DBDBDB"/>
            </w:tcBorders>
            <w:gridSpan w:val="8"/>
          </w:tcPr>
          <w:p>
            <w:pPr>
              <w:ind w:left="20"/>
              <w:spacing w:after="0"/>
              <w:rPr>
                <w:sz w:val="20"/>
                <w:szCs w:val="20"/>
                <w:color w:val="auto"/>
              </w:rPr>
            </w:pPr>
            <w:r>
              <w:rPr>
                <w:rFonts w:ascii="Arial" w:cs="Arial" w:eastAsia="Arial" w:hAnsi="Arial"/>
                <w:sz w:val="18"/>
                <w:szCs w:val="18"/>
                <w:color w:val="0000FF"/>
              </w:rPr>
              <w:t>Item 1.</w:t>
            </w:r>
          </w:p>
        </w:tc>
        <w:tc>
          <w:tcPr>
            <w:tcW w:w="3700" w:type="dxa"/>
            <w:vAlign w:val="bottom"/>
            <w:tcBorders>
              <w:top w:val="single" w:sz="8" w:color="DBDBDB"/>
            </w:tcBorders>
            <w:gridSpan w:val="21"/>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auto"/>
            </w:tcBorders>
            <w:gridSpan w:val="2"/>
          </w:tcPr>
          <w:p>
            <w:pPr>
              <w:spacing w:after="0"/>
              <w:rPr>
                <w:sz w:val="19"/>
                <w:szCs w:val="19"/>
                <w:color w:val="auto"/>
              </w:rPr>
            </w:pPr>
          </w:p>
        </w:tc>
        <w:tc>
          <w:tcPr>
            <w:tcW w:w="4140" w:type="dxa"/>
            <w:vAlign w:val="bottom"/>
            <w:tcBorders>
              <w:top w:val="single" w:sz="8" w:color="DBDBDB"/>
            </w:tcBorders>
            <w:gridSpan w:val="12"/>
          </w:tcPr>
          <w:p>
            <w:pPr>
              <w:spacing w:after="0"/>
              <w:rPr>
                <w:sz w:val="19"/>
                <w:szCs w:val="19"/>
                <w:color w:val="auto"/>
              </w:rPr>
            </w:pPr>
          </w:p>
        </w:tc>
        <w:tc>
          <w:tcPr>
            <w:tcW w:w="740" w:type="dxa"/>
            <w:vAlign w:val="bottom"/>
            <w:tcBorders>
              <w:top w:val="single" w:sz="8" w:color="DBDBDB"/>
            </w:tcBorders>
            <w:gridSpan w:val="4"/>
          </w:tcPr>
          <w:p>
            <w:pPr>
              <w:jc w:val="center"/>
              <w:ind w:left="370"/>
              <w:spacing w:after="0"/>
              <w:rPr>
                <w:sz w:val="20"/>
                <w:szCs w:val="20"/>
                <w:color w:val="auto"/>
              </w:rPr>
            </w:pPr>
            <w:r>
              <w:rPr>
                <w:rFonts w:ascii="Arial" w:cs="Arial" w:eastAsia="Arial" w:hAnsi="Arial"/>
                <w:sz w:val="18"/>
                <w:szCs w:val="18"/>
                <w:color w:val="0000FF"/>
                <w:w w:val="99"/>
              </w:rPr>
              <w:t>10</w:t>
            </w:r>
          </w:p>
        </w:tc>
        <w:tc>
          <w:tcPr>
            <w:tcW w:w="50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1A.</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Risk Factors</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27</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1B.</w:t>
            </w:r>
          </w:p>
        </w:tc>
        <w:tc>
          <w:tcPr>
            <w:tcW w:w="8420" w:type="dxa"/>
            <w:vAlign w:val="bottom"/>
            <w:gridSpan w:val="35"/>
          </w:tcPr>
          <w:p>
            <w:pPr>
              <w:spacing w:after="0"/>
              <w:rPr>
                <w:sz w:val="20"/>
                <w:szCs w:val="20"/>
                <w:color w:val="auto"/>
              </w:rPr>
            </w:pPr>
            <w:r>
              <w:rPr>
                <w:rFonts w:ascii="Arial" w:cs="Arial" w:eastAsia="Arial" w:hAnsi="Arial"/>
                <w:sz w:val="18"/>
                <w:szCs w:val="18"/>
                <w:color w:val="0000FF"/>
              </w:rPr>
              <w:t>Unresolved Staff Comments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1C.</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Cybersecurity</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50</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2.</w:t>
            </w:r>
          </w:p>
        </w:tc>
        <w:tc>
          <w:tcPr>
            <w:tcW w:w="8420" w:type="dxa"/>
            <w:vAlign w:val="bottom"/>
            <w:gridSpan w:val="35"/>
          </w:tcPr>
          <w:p>
            <w:pPr>
              <w:spacing w:after="0"/>
              <w:rPr>
                <w:sz w:val="20"/>
                <w:szCs w:val="20"/>
                <w:color w:val="auto"/>
              </w:rPr>
            </w:pPr>
            <w:r>
              <w:rPr>
                <w:rFonts w:ascii="Arial" w:cs="Arial" w:eastAsia="Arial" w:hAnsi="Arial"/>
                <w:sz w:val="18"/>
                <w:szCs w:val="18"/>
                <w:color w:val="0000FF"/>
              </w:rPr>
              <w:t>Properties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shd w:val="clear" w:color="auto" w:fill="DBDBDB"/>
          </w:tcPr>
          <w:p>
            <w:pPr>
              <w:ind w:left="20"/>
              <w:spacing w:after="0"/>
              <w:rPr>
                <w:sz w:val="20"/>
                <w:szCs w:val="20"/>
                <w:color w:val="auto"/>
              </w:rPr>
            </w:pPr>
            <w:r>
              <w:rPr>
                <w:rFonts w:ascii="Arial" w:cs="Arial" w:eastAsia="Arial" w:hAnsi="Arial"/>
                <w:sz w:val="18"/>
                <w:szCs w:val="18"/>
                <w:color w:val="0000FF"/>
              </w:rPr>
              <w:t>Item 3.</w:t>
            </w:r>
          </w:p>
        </w:tc>
        <w:tc>
          <w:tcPr>
            <w:tcW w:w="8420" w:type="dxa"/>
            <w:vAlign w:val="bottom"/>
            <w:gridSpan w:val="35"/>
            <w:shd w:val="clear" w:color="auto" w:fill="DBDBDB"/>
          </w:tcPr>
          <w:p>
            <w:pPr>
              <w:spacing w:after="0"/>
              <w:rPr>
                <w:sz w:val="20"/>
                <w:szCs w:val="20"/>
                <w:color w:val="auto"/>
              </w:rPr>
            </w:pPr>
            <w:r>
              <w:rPr>
                <w:rFonts w:ascii="Arial" w:cs="Arial" w:eastAsia="Arial" w:hAnsi="Arial"/>
                <w:sz w:val="18"/>
                <w:szCs w:val="18"/>
                <w:color w:val="0000FF"/>
              </w:rPr>
              <w:t>Legal Proceedings</w:t>
            </w:r>
          </w:p>
        </w:tc>
        <w:tc>
          <w:tcPr>
            <w:tcW w:w="740" w:type="dxa"/>
            <w:vAlign w:val="bottom"/>
            <w:gridSpan w:val="4"/>
            <w:shd w:val="clear" w:color="auto" w:fill="DBDBDB"/>
          </w:tcPr>
          <w:p>
            <w:pPr>
              <w:jc w:val="center"/>
              <w:ind w:left="370"/>
              <w:spacing w:after="0"/>
              <w:rPr>
                <w:sz w:val="20"/>
                <w:szCs w:val="20"/>
                <w:color w:val="auto"/>
              </w:rPr>
            </w:pPr>
            <w:r>
              <w:rPr>
                <w:rFonts w:ascii="Arial" w:cs="Arial" w:eastAsia="Arial" w:hAnsi="Arial"/>
                <w:sz w:val="18"/>
                <w:szCs w:val="18"/>
                <w:color w:val="0000FF"/>
                <w:w w:val="99"/>
              </w:rPr>
              <w:t>52</w:t>
            </w: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3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6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70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0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20" w:type="dxa"/>
            <w:vAlign w:val="bottom"/>
            <w:gridSpan w:val="8"/>
          </w:tcPr>
          <w:p>
            <w:pPr>
              <w:ind w:left="20"/>
              <w:spacing w:after="0"/>
              <w:rPr>
                <w:sz w:val="20"/>
                <w:szCs w:val="20"/>
                <w:color w:val="auto"/>
              </w:rPr>
            </w:pPr>
            <w:r>
              <w:rPr>
                <w:rFonts w:ascii="Arial" w:cs="Arial" w:eastAsia="Arial" w:hAnsi="Arial"/>
                <w:sz w:val="18"/>
                <w:szCs w:val="18"/>
                <w:color w:val="0000FF"/>
              </w:rPr>
              <w:t>Item 4.</w:t>
            </w:r>
          </w:p>
        </w:tc>
        <w:tc>
          <w:tcPr>
            <w:tcW w:w="8420" w:type="dxa"/>
            <w:vAlign w:val="bottom"/>
            <w:gridSpan w:val="35"/>
          </w:tcPr>
          <w:p>
            <w:pPr>
              <w:spacing w:after="0"/>
              <w:rPr>
                <w:sz w:val="20"/>
                <w:szCs w:val="20"/>
                <w:color w:val="auto"/>
              </w:rPr>
            </w:pPr>
            <w:r>
              <w:rPr>
                <w:rFonts w:ascii="Arial" w:cs="Arial" w:eastAsia="Arial" w:hAnsi="Arial"/>
                <w:sz w:val="18"/>
                <w:szCs w:val="18"/>
                <w:color w:val="0000FF"/>
              </w:rPr>
              <w:t>Mine Safety Disclosures</w:t>
            </w:r>
          </w:p>
        </w:tc>
        <w:tc>
          <w:tcPr>
            <w:tcW w:w="740" w:type="dxa"/>
            <w:vAlign w:val="bottom"/>
            <w:gridSpan w:val="4"/>
          </w:tcPr>
          <w:p>
            <w:pPr>
              <w:jc w:val="center"/>
              <w:ind w:left="370"/>
              <w:spacing w:after="0"/>
              <w:rPr>
                <w:sz w:val="20"/>
                <w:szCs w:val="20"/>
                <w:color w:val="auto"/>
              </w:rPr>
            </w:pPr>
            <w:r>
              <w:rPr>
                <w:rFonts w:ascii="Arial" w:cs="Arial" w:eastAsia="Arial" w:hAnsi="Arial"/>
                <w:sz w:val="18"/>
                <w:szCs w:val="18"/>
                <w:color w:val="0000FF"/>
                <w:w w:val="99"/>
              </w:rPr>
              <w:t>52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760" w:type="dxa"/>
            <w:vAlign w:val="bottom"/>
            <w:gridSpan w:val="15"/>
            <w:shd w:val="clear" w:color="auto" w:fill="DBDBDB"/>
          </w:tcPr>
          <w:p>
            <w:pPr>
              <w:jc w:val="center"/>
              <w:ind w:right="4120"/>
              <w:spacing w:after="0"/>
              <w:rPr>
                <w:sz w:val="20"/>
                <w:szCs w:val="20"/>
                <w:color w:val="auto"/>
              </w:rPr>
            </w:pPr>
            <w:r>
              <w:rPr>
                <w:rFonts w:ascii="Arial" w:cs="Arial" w:eastAsia="Arial" w:hAnsi="Arial"/>
                <w:sz w:val="18"/>
                <w:szCs w:val="18"/>
                <w:b w:val="1"/>
                <w:bCs w:val="1"/>
                <w:color w:val="auto"/>
                <w:w w:val="99"/>
              </w:rPr>
              <w:t>PART II</w:t>
            </w:r>
          </w:p>
        </w:tc>
        <w:tc>
          <w:tcPr>
            <w:tcW w:w="4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vMerge w:val="restart"/>
          </w:tcPr>
          <w:p>
            <w:pPr>
              <w:ind w:left="20"/>
              <w:spacing w:after="0"/>
              <w:rPr>
                <w:sz w:val="20"/>
                <w:szCs w:val="20"/>
                <w:color w:val="auto"/>
              </w:rPr>
            </w:pPr>
            <w:r>
              <w:rPr>
                <w:rFonts w:ascii="Arial" w:cs="Arial" w:eastAsia="Arial" w:hAnsi="Arial"/>
                <w:sz w:val="18"/>
                <w:szCs w:val="18"/>
                <w:color w:val="0000FF"/>
              </w:rPr>
              <w:t>Item 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740" w:type="dxa"/>
            <w:vAlign w:val="bottom"/>
            <w:gridSpan w:val="4"/>
            <w:vMerge w:val="restart"/>
          </w:tcPr>
          <w:p>
            <w:pPr>
              <w:jc w:val="center"/>
              <w:ind w:left="370"/>
              <w:spacing w:after="0"/>
              <w:rPr>
                <w:sz w:val="20"/>
                <w:szCs w:val="20"/>
                <w:color w:val="auto"/>
              </w:rPr>
            </w:pPr>
            <w:r>
              <w:rPr>
                <w:rFonts w:ascii="Arial" w:cs="Arial" w:eastAsia="Arial" w:hAnsi="Arial"/>
                <w:sz w:val="18"/>
                <w:szCs w:val="18"/>
                <w:color w:val="0000FF"/>
                <w:w w:val="99"/>
              </w:rPr>
              <w:t>53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20" w:type="dxa"/>
            <w:vAlign w:val="bottom"/>
            <w:gridSpan w:val="8"/>
            <w:vMerge w:val="continue"/>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880" w:type="dxa"/>
            <w:vAlign w:val="bottom"/>
            <w:tcBorders>
              <w:top w:val="single" w:sz="8" w:color="0000FF"/>
            </w:tcBorders>
            <w:gridSpan w:val="32"/>
          </w:tcPr>
          <w:p>
            <w:pPr>
              <w:spacing w:after="0" w:line="142" w:lineRule="exact"/>
              <w:rPr>
                <w:sz w:val="20"/>
                <w:szCs w:val="20"/>
                <w:color w:val="auto"/>
              </w:rPr>
            </w:pPr>
            <w:r>
              <w:rPr>
                <w:rFonts w:ascii="Arial" w:cs="Arial" w:eastAsia="Arial" w:hAnsi="Arial"/>
                <w:sz w:val="16"/>
                <w:szCs w:val="16"/>
                <w:color w:val="0000FF"/>
              </w:rPr>
              <w:t>Securities</w:t>
            </w:r>
          </w:p>
        </w:tc>
        <w:tc>
          <w:tcPr>
            <w:tcW w:w="380" w:type="dxa"/>
            <w:vAlign w:val="bottom"/>
          </w:tcPr>
          <w:p>
            <w:pPr>
              <w:spacing w:after="0"/>
              <w:rPr>
                <w:sz w:val="15"/>
                <w:szCs w:val="15"/>
                <w:color w:val="auto"/>
              </w:rPr>
            </w:pPr>
          </w:p>
        </w:tc>
        <w:tc>
          <w:tcPr>
            <w:tcW w:w="740" w:type="dxa"/>
            <w:vAlign w:val="bottom"/>
            <w:gridSpan w:val="4"/>
            <w:vMerge w:val="continue"/>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Reserved</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53</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7.</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54</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8420" w:type="dxa"/>
            <w:vAlign w:val="bottom"/>
            <w:gridSpan w:val="35"/>
            <w:shd w:val="clear" w:color="auto" w:fill="DBDBDB"/>
          </w:tcPr>
          <w:p>
            <w:pPr>
              <w:ind w:left="40"/>
              <w:spacing w:after="0" w:line="189" w:lineRule="exact"/>
              <w:rPr>
                <w:sz w:val="20"/>
                <w:szCs w:val="20"/>
                <w:color w:val="auto"/>
              </w:rPr>
            </w:pPr>
            <w:r>
              <w:rPr>
                <w:rFonts w:ascii="Arial" w:cs="Arial" w:eastAsia="Arial" w:hAnsi="Arial"/>
                <w:sz w:val="18"/>
                <w:szCs w:val="18"/>
                <w:color w:val="0000FF"/>
              </w:rPr>
              <w:t>Liquidity and Capital Resources</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57</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20" w:type="dxa"/>
            <w:vAlign w:val="bottom"/>
            <w:gridSpan w:val="35"/>
          </w:tcPr>
          <w:p>
            <w:pPr>
              <w:ind w:left="40"/>
              <w:spacing w:after="0" w:line="189" w:lineRule="exact"/>
              <w:rPr>
                <w:sz w:val="20"/>
                <w:szCs w:val="20"/>
                <w:color w:val="auto"/>
              </w:rPr>
            </w:pPr>
            <w:r>
              <w:rPr>
                <w:rFonts w:ascii="Arial" w:cs="Arial" w:eastAsia="Arial" w:hAnsi="Arial"/>
                <w:sz w:val="18"/>
                <w:szCs w:val="18"/>
                <w:color w:val="0000FF"/>
              </w:rPr>
              <w:t>Results of Operations</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62</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7A.</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740" w:type="dxa"/>
            <w:vAlign w:val="bottom"/>
            <w:gridSpan w:val="4"/>
            <w:shd w:val="clear" w:color="auto" w:fill="DBDBDB"/>
          </w:tcPr>
          <w:p>
            <w:pPr>
              <w:jc w:val="center"/>
              <w:ind w:left="370"/>
              <w:spacing w:after="0" w:line="189" w:lineRule="exact"/>
              <w:rPr>
                <w:sz w:val="20"/>
                <w:szCs w:val="20"/>
                <w:color w:val="auto"/>
              </w:rPr>
            </w:pPr>
            <w:r>
              <w:rPr>
                <w:rFonts w:ascii="Arial" w:cs="Arial" w:eastAsia="Arial" w:hAnsi="Arial"/>
                <w:sz w:val="18"/>
                <w:szCs w:val="18"/>
                <w:color w:val="0000FF"/>
                <w:w w:val="99"/>
              </w:rPr>
              <w:t>70</w:t>
            </w: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8</w:t>
            </w:r>
            <w:r>
              <w:rPr>
                <w:rFonts w:ascii="Arial" w:cs="Arial" w:eastAsia="Arial" w:hAnsi="Arial"/>
                <w:sz w:val="18"/>
                <w:szCs w:val="18"/>
                <w:color w:val="000000"/>
              </w:rPr>
              <w:t>.</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740" w:type="dxa"/>
            <w:vAlign w:val="bottom"/>
            <w:gridSpan w:val="4"/>
          </w:tcPr>
          <w:p>
            <w:pPr>
              <w:jc w:val="center"/>
              <w:ind w:left="370"/>
              <w:spacing w:after="0" w:line="189" w:lineRule="exact"/>
              <w:rPr>
                <w:sz w:val="20"/>
                <w:szCs w:val="20"/>
                <w:color w:val="auto"/>
              </w:rPr>
            </w:pPr>
            <w:r>
              <w:rPr>
                <w:rFonts w:ascii="Arial" w:cs="Arial" w:eastAsia="Arial" w:hAnsi="Arial"/>
                <w:sz w:val="18"/>
                <w:szCs w:val="18"/>
                <w:color w:val="0000FF"/>
                <w:w w:val="99"/>
              </w:rPr>
              <w:t>71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123</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9A.</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Controls and Procedures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123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9B.</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Other Information</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123</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5"/>
            <w:vMerge w:val="restart"/>
          </w:tcPr>
          <w:p>
            <w:pPr>
              <w:spacing w:after="0" w:line="169" w:lineRule="exact"/>
              <w:rPr>
                <w:sz w:val="20"/>
                <w:szCs w:val="20"/>
                <w:color w:val="auto"/>
              </w:rPr>
            </w:pPr>
            <w:r>
              <w:rPr>
                <w:rFonts w:ascii="Arial" w:cs="Arial" w:eastAsia="Arial" w:hAnsi="Arial"/>
                <w:sz w:val="18"/>
                <w:szCs w:val="18"/>
                <w:color w:val="0000FF"/>
                <w:w w:val="96"/>
              </w:rPr>
              <w:t>Item 9C.</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0" w:type="dxa"/>
            <w:vAlign w:val="bottom"/>
            <w:gridSpan w:val="29"/>
          </w:tcPr>
          <w:p>
            <w:pPr>
              <w:spacing w:after="0" w:line="169"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vMerge w:val="restart"/>
          </w:tcPr>
          <w:p>
            <w:pPr>
              <w:spacing w:after="0"/>
              <w:rPr>
                <w:sz w:val="16"/>
                <w:szCs w:val="16"/>
                <w:color w:val="auto"/>
              </w:rPr>
            </w:pPr>
          </w:p>
        </w:tc>
        <w:tc>
          <w:tcPr>
            <w:tcW w:w="1920" w:type="dxa"/>
            <w:vAlign w:val="bottom"/>
            <w:gridSpan w:val="3"/>
            <w:vMerge w:val="restart"/>
          </w:tcPr>
          <w:p>
            <w:pPr>
              <w:spacing w:after="0"/>
              <w:rPr>
                <w:sz w:val="16"/>
                <w:szCs w:val="16"/>
                <w:color w:val="auto"/>
              </w:rPr>
            </w:pPr>
          </w:p>
        </w:tc>
        <w:tc>
          <w:tcPr>
            <w:tcW w:w="420" w:type="dxa"/>
            <w:vAlign w:val="bottom"/>
            <w:gridSpan w:val="2"/>
            <w:vMerge w:val="restart"/>
          </w:tcPr>
          <w:p>
            <w:pPr>
              <w:spacing w:after="0"/>
              <w:rPr>
                <w:sz w:val="16"/>
                <w:szCs w:val="16"/>
                <w:color w:val="auto"/>
              </w:rPr>
            </w:pPr>
          </w:p>
        </w:tc>
        <w:tc>
          <w:tcPr>
            <w:tcW w:w="1240" w:type="dxa"/>
            <w:vAlign w:val="bottom"/>
            <w:gridSpan w:val="5"/>
            <w:vMerge w:val="restart"/>
          </w:tcPr>
          <w:p>
            <w:pPr>
              <w:jc w:val="center"/>
              <w:ind w:right="60"/>
              <w:spacing w:after="0"/>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tcBorders>
              <w:bottom w:val="single" w:sz="8" w:color="0000FF"/>
            </w:tcBorders>
            <w:gridSpan w:val="5"/>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660" w:type="dxa"/>
            <w:vAlign w:val="bottom"/>
            <w:tcBorders>
              <w:bottom w:val="single" w:sz="8" w:color="0000FF"/>
            </w:tcBorders>
            <w:gridSpan w:val="11"/>
            <w:shd w:val="clear" w:color="auto" w:fill="0000FF"/>
          </w:tcPr>
          <w:p>
            <w:pPr>
              <w:spacing w:after="0" w:line="20" w:lineRule="exact"/>
              <w:rPr>
                <w:sz w:val="1"/>
                <w:szCs w:val="1"/>
                <w:color w:val="auto"/>
              </w:rPr>
            </w:pPr>
          </w:p>
        </w:tc>
        <w:tc>
          <w:tcPr>
            <w:tcW w:w="1520" w:type="dxa"/>
            <w:vAlign w:val="bottom"/>
            <w:tcBorders>
              <w:bottom w:val="single" w:sz="8" w:color="0000FF"/>
            </w:tcBorders>
            <w:gridSpan w:val="6"/>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680" w:type="dxa"/>
            <w:vAlign w:val="bottom"/>
            <w:tcBorders>
              <w:bottom w:val="single" w:sz="8" w:color="0000FF"/>
            </w:tcBorders>
            <w:gridSpan w:val="6"/>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900" w:type="dxa"/>
            <w:vAlign w:val="bottom"/>
            <w:tcBorders>
              <w:bottom w:val="single" w:sz="8" w:color="0000FF"/>
            </w:tcBorders>
            <w:gridSpan w:val="2"/>
            <w:shd w:val="clear" w:color="auto" w:fill="0000FF"/>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920" w:type="dxa"/>
            <w:vAlign w:val="bottom"/>
            <w:gridSpan w:val="3"/>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240" w:type="dxa"/>
            <w:vAlign w:val="bottom"/>
            <w:gridSpan w:val="5"/>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100"/>
              <w:spacing w:after="0" w:line="189" w:lineRule="exact"/>
              <w:rPr>
                <w:sz w:val="20"/>
                <w:szCs w:val="20"/>
                <w:color w:val="auto"/>
              </w:rPr>
            </w:pPr>
            <w:r>
              <w:rPr>
                <w:rFonts w:ascii="Arial" w:cs="Arial" w:eastAsia="Arial" w:hAnsi="Arial"/>
                <w:sz w:val="18"/>
                <w:szCs w:val="18"/>
                <w:b w:val="1"/>
                <w:bCs w:val="1"/>
                <w:color w:val="auto"/>
                <w:w w:val="98"/>
              </w:rPr>
              <w:t>PART III</w:t>
            </w:r>
          </w:p>
        </w:tc>
        <w:tc>
          <w:tcPr>
            <w:tcW w:w="440" w:type="dxa"/>
            <w:vAlign w:val="bottom"/>
            <w:shd w:val="clear" w:color="auto" w:fill="DBDBDB"/>
          </w:tcPr>
          <w:p>
            <w:pPr>
              <w:spacing w:after="0"/>
              <w:rPr>
                <w:sz w:val="16"/>
                <w:szCs w:val="16"/>
                <w:color w:val="auto"/>
              </w:rPr>
            </w:pPr>
          </w:p>
        </w:tc>
        <w:tc>
          <w:tcPr>
            <w:tcW w:w="60" w:type="dxa"/>
            <w:vAlign w:val="bottom"/>
            <w:tcBorders>
              <w:top w:val="single" w:sz="8" w:color="0000FF"/>
            </w:tcBorders>
            <w:shd w:val="clear" w:color="auto" w:fill="DBDBDB"/>
          </w:tcPr>
          <w:p>
            <w:pPr>
              <w:spacing w:after="0"/>
              <w:rPr>
                <w:sz w:val="16"/>
                <w:szCs w:val="16"/>
                <w:color w:val="auto"/>
              </w:rPr>
            </w:pPr>
          </w:p>
        </w:tc>
        <w:tc>
          <w:tcPr>
            <w:tcW w:w="200" w:type="dxa"/>
            <w:vAlign w:val="bottom"/>
            <w:tcBorders>
              <w:top w:val="single" w:sz="8" w:color="0000FF"/>
            </w:tcBorders>
            <w:shd w:val="clear" w:color="auto" w:fill="DBDBDB"/>
          </w:tcPr>
          <w:p>
            <w:pPr>
              <w:spacing w:after="0"/>
              <w:rPr>
                <w:sz w:val="16"/>
                <w:szCs w:val="16"/>
                <w:color w:val="auto"/>
              </w:rPr>
            </w:pPr>
          </w:p>
        </w:tc>
        <w:tc>
          <w:tcPr>
            <w:tcW w:w="40" w:type="dxa"/>
            <w:vAlign w:val="bottom"/>
            <w:tcBorders>
              <w:top w:val="single" w:sz="8" w:color="0000FF"/>
            </w:tcBorders>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10.</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11.</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Executive Compensation</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12.</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680" w:type="dxa"/>
            <w:vAlign w:val="bottom"/>
            <w:tcBorders>
              <w:top w:val="single" w:sz="8" w:color="0000FF"/>
            </w:tcBorders>
          </w:tcPr>
          <w:p>
            <w:pPr>
              <w:spacing w:after="0"/>
              <w:rPr>
                <w:sz w:val="5"/>
                <w:szCs w:val="5"/>
                <w:color w:val="auto"/>
              </w:rPr>
            </w:pPr>
          </w:p>
        </w:tc>
        <w:tc>
          <w:tcPr>
            <w:tcW w:w="100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2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13.</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6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620" w:type="dxa"/>
            <w:vAlign w:val="bottom"/>
            <w:tcBorders>
              <w:top w:val="single" w:sz="8" w:color="0000FF"/>
            </w:tcBorders>
            <w:shd w:val="clear" w:color="auto" w:fill="DBDBDB"/>
          </w:tcPr>
          <w:p>
            <w:pPr>
              <w:spacing w:after="0"/>
              <w:rPr>
                <w:sz w:val="5"/>
                <w:szCs w:val="5"/>
                <w:color w:val="auto"/>
              </w:rPr>
            </w:pPr>
          </w:p>
        </w:tc>
        <w:tc>
          <w:tcPr>
            <w:tcW w:w="32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700" w:type="dxa"/>
            <w:vAlign w:val="bottom"/>
            <w:tcBorders>
              <w:top w:val="single" w:sz="8" w:color="0000FF"/>
            </w:tcBorders>
            <w:shd w:val="clear" w:color="auto" w:fill="DBDBDB"/>
          </w:tcPr>
          <w:p>
            <w:pPr>
              <w:spacing w:after="0"/>
              <w:rPr>
                <w:sz w:val="5"/>
                <w:szCs w:val="5"/>
                <w:color w:val="auto"/>
              </w:rPr>
            </w:pPr>
          </w:p>
        </w:tc>
        <w:tc>
          <w:tcPr>
            <w:tcW w:w="680" w:type="dxa"/>
            <w:vAlign w:val="bottom"/>
            <w:tcBorders>
              <w:top w:val="single" w:sz="8" w:color="0000FF"/>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14.</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124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780" w:type="dxa"/>
            <w:vAlign w:val="bottom"/>
            <w:gridSpan w:val="16"/>
            <w:shd w:val="clear" w:color="auto" w:fill="DBDBDB"/>
          </w:tcPr>
          <w:p>
            <w:pPr>
              <w:jc w:val="center"/>
              <w:ind w:right="4080"/>
              <w:spacing w:after="0" w:line="189" w:lineRule="exact"/>
              <w:rPr>
                <w:sz w:val="20"/>
                <w:szCs w:val="20"/>
                <w:color w:val="auto"/>
              </w:rPr>
            </w:pPr>
            <w:r>
              <w:rPr>
                <w:rFonts w:ascii="Arial" w:cs="Arial" w:eastAsia="Arial" w:hAnsi="Arial"/>
                <w:sz w:val="18"/>
                <w:szCs w:val="18"/>
                <w:b w:val="1"/>
                <w:bCs w:val="1"/>
                <w:color w:val="auto"/>
                <w:w w:val="98"/>
              </w:rPr>
              <w:t>PART IV</w:t>
            </w:r>
          </w:p>
        </w:tc>
        <w:tc>
          <w:tcPr>
            <w:tcW w:w="4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4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tcPr>
          <w:p>
            <w:pPr>
              <w:ind w:left="20"/>
              <w:spacing w:after="0" w:line="189" w:lineRule="exact"/>
              <w:rPr>
                <w:sz w:val="20"/>
                <w:szCs w:val="20"/>
                <w:color w:val="auto"/>
              </w:rPr>
            </w:pPr>
            <w:r>
              <w:rPr>
                <w:rFonts w:ascii="Arial" w:cs="Arial" w:eastAsia="Arial" w:hAnsi="Arial"/>
                <w:sz w:val="18"/>
                <w:szCs w:val="18"/>
                <w:color w:val="0000FF"/>
              </w:rPr>
              <w:t>Item 15.</w:t>
            </w:r>
          </w:p>
        </w:tc>
        <w:tc>
          <w:tcPr>
            <w:tcW w:w="8420" w:type="dxa"/>
            <w:vAlign w:val="bottom"/>
            <w:gridSpan w:val="35"/>
          </w:tcPr>
          <w:p>
            <w:pPr>
              <w:spacing w:after="0" w:line="189" w:lineRule="exact"/>
              <w:rPr>
                <w:sz w:val="20"/>
                <w:szCs w:val="20"/>
                <w:color w:val="auto"/>
              </w:rPr>
            </w:pPr>
            <w:r>
              <w:rPr>
                <w:rFonts w:ascii="Arial" w:cs="Arial" w:eastAsia="Arial" w:hAnsi="Arial"/>
                <w:sz w:val="18"/>
                <w:szCs w:val="18"/>
                <w:color w:val="0000FF"/>
              </w:rPr>
              <w:t>Exhibits and Financial Statement Schedules</w:t>
            </w:r>
          </w:p>
        </w:tc>
        <w:tc>
          <w:tcPr>
            <w:tcW w:w="1240" w:type="dxa"/>
            <w:vAlign w:val="bottom"/>
            <w:gridSpan w:val="5"/>
          </w:tcPr>
          <w:p>
            <w:pPr>
              <w:jc w:val="center"/>
              <w:ind w:right="60"/>
              <w:spacing w:after="0" w:line="189" w:lineRule="exact"/>
              <w:rPr>
                <w:sz w:val="20"/>
                <w:szCs w:val="20"/>
                <w:color w:val="auto"/>
              </w:rPr>
            </w:pPr>
            <w:r>
              <w:rPr>
                <w:rFonts w:ascii="Arial" w:cs="Arial" w:eastAsia="Arial" w:hAnsi="Arial"/>
                <w:sz w:val="18"/>
                <w:szCs w:val="18"/>
                <w:color w:val="0000FF"/>
                <w:w w:val="99"/>
              </w:rPr>
              <w:t>125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62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Item 16.</w:t>
            </w:r>
          </w:p>
        </w:tc>
        <w:tc>
          <w:tcPr>
            <w:tcW w:w="842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Form 10-K Summary</w:t>
            </w: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129</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20" w:type="dxa"/>
            <w:vAlign w:val="bottom"/>
            <w:tcBorders>
              <w:top w:val="single" w:sz="8" w:color="0000FF"/>
            </w:tcBorders>
            <w:shd w:val="clear" w:color="auto" w:fill="DBDBDB"/>
          </w:tcPr>
          <w:p>
            <w:pPr>
              <w:spacing w:after="0"/>
              <w:rPr>
                <w:sz w:val="5"/>
                <w:szCs w:val="5"/>
                <w:color w:val="auto"/>
              </w:rPr>
            </w:pPr>
          </w:p>
        </w:tc>
        <w:tc>
          <w:tcPr>
            <w:tcW w:w="56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14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300" w:type="dxa"/>
            <w:vAlign w:val="bottom"/>
            <w:tcBorders>
              <w:top w:val="single" w:sz="8" w:color="0000FF"/>
            </w:tcBorders>
            <w:shd w:val="clear" w:color="auto" w:fill="DBDBDB"/>
          </w:tcPr>
          <w:p>
            <w:pPr>
              <w:spacing w:after="0"/>
              <w:rPr>
                <w:sz w:val="5"/>
                <w:szCs w:val="5"/>
                <w:color w:val="auto"/>
              </w:rPr>
            </w:pPr>
          </w:p>
        </w:tc>
        <w:tc>
          <w:tcPr>
            <w:tcW w:w="8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520" w:type="dxa"/>
            <w:vAlign w:val="bottom"/>
            <w:gridSpan w:val="8"/>
            <w:shd w:val="clear" w:color="auto" w:fill="DBDBDB"/>
          </w:tcPr>
          <w:p>
            <w:pPr>
              <w:ind w:left="20"/>
              <w:spacing w:after="0" w:line="189" w:lineRule="exact"/>
              <w:rPr>
                <w:sz w:val="20"/>
                <w:szCs w:val="20"/>
                <w:color w:val="auto"/>
              </w:rPr>
            </w:pPr>
            <w:r>
              <w:rPr>
                <w:rFonts w:ascii="Arial" w:cs="Arial" w:eastAsia="Arial" w:hAnsi="Arial"/>
                <w:sz w:val="18"/>
                <w:szCs w:val="18"/>
                <w:color w:val="0000FF"/>
              </w:rPr>
              <w:t>Signatures</w:t>
            </w:r>
          </w:p>
        </w:tc>
        <w:tc>
          <w:tcPr>
            <w:tcW w:w="4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240" w:type="dxa"/>
            <w:vAlign w:val="bottom"/>
            <w:gridSpan w:val="5"/>
            <w:shd w:val="clear" w:color="auto" w:fill="DBDBDB"/>
          </w:tcPr>
          <w:p>
            <w:pPr>
              <w:jc w:val="center"/>
              <w:ind w:right="60"/>
              <w:spacing w:after="0" w:line="189" w:lineRule="exact"/>
              <w:rPr>
                <w:sz w:val="20"/>
                <w:szCs w:val="20"/>
                <w:color w:val="auto"/>
              </w:rPr>
            </w:pPr>
            <w:r>
              <w:rPr>
                <w:rFonts w:ascii="Arial" w:cs="Arial" w:eastAsia="Arial" w:hAnsi="Arial"/>
                <w:sz w:val="18"/>
                <w:szCs w:val="18"/>
                <w:color w:val="0000FF"/>
                <w:w w:val="99"/>
              </w:rPr>
              <w:t>130</w:t>
            </w: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10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20" w:type="dxa"/>
            <w:vAlign w:val="bottom"/>
            <w:tcBorders>
              <w:top w:val="single" w:sz="8" w:color="0000FF"/>
            </w:tcBorders>
            <w:shd w:val="clear" w:color="auto" w:fill="DBDBDB"/>
          </w:tcPr>
          <w:p>
            <w:pPr>
              <w:spacing w:after="0"/>
              <w:rPr>
                <w:sz w:val="5"/>
                <w:szCs w:val="5"/>
                <w:color w:val="auto"/>
              </w:rPr>
            </w:pPr>
          </w:p>
        </w:tc>
        <w:tc>
          <w:tcPr>
            <w:tcW w:w="180" w:type="dxa"/>
            <w:vAlign w:val="bottom"/>
            <w:tcBorders>
              <w:top w:val="single" w:sz="8" w:color="0000FF"/>
            </w:tcBorders>
            <w:shd w:val="clear" w:color="auto" w:fill="DBDBDB"/>
          </w:tcPr>
          <w:p>
            <w:pPr>
              <w:spacing w:after="0"/>
              <w:rPr>
                <w:sz w:val="5"/>
                <w:szCs w:val="5"/>
                <w:color w:val="auto"/>
              </w:rPr>
            </w:pPr>
          </w:p>
        </w:tc>
        <w:tc>
          <w:tcPr>
            <w:tcW w:w="6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6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620" w:type="dxa"/>
            <w:vAlign w:val="bottom"/>
            <w:tcBorders>
              <w:top w:val="single" w:sz="8" w:color="DBDBDB"/>
            </w:tcBorders>
            <w:shd w:val="clear" w:color="auto" w:fill="DBDBDB"/>
          </w:tcPr>
          <w:p>
            <w:pPr>
              <w:spacing w:after="0"/>
              <w:rPr>
                <w:sz w:val="5"/>
                <w:szCs w:val="5"/>
                <w:color w:val="auto"/>
              </w:rPr>
            </w:pPr>
          </w:p>
        </w:tc>
        <w:tc>
          <w:tcPr>
            <w:tcW w:w="32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00" w:type="dxa"/>
            <w:vAlign w:val="bottom"/>
            <w:tcBorders>
              <w:top w:val="single" w:sz="8" w:color="DBDBDB"/>
            </w:tcBorders>
            <w:shd w:val="clear" w:color="auto" w:fill="DBDBDB"/>
          </w:tcPr>
          <w:p>
            <w:pPr>
              <w:spacing w:after="0"/>
              <w:rPr>
                <w:sz w:val="5"/>
                <w:szCs w:val="5"/>
                <w:color w:val="auto"/>
              </w:rPr>
            </w:pPr>
          </w:p>
        </w:tc>
        <w:tc>
          <w:tcPr>
            <w:tcW w:w="680" w:type="dxa"/>
            <w:vAlign w:val="bottom"/>
            <w:tcBorders>
              <w:top w:val="single" w:sz="8" w:color="DBDBDB"/>
            </w:tcBorders>
            <w:shd w:val="clear" w:color="auto" w:fill="DBDBDB"/>
          </w:tcPr>
          <w:p>
            <w:pPr>
              <w:spacing w:after="0"/>
              <w:rPr>
                <w:sz w:val="5"/>
                <w:szCs w:val="5"/>
                <w:color w:val="auto"/>
              </w:rPr>
            </w:pPr>
          </w:p>
        </w:tc>
        <w:tc>
          <w:tcPr>
            <w:tcW w:w="100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8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380" w:type="dxa"/>
            <w:vAlign w:val="bottom"/>
            <w:tcBorders>
              <w:top w:val="single" w:sz="8" w:color="DBDBDB"/>
            </w:tcBorders>
            <w:shd w:val="clear" w:color="auto" w:fill="DBDBDB"/>
          </w:tcPr>
          <w:p>
            <w:pPr>
              <w:spacing w:after="0"/>
              <w:rPr>
                <w:sz w:val="5"/>
                <w:szCs w:val="5"/>
                <w:color w:val="auto"/>
              </w:rPr>
            </w:pPr>
          </w:p>
        </w:tc>
        <w:tc>
          <w:tcPr>
            <w:tcW w:w="4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0000FF"/>
            </w:tcBorders>
            <w:shd w:val="clear" w:color="auto" w:fill="DBDBDB"/>
          </w:tcPr>
          <w:p>
            <w:pPr>
              <w:spacing w:after="0"/>
              <w:rPr>
                <w:sz w:val="5"/>
                <w:szCs w:val="5"/>
                <w:color w:val="auto"/>
              </w:rPr>
            </w:pPr>
          </w:p>
        </w:tc>
        <w:tc>
          <w:tcPr>
            <w:tcW w:w="200" w:type="dxa"/>
            <w:vAlign w:val="bottom"/>
            <w:tcBorders>
              <w:top w:val="single" w:sz="8" w:color="0000FF"/>
            </w:tcBorders>
            <w:shd w:val="clear" w:color="auto" w:fill="DBDBDB"/>
          </w:tcPr>
          <w:p>
            <w:pPr>
              <w:spacing w:after="0"/>
              <w:rPr>
                <w:sz w:val="5"/>
                <w:szCs w:val="5"/>
                <w:color w:val="auto"/>
              </w:rPr>
            </w:pPr>
          </w:p>
        </w:tc>
        <w:tc>
          <w:tcPr>
            <w:tcW w:w="40" w:type="dxa"/>
            <w:vAlign w:val="bottom"/>
            <w:tcBorders>
              <w:top w:val="single" w:sz="8" w:color="0000FF"/>
            </w:tcBorders>
            <w:shd w:val="clear" w:color="auto" w:fill="DBDBDB"/>
          </w:tcPr>
          <w:p>
            <w:pPr>
              <w:spacing w:after="0"/>
              <w:rPr>
                <w:sz w:val="5"/>
                <w:szCs w:val="5"/>
                <w:color w:val="auto"/>
              </w:rPr>
            </w:pPr>
          </w:p>
        </w:tc>
        <w:tc>
          <w:tcPr>
            <w:tcW w:w="50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349" w:right="359" w:bottom="1440" w:gutter="0" w:footer="0" w:header="0"/>
        </w:sectPr>
      </w:pPr>
    </w:p>
    <w:bookmarkStart w:id="3" w:name="page4"/>
    <w:bookmarkEnd w:id="3"/>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Explanatory Note and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59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October 1, 2024, Chesapeake Energy Corporation completed its previously announced merger with Southwestern Energy Company. In connection with the Southwestern Merger, Chesapeake Energy Corporation changed its name to Expand Energy Corporation.</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Annual Report on Form 10-K (this “Form 10-K” or this “report”):</w:t>
      </w:r>
    </w:p>
    <w:p>
      <w:pPr>
        <w:spacing w:after="0" w:line="10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“Adjusted Free Cash Flow” (a non-GAAP measure) means net cash provided by operating activities (GAAP) less cash capital expenditures and contributions to investments, adjusted to exclude certain items management believes affect the comparability of operating results.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“ASC” means Accounting Standards Codification.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“ASU” means Accounting Standards Update.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Code” means Title 11 of the United States Code, 11 U.S.C. §§ 101–1532, as amended.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Court” means the United States Bankruptcy Court for the Southern District of Texas.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or “Bbls” means one stock tank barrel, or 42 U.S. gallons liquid volume, used in reference to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 means billion cubic feet.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“Bcfe” means billion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“BLM” means the Bureau of Land Management.</w:t>
      </w:r>
    </w:p>
    <w:p>
      <w:pPr>
        <w:spacing w:after="0" w:line="1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“Chapter 11 Cases” means, when used with reference to a particular Debtor, the case pending for that Debtor under Chapter 11 of the Bankruptcy Code in the Bankruptcy Court, and when used with reference to all the Debtors, the procedurally consolidated Chapter 11 cases pending for the Debtors in the Bankruptcy Court.</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“Chesapeake” means Chesapeake Energy Corporation, prior to the Southwestern Merger.</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means Chief E&amp;D Holdings, LP.</w:t>
      </w:r>
    </w:p>
    <w:p>
      <w:pPr>
        <w:spacing w:after="0" w:line="15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are exercisable from the Effective Date until February 9, 2026.</w:t>
      </w:r>
    </w:p>
    <w:p>
      <w:pPr>
        <w:spacing w:after="0" w:line="9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B Warrants” means warrants to purchase 10 percent of the common stock (after giving effect to the Rights Offering, but subject to dilution by the Management Incentive Plan and the Class C Warrants), at an initial exercise price per share of $32.13. The Class B Warrants are exercisable from the Effective Date until February 9, 2026.</w:t>
      </w:r>
    </w:p>
    <w:p>
      <w:pPr>
        <w:spacing w:after="0" w:line="1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C Warrants” means warrants to purchase 10 percent of the common stock (after giving effect to the Rights Offering, but subject to dilution by the Management Incentive Plan), at an initial exercise price per share of $36.18. The Class C Warrants are exercisable from the Effective Date until February 9, 2026.</w:t>
      </w:r>
    </w:p>
    <w:p>
      <w:pPr>
        <w:spacing w:after="0" w:line="9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“Completion” means the process of treating a drilled well followed by the installation of permanent equipment for the production of natural gas, oil or natural gas liquids, or in the case of a dry well, the reporting to the appropriate authority that the well has been abandoned.</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“Confirmation Order” means the order confirming the Fifth Amended Joint Chapter 11 Plan of Reorganization of Chesapeake Energy Corporation and its Debtor Affiliates, Docket No. 2915, entered by the Bankruptcy Court on January 16, 2021.</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“Credit Facility” means the reserve-based credit facility entered into on December 9, 2022.</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“DD&amp;A” means depreciation, depletion and amortization.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“Debtors” means Chesapeake Energy Corporation prior to the Southwestern Merger, together with all of its direct and indirect subsidiaries that have filed the Chapter 11 Cases.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“DEI” means diversity, equity and inclusion.</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“Developed Acreage” means acres which are allocated or assignable to producing wells or wells capable of production.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“Dry Well” means a well found to be incapable of producing either natural gas or oil in sufficient quantities to justify completion as a natural gas or oil well.</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Date” means February 9, 2021.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“ESG” means environmental, social and governance.</w:t>
      </w:r>
    </w:p>
    <w:p>
      <w:pPr>
        <w:spacing w:after="0" w:line="15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“Exit Credit Facility” means the reserve-based credit facility available upon emergence from bankruptcy. In December 2022, we terminated the Exit Credit Facility.</w:t>
      </w:r>
    </w:p>
    <w:p>
      <w:pPr>
        <w:spacing w:after="0" w:line="7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“Exploratory Well” means a well drilled to find a new field or to find a new reservoir in a field previously found to be productive of natural gas or oil in another reservoir. Generally, an exploratory well is any well that is not a development well, an extension well, a service well, or a stratigraphic test well.</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“FASB” means the Financial Accounting Standards Board.</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“Formation” means a succession of sedimentary beds that were deposited under the same general geologic conditions.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“Free Cash Flow” (a non-GAAP measure) means net cash provided by operating activities (GAAP) less cash capital expenditures.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“G&amp;A” means general and administrative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“GAAP” means U.S. generally accepted accounting principles.</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“Gross Acres or Gross Wells” means the total acres or wells, as the case may be, in which a working interest is owned.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“LNG” means liquefied natural gas.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“LTIP” means the Expand Energy Corporation 2021 Long Term Incentive Plan.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“Marcellus Acquisition” means our acquisition of Chief and associated non-operated interests held by affiliates of Radler and Tug Hill, which closed on March 9, 2022, with an effective date of January 1, 2022.</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“MBbls” means one thousand barrels of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“MMBbls” means one million barrels of oil or other liquid hydrocarbons.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thousand cubic feet.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“Mcfe” means one thousand cubic feet of natural gas equivalent, with one barrel of oil or NGL converted to an equivalent volume of natural gas using the ratio of one barrel of oil or NGL to six Mcf of natural gas.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 means million cubic feet.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“MMcfe” means million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Acres or Net Wells” means the sum of the fractional working interests owned in gross acres or gross wells.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“NGL” means natural gas liquids.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“NYMEX” means New York Mercantile Exchange.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“OPEC+” means the Organization of the Petroleum Exporting Countries Plus.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“Petition Date” means June 28, 2020, the date on which the Debtors commenced the Chapter 11 Cases.</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“Plan” means the Fifth Amended Joint Chapter 11 Plan of Reorganization of Chesapeake Energy Corporation and its Debtor Affiliates, attached as Exhibit A to the Confirmation Order.</w:t>
      </w:r>
    </w:p>
    <w:p>
      <w:pPr>
        <w:spacing w:after="0" w:line="8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“Play” means a portion of the exploration and production cycle following the identification by geologists and geophysicists of areas with potential natural gas, oil and NGL reserves.</w:t>
      </w:r>
    </w:p>
    <w:p>
      <w:pPr>
        <w:spacing w:after="0" w:line="7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“Present Value of Estimated Future Net Revenues” or “PV-10” (non-GAAP)” means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and costs in effect at the determination date (unless such costs are subject to change pursuant to contractual provisions), without giving effect to non-property related expenses such as general and administrative expenses, debt service and future income tax expense or to depreciation, depletion and amortization, discounted using an annual discount rate of 10%.</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“Price Differential” means the difference in the price of natural gas, oil or NGL received at the sales point and the NYMEX price.</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“Productive Well” means a well that is not a dry well. Productive wells include producing wells and wells that are mechanically capable of production.</w:t>
      </w:r>
    </w:p>
    <w:p>
      <w:pPr>
        <w:spacing w:after="0" w:line="7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“Proved Developed Reserves” means reserves that can be expected to be recovered through existing wells with existing equipment and operating methods or in which the cost of the required equipment is relatively minor compared to the cost of a new well.</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“Proved Properties” means properties with proved reserves.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“Proved Reserves” has the meaning given to such term in Rule 4-10(a)(22) of Regulation S-X, which states in part proved natural gas and oil reserves are those quantities of natural gas and oil,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w:t>
      </w:r>
    </w:p>
    <w:p>
      <w:pPr>
        <w:spacing w:after="0" w:line="10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“Proved Undeveloped Reserves (PUDs)” means proved reserves that are expected to be recovered from new wells on undrilled acreage, or from existing wells where a relatively major expenditure is required. Reserves on undrilled acreage are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“Radler” means Radler 2000 Limited Partnership.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“Reservoir” means a porous and permeable underground formation containing a natural accumulation of producible natural gas and/or oil that is confined by impermeable rock or water barriers and is individual and separate from other reservoirs.</w:t>
      </w:r>
    </w:p>
    <w:p>
      <w:pPr>
        <w:spacing w:after="0" w:line="7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“Rights Offering” means the common stock rights offering for the Rights Offering Amount consummated by the Debtors on the Effective Date.</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 means United States Securities and Exchange Commission.</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“SOFR” means a rate equal to the secured overnight financing rate as administered by the SOFR Administrator, the Federal Reserve Bank of New York (or a successor administrator of the secured overnight financing rate).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means Southwestern Energy Company.</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Merger” means Chesapeake’s merger with Southwestern, which closed on October 1, 2024.</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“Standardized Measure” means the discounted future net cash flows relating to proved reserves based on the means of the estimated future gross revenue to be generated from the production of proved reserves, net of estimated production and future development costs, using prices calculated as the average natural gas and oil price during the preceding 12-month period prior to the end of the current reporting period (determined as the unweighted arithmetic average of prices on the first day of each month within the 12-month period). The standardized measure differs from the PV-10 measure only because the former includes the effects of estimated future income tax expenses.</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 means trillion cubic feet.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“Tcfe” means trillion cubic feet of natural gas equivalent.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“Tug Hill” means Tug Hill, Inc.</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“Undeveloped Acreage” means acreage on which wells have not been drilled or completed to a point that would permit the production of economic quantities of natural gas and oil regardless of whether the acreage contains proved reserves.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“Unproved Properties” means properties with no proved reserves.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“Vine” means Vine Energy Inc.</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“Vine Acquisition” means our acquisition of Vine, which closed on November 1, 2021.</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“Warrants” means, collectively, the Class A Warrants, Class B Warrants and Class C Warrants.</w:t>
      </w:r>
    </w:p>
    <w:p>
      <w:pPr>
        <w:spacing w:after="0" w:line="15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“Working Interest” means the operating interest which gives the owner the right to drill, produce and conduct operating activities on the property and a share of production.</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“WTI” means West Texas Intermediate.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means per barrel.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per Mcf.</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“/Mcfe” means per Mcfe.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386C"/>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16459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and instability in Europe and the Middle East,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ESG initiatives. Forward-looking and other statements in this Form 10-K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44" w:lineRule="exact"/>
        <w:rPr>
          <w:sz w:val="20"/>
          <w:szCs w:val="20"/>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Reduced demand for natural gas, oil and natural gas liquids;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negative public perceptions of our industry;</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competition in the natural gas and oil exploration and production industry;</w:t>
      </w:r>
    </w:p>
    <w:p>
      <w:pPr>
        <w:spacing w:after="0" w:line="71" w:lineRule="exact"/>
        <w:rPr>
          <w:rFonts w:ascii="Arial" w:cs="Arial" w:eastAsia="Arial" w:hAnsi="Arial"/>
          <w:sz w:val="22"/>
          <w:szCs w:val="22"/>
          <w:color w:val="auto"/>
        </w:rPr>
      </w:pPr>
    </w:p>
    <w:p>
      <w:pPr>
        <w:ind w:left="820" w:hanging="245"/>
        <w:spacing w:after="0" w:line="237" w:lineRule="auto"/>
        <w:tabs>
          <w:tab w:leader="none" w:pos="815"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volatility of natural gas, oil and NGL prices, which are affected by general economic and business conditions, as well as increased demand for (and availability of) alternative fuels and electric vehicles;</w:t>
      </w:r>
    </w:p>
    <w:p>
      <w:pPr>
        <w:spacing w:after="0" w:line="5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from regional epidemics or pandemics and related economic turmoil, including supply chain constraints;</w:t>
      </w:r>
    </w:p>
    <w:p>
      <w:pPr>
        <w:spacing w:after="0" w:line="71"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write-downs of our natural gas and oil asset carrying values due to low commodity prices;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significant capital expenditures are required to replace our reserves and conduct our business;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replace reserves and sustain production;</w:t>
      </w:r>
    </w:p>
    <w:p>
      <w:pPr>
        <w:spacing w:after="0" w:line="71" w:lineRule="exact"/>
        <w:rPr>
          <w:rFonts w:ascii="Arial" w:cs="Arial" w:eastAsia="Arial" w:hAnsi="Arial"/>
          <w:sz w:val="22"/>
          <w:szCs w:val="22"/>
          <w:color w:val="auto"/>
        </w:rPr>
      </w:pPr>
    </w:p>
    <w:p>
      <w:pPr>
        <w:ind w:left="820" w:hanging="245"/>
        <w:spacing w:after="0" w:line="237" w:lineRule="auto"/>
        <w:tabs>
          <w:tab w:leader="none" w:pos="815" w:val="left"/>
        </w:tabs>
        <w:numPr>
          <w:ilvl w:val="0"/>
          <w:numId w:val="2"/>
        </w:numPr>
        <w:rPr>
          <w:rFonts w:ascii="Arial" w:cs="Arial" w:eastAsia="Arial" w:hAnsi="Arial"/>
          <w:sz w:val="22"/>
          <w:szCs w:val="22"/>
          <w:color w:val="auto"/>
        </w:rPr>
      </w:pPr>
      <w:r>
        <w:rPr>
          <w:rFonts w:ascii="Arial" w:cs="Arial" w:eastAsia="Arial" w:hAnsi="Arial"/>
          <w:sz w:val="18"/>
          <w:szCs w:val="18"/>
          <w:color w:val="auto"/>
        </w:rPr>
        <w:t>uncertainties inherent in estimating quantities of natural gas, oil and NGL reserves and projecting future rates of production and the amount and timing of development expenditures;</w:t>
      </w:r>
    </w:p>
    <w:p>
      <w:pPr>
        <w:spacing w:after="0" w:line="58"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drilling and operating risks and resulting liabilities;</w:t>
      </w:r>
    </w:p>
    <w:p>
      <w:pPr>
        <w:spacing w:after="0" w:line="71"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generate profits or achieve targeted results in drilling and well operations;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leasehold terms expiring before production can be established;</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from our commodity price risk management activities;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uncertainties, risks and costs associated with natural gas and oil operations;</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need to secure adequate supplies of water for our drilling operations and to dispose of or recycle the water used;</w:t>
      </w:r>
    </w:p>
    <w:p>
      <w:pPr>
        <w:spacing w:after="0" w:line="57"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pipeline and gathering system capacity constraints and transportation interruptions;</w:t>
      </w:r>
    </w:p>
    <w:p>
      <w:pPr>
        <w:spacing w:after="0" w:line="71"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related to our plans to participate in the global LNG value chain;</w:t>
      </w:r>
    </w:p>
    <w:p>
      <w:pPr>
        <w:spacing w:after="0" w:line="31" w:lineRule="exact"/>
        <w:rPr>
          <w:rFonts w:ascii="Arial" w:cs="Arial" w:eastAsia="Arial" w:hAnsi="Arial"/>
          <w:sz w:val="22"/>
          <w:szCs w:val="22"/>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terrorist activities and/or cyber-attacks adversely impacting our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from failure to protect personal information and data and compliance with data privacy and security laws and regulations;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 of our business by natural or human causes beyond our control;</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in general economic, business or industry conditions;</w:t>
      </w:r>
    </w:p>
    <w:p>
      <w:pPr>
        <w:spacing w:after="0" w:line="63" w:lineRule="exact"/>
        <w:rPr>
          <w:rFonts w:ascii="Arial" w:cs="Arial" w:eastAsia="Arial" w:hAnsi="Arial"/>
          <w:sz w:val="18"/>
          <w:szCs w:val="18"/>
          <w:color w:val="auto"/>
        </w:rPr>
      </w:pPr>
    </w:p>
    <w:p>
      <w:pPr>
        <w:jc w:val="both"/>
        <w:ind w:left="820" w:hanging="245"/>
        <w:spacing w:after="0" w:line="262"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and commodity price volatility, including as a result of decisions made by OPEC+ and armed conflict and instability in Europe and the Middle East, along with the effects of the current global economic environment, on our business, financial condition, employees, contractors, vendors and the global demand for natural gas and oil and on U.S. and global financial markets;</w:t>
      </w:r>
    </w:p>
    <w:p>
      <w:pPr>
        <w:spacing w:after="0" w:line="14"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access the capital markets on favorable terms;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limitations on our financial flexibility due to our level of indebtedness and restrictive covenants from our indebtedness;</w:t>
      </w:r>
    </w:p>
    <w:p>
      <w:pPr>
        <w:spacing w:after="0" w:line="6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challenges with employee retention and increasingly competitive labor market;</w:t>
      </w:r>
    </w:p>
    <w:p>
      <w:pPr>
        <w:spacing w:after="0" w:line="63" w:lineRule="exact"/>
        <w:rPr>
          <w:rFonts w:ascii="Arial" w:cs="Arial" w:eastAsia="Arial" w:hAnsi="Arial"/>
          <w:sz w:val="18"/>
          <w:szCs w:val="18"/>
          <w:color w:val="auto"/>
        </w:rPr>
      </w:pPr>
    </w:p>
    <w:p>
      <w:pPr>
        <w:ind w:left="820" w:right="40" w:hanging="245"/>
        <w:spacing w:after="0" w:line="25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acquisitions or dispositions, or potential acquisitions or dispositions; risks related to loss of management personnel, other key employees, customers, suppliers, vendors, landlords, joint venture partners and other business partners as a result of the Southwestern Merger; the risk that problems may arise in successfully integrating the businesses of the companies, which may result in the combined company not operating as effectively and efficiently as expected; and the risk that the combined company may be unable to achieve synergies or other anticipated benefits of the Southwestern Merger or it may take longer than expected to achieve those synergies or benefits;</w:t>
      </w:r>
    </w:p>
    <w:p>
      <w:pPr>
        <w:spacing w:after="0" w:line="20" w:lineRule="exact"/>
        <w:rPr>
          <w:rFonts w:ascii="Arial" w:cs="Arial" w:eastAsia="Arial" w:hAnsi="Arial"/>
          <w:sz w:val="18"/>
          <w:szCs w:val="18"/>
          <w:color w:val="auto"/>
        </w:rPr>
      </w:pPr>
    </w:p>
    <w:p>
      <w:pPr>
        <w:ind w:left="820" w:right="20" w:hanging="245"/>
        <w:spacing w:after="0" w:line="281"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and maintain ESG certifications, goals and commitments;</w:t>
      </w:r>
    </w:p>
    <w:p>
      <w:pPr>
        <w:spacing w:after="0" w:line="63" w:lineRule="exact"/>
        <w:rPr>
          <w:rFonts w:ascii="Arial" w:cs="Arial" w:eastAsia="Arial" w:hAnsi="Arial"/>
          <w:sz w:val="18"/>
          <w:szCs w:val="18"/>
          <w:color w:val="auto"/>
        </w:rPr>
      </w:pPr>
    </w:p>
    <w:p>
      <w:pPr>
        <w:ind w:left="820" w:hanging="245"/>
        <w:spacing w:after="0" w:line="281"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and ESG legislation and regulatory initiatives, including those addressing the impact of climate change or further regulating hydraulic fracturing, methane emissions, flaring or water disposal;</w:t>
      </w:r>
    </w:p>
    <w:p>
      <w:pPr>
        <w:spacing w:after="0" w:line="1"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and state tax proposals affecting our industry;</w:t>
      </w:r>
    </w:p>
    <w:p>
      <w:pPr>
        <w:spacing w:after="0" w:line="103" w:lineRule="exact"/>
        <w:rPr>
          <w:rFonts w:ascii="Arial" w:cs="Arial" w:eastAsia="Arial" w:hAnsi="Arial"/>
          <w:sz w:val="18"/>
          <w:szCs w:val="18"/>
          <w:color w:val="auto"/>
        </w:rPr>
      </w:pPr>
    </w:p>
    <w:p>
      <w:pPr>
        <w:jc w:val="both"/>
        <w:ind w:left="820" w:hanging="245"/>
        <w:spacing w:after="0" w:line="242" w:lineRule="auto"/>
        <w:tabs>
          <w:tab w:leader="none" w:pos="81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 and</w:t>
      </w:r>
    </w:p>
    <w:p>
      <w:pPr>
        <w:spacing w:after="0" w:line="29" w:lineRule="exact"/>
        <w:rPr>
          <w:rFonts w:ascii="Arial" w:cs="Arial" w:eastAsia="Arial" w:hAnsi="Arial"/>
          <w:sz w:val="22"/>
          <w:szCs w:val="22"/>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other factors that are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Part I of this Form 10-K.</w:t>
      </w:r>
    </w:p>
    <w:p>
      <w:pPr>
        <w:spacing w:after="0" w:line="25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There are numerous uncertainties inherent in estimating quantities of proved reserves and in projecting future rates of production and timing of development expenditures, including many factors beyond our control. The reserve data represents only estimates which may differ from the actual quantities of natural gas, oil and NGL that are ultimately recovered. Furthermore, the estimated future net revenue from proved reserves and the associated present value are based upon certain assumptions, including prices, future production levels and costs that may not prove correct. Future prices and costs may be materially higher or lower than the prices and costs as of the date of any estimate. See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 for further discussion of our reserve quantities.</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b w:val="1"/>
          <w:bCs w:val="1"/>
          <w:color w:val="00386C"/>
        </w:rPr>
        <w:t>ITEM 1.</w:t>
      </w:r>
      <w:r>
        <w:rPr>
          <w:sz w:val="20"/>
          <w:szCs w:val="20"/>
          <w:color w:val="auto"/>
        </w:rPr>
        <w:tab/>
      </w:r>
      <w:r>
        <w:rPr>
          <w:rFonts w:ascii="Arial" w:cs="Arial" w:eastAsia="Arial" w:hAnsi="Arial"/>
          <w:sz w:val="17"/>
          <w:szCs w:val="17"/>
          <w:b w:val="1"/>
          <w:bCs w:val="1"/>
          <w:color w:val="00386C"/>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17780</wp:posOffset>
            </wp:positionV>
            <wp:extent cx="6083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Unless the context otherwise requires, references to “Expand Energy,” the “Company,” “us,” “we,” “our” and “ours” in this report are to Expand Energy Corporation together with its subsidiaries. Our principal executive offices are located at 6100 North Western Avenue, Oklahoma City, Oklahoma 73118, and our main telephone number at that location is (405) 848-8000.</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814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Expand Energy is the largest independent natural gas producer in the U.S., based on net daily production, and is focused on responsibly developing an abundant supply of natural gas, oil and NGL to expand energy access for all. Our operations are located in Louisiana in the Haynesville and Bossier Shales (“Haynesville”), in Pennsylvania in the Marcellus Shale (“Northeast Appalachia”) and in West Virginia and Ohio in the Marcellus and Utica Shales (“Southwest Appalachia”) and include interests in approximately 8,000 gross natural gas and oil wells.</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October 1, 2024, we completed the Southwestern Merger, creating a premier energy company that we believe is underpinned by a leading natural gas portfolio adjacent to the highest demand markets, premium inventory, a resilient financial foundation and an investment grade balance sheet. We believe that we are uniquely positioned to deliver affordable, lower-carbon energy to meet growing domestic and international demand while creating sustainable value for stakeholders.</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During 2023, we completed our exit from Eagle Ford through three separate divestiture transactions, with aggregate proceeds from these transactions exceeding $3.5 billion, subject to customary post-closing adjustments.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25, 2022, we sold our Powder River Basin assets in Wyoming to Continental Resources, Inc. for approximately $450 million.</w:t>
      </w:r>
    </w:p>
    <w:p>
      <w:pPr>
        <w:spacing w:after="0" w:line="17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March 9, 2022, we completed our acquisition of Chief, Radler and associated non-operated interests held by affiliates of Tug Hill. Chief, Radler and Tug Hill held producing assets and an inventory of premium drilling locations in the Marcellus Shale in Northeast Pennsylvania.</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34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make available, free of charge on our website at expandenergy.com</w:t>
      </w:r>
      <w:r>
        <w:rPr>
          <w:rFonts w:ascii="Arial" w:cs="Arial" w:eastAsia="Arial" w:hAnsi="Arial"/>
          <w:sz w:val="18"/>
          <w:szCs w:val="18"/>
          <w:i w:val="1"/>
          <w:iCs w:val="1"/>
          <w:color w:val="auto"/>
        </w:rPr>
        <w:t>,</w:t>
      </w:r>
      <w:r>
        <w:rPr>
          <w:rFonts w:ascii="Arial" w:cs="Arial" w:eastAsia="Arial" w:hAnsi="Arial"/>
          <w:sz w:val="18"/>
          <w:szCs w:val="18"/>
          <w:color w:val="auto"/>
        </w:rPr>
        <w:t xml:space="preserve"> our annual reports on Form 10-K, quarterly reports on Form 10-Q, current reports on Form 8-K, and any amendments to those reports as soon as reasonably practicable after we electronically file such material with, or furnish it to, the SEC. From time to time, we also post announcements, updates, events, investor information and presentations on our website in addition to copies of all recent news releases. Documents and information on our website are not incorporated by reference herein.</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Expand Energy, that file electronically with the SEC.</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strategy is to create shareholder value through the responsible development of our significant resource plays while continuing to be a leading provider of natural gas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designed to reduce the environmental impact of our production activities.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Operating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51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focus our acquisition, exploration, development and production efforts in the geographic operating areas described below.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Haynesville - </w:t>
      </w:r>
      <w:r>
        <w:rPr>
          <w:rFonts w:ascii="Arial" w:cs="Arial" w:eastAsia="Arial" w:hAnsi="Arial"/>
          <w:sz w:val="18"/>
          <w:szCs w:val="18"/>
          <w:color w:val="auto"/>
        </w:rPr>
        <w:t>Haynesville and Bossier Shales in Louisiana.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Northeast Appalachia - </w:t>
      </w:r>
      <w:r>
        <w:rPr>
          <w:rFonts w:ascii="Arial" w:cs="Arial" w:eastAsia="Arial" w:hAnsi="Arial"/>
          <w:sz w:val="18"/>
          <w:szCs w:val="18"/>
          <w:color w:val="auto"/>
        </w:rPr>
        <w:t>Marcellus Shale in Pennsylvania.</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Southwest Appalachia - </w:t>
      </w:r>
      <w:r>
        <w:rPr>
          <w:rFonts w:ascii="Arial" w:cs="Arial" w:eastAsia="Arial" w:hAnsi="Arial"/>
          <w:sz w:val="18"/>
          <w:szCs w:val="18"/>
          <w:color w:val="auto"/>
        </w:rPr>
        <w:t>Marcellus and Utica Shales in Ohio and West Virginia.</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Well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74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2024, we held an interest in approximately 8,000 gross productive wells, including 6,200 (4,300 net) wells in which we held a working interest and 1,800 wells in which we held an overriding or royalty interest. Of the 6,200 (4,300 net) wells in which we held a working interest, substantially all were classified as productive natural gas wells. During 2024, we operated 5,500 gross wells and held a non-operating working interest in 700 gross wells. We also completed 81 gross (62 net) wells as operator and participated in another 6 gross and less than one net well completed by other operators. We operate approximately 99% of our current daily production volumes.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Drilling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following table sets forth the wells we completed or participated in during the periods indicated. In the table, "gross" refers to the total wells in which we had a working interest and "net" refers to gross wells multiplied by our working interest: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8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23"/>
        </w:trPr>
        <w:tc>
          <w:tcPr>
            <w:tcW w:w="182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Gross</w:t>
            </w:r>
          </w:p>
        </w:tc>
        <w:tc>
          <w:tcPr>
            <w:tcW w:w="5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w:t>
            </w:r>
          </w:p>
        </w:tc>
        <w:tc>
          <w:tcPr>
            <w:tcW w:w="5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r>
      <w:tr>
        <w:trPr>
          <w:trHeight w:val="210"/>
        </w:trPr>
        <w:tc>
          <w:tcPr>
            <w:tcW w:w="1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Development:</w:t>
            </w:r>
          </w:p>
        </w:tc>
        <w:tc>
          <w:tcPr>
            <w:tcW w:w="7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80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7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56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c>
          <w:tcPr>
            <w:tcW w:w="100" w:type="dxa"/>
            <w:vAlign w:val="bottom"/>
            <w:tcBorders>
              <w:top w:val="single" w:sz="8" w:color="DBDBDB"/>
            </w:tcBorders>
            <w:shd w:val="clear" w:color="auto" w:fill="DBDBDB"/>
          </w:tcPr>
          <w:p>
            <w:pPr>
              <w:spacing w:after="0"/>
              <w:rPr>
                <w:sz w:val="18"/>
                <w:szCs w:val="18"/>
                <w:color w:val="auto"/>
              </w:rPr>
            </w:pPr>
          </w:p>
        </w:tc>
        <w:tc>
          <w:tcPr>
            <w:tcW w:w="580" w:type="dxa"/>
            <w:vAlign w:val="bottom"/>
            <w:tcBorders>
              <w:top w:val="single" w:sz="8" w:color="auto"/>
            </w:tcBorders>
            <w:shd w:val="clear" w:color="auto" w:fill="DBDBDB"/>
          </w:tcPr>
          <w:p>
            <w:pPr>
              <w:spacing w:after="0"/>
              <w:rPr>
                <w:sz w:val="18"/>
                <w:szCs w:val="18"/>
                <w:color w:val="auto"/>
              </w:rPr>
            </w:pPr>
          </w:p>
        </w:tc>
      </w:tr>
      <w:tr>
        <w:trPr>
          <w:trHeight w:val="229"/>
        </w:trPr>
        <w:tc>
          <w:tcPr>
            <w:tcW w:w="1820" w:type="dxa"/>
            <w:vAlign w:val="bottom"/>
          </w:tcPr>
          <w:p>
            <w:pPr>
              <w:ind w:left="140"/>
              <w:spacing w:after="0"/>
              <w:rPr>
                <w:sz w:val="20"/>
                <w:szCs w:val="20"/>
                <w:color w:val="auto"/>
              </w:rPr>
            </w:pPr>
            <w:r>
              <w:rPr>
                <w:rFonts w:ascii="Arial" w:cs="Arial" w:eastAsia="Arial" w:hAnsi="Arial"/>
                <w:sz w:val="18"/>
                <w:szCs w:val="18"/>
                <w:color w:val="auto"/>
              </w:rPr>
              <w:t>Productive</w:t>
            </w: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Dry</w:t>
            </w:r>
          </w:p>
        </w:tc>
        <w:tc>
          <w:tcPr>
            <w:tcW w:w="8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820" w:type="dxa"/>
            <w:vAlign w:val="bottom"/>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20" w:type="dxa"/>
            <w:vAlign w:val="bottom"/>
            <w:tcBorders>
              <w:bottom w:val="single" w:sz="8" w:color="DBDBDB"/>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16"/>
        </w:trPr>
        <w:tc>
          <w:tcPr>
            <w:tcW w:w="1820" w:type="dxa"/>
            <w:vAlign w:val="bottom"/>
            <w:shd w:val="clear" w:color="auto" w:fill="DBDBDB"/>
          </w:tcPr>
          <w:p>
            <w:pPr>
              <w:spacing w:after="0"/>
              <w:rPr>
                <w:sz w:val="10"/>
                <w:szCs w:val="10"/>
                <w:color w:val="auto"/>
              </w:rPr>
            </w:pPr>
          </w:p>
        </w:tc>
        <w:tc>
          <w:tcPr>
            <w:tcW w:w="7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80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18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780" w:type="dxa"/>
            <w:vAlign w:val="bottom"/>
            <w:shd w:val="clear" w:color="auto" w:fill="DBDBDB"/>
          </w:tcPr>
          <w:p>
            <w:pPr>
              <w:spacing w:after="0"/>
              <w:rPr>
                <w:sz w:val="10"/>
                <w:szCs w:val="10"/>
                <w:color w:val="auto"/>
              </w:rPr>
            </w:pPr>
          </w:p>
        </w:tc>
        <w:tc>
          <w:tcPr>
            <w:tcW w:w="120" w:type="dxa"/>
            <w:vAlign w:val="bottom"/>
            <w:shd w:val="clear" w:color="auto" w:fill="DBDBDB"/>
          </w:tcPr>
          <w:p>
            <w:pPr>
              <w:spacing w:after="0"/>
              <w:rPr>
                <w:sz w:val="10"/>
                <w:szCs w:val="10"/>
                <w:color w:val="auto"/>
              </w:rPr>
            </w:pPr>
          </w:p>
        </w:tc>
        <w:tc>
          <w:tcPr>
            <w:tcW w:w="5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2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580" w:type="dxa"/>
            <w:vAlign w:val="bottom"/>
            <w:shd w:val="clear" w:color="auto" w:fill="DBDBDB"/>
          </w:tcPr>
          <w:p>
            <w:pPr>
              <w:spacing w:after="0"/>
              <w:rPr>
                <w:sz w:val="10"/>
                <w:szCs w:val="10"/>
                <w:color w:val="auto"/>
              </w:rPr>
            </w:pPr>
          </w:p>
        </w:tc>
      </w:tr>
      <w:tr>
        <w:trPr>
          <w:trHeight w:val="229"/>
        </w:trPr>
        <w:tc>
          <w:tcPr>
            <w:tcW w:w="1820" w:type="dxa"/>
            <w:vAlign w:val="bottom"/>
          </w:tcPr>
          <w:p>
            <w:pPr>
              <w:ind w:left="20"/>
              <w:spacing w:after="0"/>
              <w:rPr>
                <w:sz w:val="20"/>
                <w:szCs w:val="20"/>
                <w:color w:val="auto"/>
              </w:rPr>
            </w:pPr>
            <w:r>
              <w:rPr>
                <w:rFonts w:ascii="Arial" w:cs="Arial" w:eastAsia="Arial" w:hAnsi="Arial"/>
                <w:sz w:val="18"/>
                <w:szCs w:val="18"/>
                <w:color w:val="auto"/>
              </w:rPr>
              <w:t>Exploratory:</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18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Productive</w:t>
            </w:r>
          </w:p>
        </w:tc>
        <w:tc>
          <w:tcPr>
            <w:tcW w:w="8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DBDBDB"/>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Dry</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182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auto"/>
              <w:bottom w:val="single" w:sz="8" w:color="auto"/>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82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wells we completed or participated in by operating area: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20"/>
                <w:szCs w:val="20"/>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20" w:type="dxa"/>
            <w:vAlign w:val="bottom"/>
            <w:gridSpan w:val="2"/>
          </w:tcPr>
          <w:p>
            <w:pPr>
              <w:jc w:val="center"/>
              <w:ind w:right="160"/>
              <w:spacing w:after="0" w:line="169" w:lineRule="exact"/>
              <w:rPr>
                <w:sz w:val="20"/>
                <w:szCs w:val="20"/>
                <w:color w:val="auto"/>
              </w:rPr>
            </w:pPr>
            <w:r>
              <w:rPr>
                <w:rFonts w:ascii="Arial" w:cs="Arial" w:eastAsia="Arial" w:hAnsi="Arial"/>
                <w:sz w:val="18"/>
                <w:szCs w:val="18"/>
                <w:b w:val="1"/>
                <w:bCs w:val="1"/>
                <w:color w:val="auto"/>
                <w:w w:val="99"/>
              </w:rPr>
              <w:t>Gross</w:t>
            </w:r>
          </w:p>
        </w:tc>
        <w:tc>
          <w:tcPr>
            <w:tcW w:w="11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Wells</w:t>
            </w:r>
          </w:p>
        </w:tc>
        <w:tc>
          <w:tcPr>
            <w:tcW w:w="1260" w:type="dxa"/>
            <w:vAlign w:val="bottom"/>
            <w:gridSpan w:val="3"/>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Gross</w:t>
            </w:r>
          </w:p>
        </w:tc>
        <w:tc>
          <w:tcPr>
            <w:tcW w:w="7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4"/>
                <w:szCs w:val="14"/>
                <w:color w:val="auto"/>
              </w:rPr>
            </w:pPr>
          </w:p>
        </w:tc>
        <w:tc>
          <w:tcPr>
            <w:tcW w:w="1100" w:type="dxa"/>
            <w:vAlign w:val="bottom"/>
            <w:gridSpan w:val="2"/>
          </w:tcPr>
          <w:p>
            <w:pPr>
              <w:jc w:val="center"/>
              <w:ind w:right="140"/>
              <w:spacing w:after="0" w:line="169" w:lineRule="exact"/>
              <w:rPr>
                <w:sz w:val="20"/>
                <w:szCs w:val="20"/>
                <w:color w:val="auto"/>
              </w:rPr>
            </w:pPr>
            <w:r>
              <w:rPr>
                <w:rFonts w:ascii="Arial" w:cs="Arial" w:eastAsia="Arial" w:hAnsi="Arial"/>
                <w:sz w:val="18"/>
                <w:szCs w:val="18"/>
                <w:b w:val="1"/>
                <w:bCs w:val="1"/>
                <w:color w:val="auto"/>
                <w:w w:val="99"/>
              </w:rPr>
              <w:t>Gross</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Net Wells</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vMerge w:val="continue"/>
          </w:tcPr>
          <w:p>
            <w:pPr>
              <w:spacing w:after="0"/>
              <w:rPr>
                <w:sz w:val="21"/>
                <w:szCs w:val="21"/>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Wells</w:t>
            </w: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Wells</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Wells</w:t>
            </w: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2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DBDBDB"/>
            </w:tcBorders>
            <w:shd w:val="clear" w:color="auto" w:fill="DBDBDB"/>
          </w:tcPr>
          <w:p>
            <w:pPr>
              <w:spacing w:after="0"/>
              <w:rPr>
                <w:sz w:val="19"/>
                <w:szCs w:val="19"/>
                <w:color w:val="auto"/>
              </w:rPr>
            </w:pPr>
          </w:p>
        </w:tc>
        <w:tc>
          <w:tcPr>
            <w:tcW w:w="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DBDBDB"/>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BDBDB"/>
          </w:tcPr>
          <w:p>
            <w:pPr>
              <w:spacing w:after="0"/>
              <w:rPr>
                <w:sz w:val="19"/>
                <w:szCs w:val="19"/>
                <w:color w:val="auto"/>
              </w:rPr>
            </w:pPr>
          </w:p>
        </w:tc>
        <w:tc>
          <w:tcPr>
            <w:tcW w:w="1260" w:type="dxa"/>
            <w:vAlign w:val="bottom"/>
            <w:gridSpan w:val="3"/>
            <w:shd w:val="clear" w:color="auto" w:fill="DBDBDB"/>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8"/>
        </w:trPr>
        <w:tc>
          <w:tcPr>
            <w:tcW w:w="4820" w:type="dxa"/>
            <w:vAlign w:val="bottom"/>
            <w:tcBorders>
              <w:top w:val="single" w:sz="8" w:color="DBDBDB"/>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spacing w:after="0"/>
              <w:rPr>
                <w:sz w:val="21"/>
                <w:szCs w:val="21"/>
                <w:color w:val="auto"/>
              </w:rPr>
            </w:pPr>
          </w:p>
        </w:tc>
        <w:tc>
          <w:tcPr>
            <w:tcW w:w="7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48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2024, we had 162 gross (128 net) wells in the process of being drilled or completed.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right="2360"/>
        <w:spacing w:after="0" w:line="249" w:lineRule="auto"/>
        <w:rPr>
          <w:sz w:val="20"/>
          <w:szCs w:val="20"/>
          <w:color w:val="auto"/>
        </w:rPr>
      </w:pPr>
      <w:r>
        <w:rPr>
          <w:rFonts w:ascii="Arial" w:cs="Arial" w:eastAsia="Arial" w:hAnsi="Arial"/>
          <w:sz w:val="18"/>
          <w:szCs w:val="18"/>
          <w:b w:val="1"/>
          <w:bCs w:val="1"/>
          <w:color w:val="00386C"/>
        </w:rPr>
        <w:t>Production Volumes, Sales Prices, Production Expenses and Gathering, Processing and Transportation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700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17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tables present information regarding our net production volumes, average sales price received for our production, and production and gathering, processing and transportation expenses per Mcfe for the periods indicated for our significant fields: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40" w:type="dxa"/>
            <w:vAlign w:val="bottom"/>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rPr>
              <w:t>Production</w:t>
            </w: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3040" w:type="dxa"/>
            <w:vAlign w:val="bottom"/>
          </w:tcPr>
          <w:p>
            <w:pPr>
              <w:spacing w:after="0"/>
              <w:rPr>
                <w:sz w:val="19"/>
                <w:szCs w:val="19"/>
                <w:color w:val="auto"/>
              </w:rPr>
            </w:pPr>
          </w:p>
        </w:tc>
        <w:tc>
          <w:tcPr>
            <w:tcW w:w="2320" w:type="dxa"/>
            <w:vAlign w:val="bottom"/>
            <w:gridSpan w:val="2"/>
          </w:tcPr>
          <w:p>
            <w:pPr>
              <w:ind w:left="360"/>
              <w:spacing w:after="0"/>
              <w:rPr>
                <w:sz w:val="20"/>
                <w:szCs w:val="20"/>
                <w:color w:val="auto"/>
              </w:rPr>
            </w:pPr>
            <w:r>
              <w:rPr>
                <w:rFonts w:ascii="Arial" w:cs="Arial" w:eastAsia="Arial" w:hAnsi="Arial"/>
                <w:sz w:val="18"/>
                <w:szCs w:val="18"/>
                <w:b w:val="1"/>
                <w:bCs w:val="1"/>
                <w:color w:val="auto"/>
              </w:rPr>
              <w:t>Natural Gas (Bcf)</w:t>
            </w:r>
          </w:p>
        </w:tc>
        <w:tc>
          <w:tcPr>
            <w:tcW w:w="2140" w:type="dxa"/>
            <w:vAlign w:val="bottom"/>
            <w:gridSpan w:val="3"/>
          </w:tcPr>
          <w:p>
            <w:pPr>
              <w:ind w:left="380"/>
              <w:spacing w:after="0"/>
              <w:rPr>
                <w:sz w:val="20"/>
                <w:szCs w:val="20"/>
                <w:color w:val="auto"/>
              </w:rPr>
            </w:pPr>
            <w:r>
              <w:rPr>
                <w:rFonts w:ascii="Arial" w:cs="Arial" w:eastAsia="Arial" w:hAnsi="Arial"/>
                <w:sz w:val="18"/>
                <w:szCs w:val="18"/>
                <w:b w:val="1"/>
                <w:bCs w:val="1"/>
                <w:color w:val="auto"/>
              </w:rPr>
              <w:t>Oil (MMBbl)</w:t>
            </w: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NGL (MMBbl)</w:t>
            </w:r>
          </w:p>
        </w:tc>
        <w:tc>
          <w:tcPr>
            <w:tcW w:w="17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 (Bcfe)</w:t>
            </w:r>
          </w:p>
        </w:tc>
        <w:tc>
          <w:tcPr>
            <w:tcW w:w="340" w:type="dxa"/>
            <w:vAlign w:val="bottom"/>
          </w:tcPr>
          <w:p>
            <w:pPr>
              <w:spacing w:after="0"/>
              <w:rPr>
                <w:sz w:val="19"/>
                <w:szCs w:val="19"/>
                <w:color w:val="auto"/>
              </w:rPr>
            </w:pPr>
          </w:p>
        </w:tc>
      </w:tr>
      <w:tr>
        <w:trPr>
          <w:trHeight w:val="209"/>
        </w:trPr>
        <w:tc>
          <w:tcPr>
            <w:tcW w:w="3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220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76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52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760" w:type="dxa"/>
            <w:vAlign w:val="bottom"/>
            <w:tcBorders>
              <w:top w:val="single" w:sz="8" w:color="auto"/>
            </w:tcBorders>
            <w:shd w:val="clear" w:color="auto" w:fill="DBDBDB"/>
          </w:tcPr>
          <w:p>
            <w:pPr>
              <w:spacing w:after="0"/>
              <w:rPr>
                <w:sz w:val="18"/>
                <w:szCs w:val="18"/>
                <w:color w:val="auto"/>
              </w:rPr>
            </w:pPr>
          </w:p>
        </w:tc>
        <w:tc>
          <w:tcPr>
            <w:tcW w:w="340" w:type="dxa"/>
            <w:vAlign w:val="bottom"/>
          </w:tcPr>
          <w:p>
            <w:pPr>
              <w:spacing w:after="0"/>
              <w:rPr>
                <w:sz w:val="18"/>
                <w:szCs w:val="18"/>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19"/>
                <w:szCs w:val="19"/>
                <w:color w:val="auto"/>
              </w:rPr>
            </w:pPr>
          </w:p>
        </w:tc>
        <w:tc>
          <w:tcPr>
            <w:tcW w:w="2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561</w:t>
            </w:r>
          </w:p>
        </w:tc>
        <w:tc>
          <w:tcPr>
            <w:tcW w:w="340" w:type="dxa"/>
            <w:vAlign w:val="bottom"/>
          </w:tcPr>
          <w:p>
            <w:pPr>
              <w:spacing w:after="0"/>
              <w:rPr>
                <w:sz w:val="19"/>
                <w:szCs w:val="19"/>
                <w:color w:val="auto"/>
              </w:rPr>
            </w:pP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9"/>
                <w:szCs w:val="19"/>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Southwest Appalachia</w:t>
            </w:r>
          </w:p>
        </w:tc>
        <w:tc>
          <w:tcPr>
            <w:tcW w:w="22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152</w:t>
            </w:r>
          </w:p>
        </w:tc>
        <w:tc>
          <w:tcPr>
            <w:tcW w:w="34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1,375</w:t>
            </w:r>
          </w:p>
        </w:tc>
        <w:tc>
          <w:tcPr>
            <w:tcW w:w="34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c>
          <w:tcPr>
            <w:tcW w:w="34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669</w:t>
            </w:r>
          </w:p>
        </w:tc>
        <w:tc>
          <w:tcPr>
            <w:tcW w:w="34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1,335</w:t>
            </w:r>
          </w:p>
        </w:tc>
        <w:tc>
          <w:tcPr>
            <w:tcW w:w="340" w:type="dxa"/>
            <w:vAlign w:val="bottom"/>
          </w:tcPr>
          <w:p>
            <w:pPr>
              <w:spacing w:after="0"/>
              <w:rPr>
                <w:sz w:val="19"/>
                <w:szCs w:val="19"/>
                <w:color w:val="auto"/>
              </w:rPr>
            </w:pPr>
          </w:p>
        </w:tc>
      </w:tr>
      <w:tr>
        <w:trPr>
          <w:trHeight w:val="230"/>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2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220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9"/>
                <w:szCs w:val="19"/>
                <w:color w:val="auto"/>
              </w:rPr>
            </w:pPr>
          </w:p>
        </w:tc>
        <w:tc>
          <w:tcPr>
            <w:tcW w:w="21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DBDBDB"/>
          </w:tcPr>
          <w:p>
            <w:pPr>
              <w:spacing w:after="0"/>
              <w:rPr>
                <w:sz w:val="19"/>
                <w:szCs w:val="19"/>
                <w:color w:val="auto"/>
              </w:rPr>
            </w:pPr>
          </w:p>
        </w:tc>
        <w:tc>
          <w:tcPr>
            <w:tcW w:w="2140" w:type="dxa"/>
            <w:vAlign w:val="bottom"/>
            <w:gridSpan w:val="3"/>
            <w:shd w:val="clear" w:color="auto" w:fill="DBDBDB"/>
          </w:tcPr>
          <w:p>
            <w:pPr>
              <w:jc w:val="right"/>
              <w:ind w:right="4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22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9"/>
                <w:szCs w:val="19"/>
                <w:color w:val="auto"/>
              </w:rPr>
            </w:pPr>
          </w:p>
        </w:tc>
      </w:tr>
      <w:tr>
        <w:trPr>
          <w:trHeight w:val="229"/>
        </w:trPr>
        <w:tc>
          <w:tcPr>
            <w:tcW w:w="3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Production</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DBDBDB"/>
          </w:tcPr>
          <w:p>
            <w:pPr>
              <w:spacing w:after="0"/>
              <w:rPr>
                <w:sz w:val="19"/>
                <w:szCs w:val="19"/>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340" w:type="dxa"/>
            <w:vAlign w:val="bottom"/>
          </w:tcPr>
          <w:p>
            <w:pPr>
              <w:spacing w:after="0"/>
              <w:rPr>
                <w:sz w:val="19"/>
                <w:szCs w:val="19"/>
                <w:color w:val="auto"/>
              </w:rPr>
            </w:pPr>
          </w:p>
        </w:tc>
      </w:tr>
      <w:tr>
        <w:trPr>
          <w:trHeight w:val="895"/>
        </w:trPr>
        <w:tc>
          <w:tcPr>
            <w:tcW w:w="3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right"/>
              <w:ind w:right="111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1"/>
        </w:trPr>
        <w:tc>
          <w:tcPr>
            <w:tcW w:w="30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w w:val="98"/>
              </w:rPr>
              <w:t>Average Sales Price of Production</w:t>
            </w:r>
            <w:r>
              <w:rPr>
                <w:rFonts w:ascii="Arial" w:cs="Arial" w:eastAsia="Arial" w:hAnsi="Arial"/>
                <w:sz w:val="23"/>
                <w:szCs w:val="23"/>
                <w:b w:val="1"/>
                <w:bCs w:val="1"/>
                <w:color w:val="auto"/>
                <w:w w:val="98"/>
                <w:vertAlign w:val="superscript"/>
              </w:rPr>
              <w:t>(a)</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Expenses ($/Mcfe)</w:t>
            </w:r>
          </w:p>
        </w:tc>
        <w:tc>
          <w:tcPr>
            <w:tcW w:w="0" w:type="dxa"/>
            <w:vAlign w:val="bottom"/>
          </w:tcPr>
          <w:p>
            <w:pPr>
              <w:spacing w:after="0"/>
              <w:rPr>
                <w:sz w:val="1"/>
                <w:szCs w:val="1"/>
                <w:color w:val="auto"/>
              </w:rPr>
            </w:pPr>
          </w:p>
        </w:tc>
      </w:tr>
      <w:tr>
        <w:trPr>
          <w:trHeight w:val="169"/>
        </w:trPr>
        <w:tc>
          <w:tcPr>
            <w:tcW w:w="2460" w:type="dxa"/>
            <w:vAlign w:val="bottom"/>
          </w:tcPr>
          <w:p>
            <w:pPr>
              <w:spacing w:after="0"/>
              <w:rPr>
                <w:sz w:val="14"/>
                <w:szCs w:val="14"/>
                <w:color w:val="auto"/>
              </w:rPr>
            </w:pPr>
          </w:p>
        </w:tc>
        <w:tc>
          <w:tcPr>
            <w:tcW w:w="1740" w:type="dxa"/>
            <w:vAlign w:val="bottom"/>
            <w:gridSpan w:val="3"/>
          </w:tcPr>
          <w:p>
            <w:pPr>
              <w:ind w:left="300"/>
              <w:spacing w:after="0" w:line="169" w:lineRule="exact"/>
              <w:rPr>
                <w:sz w:val="20"/>
                <w:szCs w:val="20"/>
                <w:color w:val="auto"/>
              </w:rPr>
            </w:pPr>
            <w:r>
              <w:rPr>
                <w:rFonts w:ascii="Arial" w:cs="Arial" w:eastAsia="Arial" w:hAnsi="Arial"/>
                <w:sz w:val="18"/>
                <w:szCs w:val="18"/>
                <w:b w:val="1"/>
                <w:bCs w:val="1"/>
                <w:color w:val="auto"/>
              </w:rPr>
              <w:t>Natural Gas</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Oil ($</w:t>
            </w: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/Bbl)</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NGL ($/Bbl)</w:t>
            </w:r>
          </w:p>
        </w:tc>
        <w:tc>
          <w:tcPr>
            <w:tcW w:w="16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($/Mcfe)</w:t>
            </w:r>
          </w:p>
        </w:tc>
        <w:tc>
          <w:tcPr>
            <w:tcW w:w="16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Production</w:t>
            </w:r>
          </w:p>
        </w:tc>
        <w:tc>
          <w:tcPr>
            <w:tcW w:w="200" w:type="dxa"/>
            <w:vAlign w:val="bottom"/>
          </w:tcPr>
          <w:p>
            <w:pPr>
              <w:spacing w:after="0"/>
              <w:rPr>
                <w:sz w:val="14"/>
                <w:szCs w:val="14"/>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GP&amp;T</w:t>
            </w:r>
          </w:p>
        </w:tc>
        <w:tc>
          <w:tcPr>
            <w:tcW w:w="0" w:type="dxa"/>
            <w:vAlign w:val="bottom"/>
          </w:tcPr>
          <w:p>
            <w:pPr>
              <w:spacing w:after="0"/>
              <w:rPr>
                <w:sz w:val="1"/>
                <w:szCs w:val="1"/>
                <w:color w:val="auto"/>
              </w:rPr>
            </w:pPr>
          </w:p>
        </w:tc>
      </w:tr>
      <w:tr>
        <w:trPr>
          <w:trHeight w:val="243"/>
        </w:trPr>
        <w:tc>
          <w:tcPr>
            <w:tcW w:w="2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($/Mcf)</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1140" w:type="dxa"/>
            <w:vAlign w:val="bottom"/>
            <w:tcBorders>
              <w:top w:val="single" w:sz="8" w:color="auto"/>
            </w:tcBorders>
            <w:shd w:val="clear" w:color="auto" w:fill="DBDBDB"/>
          </w:tcPr>
          <w:p>
            <w:pPr>
              <w:spacing w:after="0"/>
              <w:rPr>
                <w:sz w:val="18"/>
                <w:szCs w:val="18"/>
                <w:color w:val="auto"/>
              </w:rPr>
            </w:pPr>
          </w:p>
        </w:tc>
        <w:tc>
          <w:tcPr>
            <w:tcW w:w="48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680" w:type="dxa"/>
            <w:vAlign w:val="bottom"/>
            <w:tcBorders>
              <w:top w:val="single" w:sz="8" w:color="auto"/>
            </w:tcBorders>
            <w:shd w:val="clear" w:color="auto" w:fill="DBDBDB"/>
          </w:tcPr>
          <w:p>
            <w:pPr>
              <w:spacing w:after="0"/>
              <w:rPr>
                <w:sz w:val="18"/>
                <w:szCs w:val="18"/>
                <w:color w:val="auto"/>
              </w:rPr>
            </w:pPr>
          </w:p>
        </w:tc>
        <w:tc>
          <w:tcPr>
            <w:tcW w:w="60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1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360" w:type="dxa"/>
            <w:vAlign w:val="bottom"/>
            <w:tcBorders>
              <w:top w:val="single" w:sz="8" w:color="auto"/>
            </w:tcBorders>
            <w:shd w:val="clear" w:color="auto" w:fill="DBDBDB"/>
          </w:tcPr>
          <w:p>
            <w:pPr>
              <w:spacing w:after="0"/>
              <w:rPr>
                <w:sz w:val="18"/>
                <w:szCs w:val="18"/>
                <w:color w:val="auto"/>
              </w:rPr>
            </w:pPr>
          </w:p>
        </w:tc>
        <w:tc>
          <w:tcPr>
            <w:tcW w:w="12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16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00" w:type="dxa"/>
            <w:vAlign w:val="bottom"/>
            <w:tcBorders>
              <w:top w:val="single" w:sz="8" w:color="auto"/>
            </w:tcBorders>
            <w:shd w:val="clear" w:color="auto" w:fill="DBDBDB"/>
          </w:tcPr>
          <w:p>
            <w:pPr>
              <w:spacing w:after="0"/>
              <w:rPr>
                <w:sz w:val="18"/>
                <w:szCs w:val="18"/>
                <w:color w:val="auto"/>
              </w:rPr>
            </w:pPr>
          </w:p>
        </w:tc>
        <w:tc>
          <w:tcPr>
            <w:tcW w:w="8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Southwest Appalachia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60.41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27.44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27.44</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0.91</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77.80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25.62</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114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3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Haynesville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29"/>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Northeast Appalachia</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96.10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2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DBDBDB"/>
          </w:tcPr>
          <w:p>
            <w:pPr>
              <w:jc w:val="right"/>
              <w:ind w:right="9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DBDBDB"/>
          </w:tcPr>
          <w:p>
            <w:pPr>
              <w:spacing w:after="0"/>
              <w:rPr>
                <w:sz w:val="19"/>
                <w:szCs w:val="19"/>
                <w:color w:val="auto"/>
              </w:rPr>
            </w:pPr>
          </w:p>
        </w:tc>
        <w:tc>
          <w:tcPr>
            <w:tcW w:w="680" w:type="dxa"/>
            <w:vAlign w:val="bottom"/>
            <w:shd w:val="clear" w:color="auto" w:fill="DBDBDB"/>
          </w:tcPr>
          <w:p>
            <w:pPr>
              <w:jc w:val="right"/>
              <w:ind w:right="4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96.07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37.48</w:t>
            </w:r>
          </w:p>
        </w:tc>
        <w:tc>
          <w:tcPr>
            <w:tcW w:w="14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Excludes the effect of hedging.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Natural Gas, Oil and NGL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799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tables below set forth information as of December 31, 2024, with respect to our estimated proved reserves, the associated estimated future net revenue, the present value of estimated future net revenue and the standardized measure of discounted future net cash flows. None of the estimated future net revenue, PV-10 nor the standardized measure are intended to represent the current market value of the estimated natural gas, oil and NGL reserves we own. All of our estimated reserves are located within the United States.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developed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Proved undeveloped</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proved</w:t>
      </w:r>
      <w:r>
        <w:rPr>
          <w:rFonts w:ascii="Arial" w:cs="Arial" w:eastAsia="Arial" w:hAnsi="Arial"/>
          <w:sz w:val="10"/>
          <w:szCs w:val="10"/>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Standardized measure</w:t>
      </w:r>
      <w:r>
        <w:rPr>
          <w:rFonts w:ascii="Arial" w:cs="Arial" w:eastAsia="Arial" w:hAnsi="Arial"/>
          <w:sz w:val="23"/>
          <w:szCs w:val="23"/>
          <w:color w:val="auto"/>
          <w:vertAlign w:val="superscript"/>
        </w:rPr>
        <w:t>(b)</w:t>
      </w:r>
    </w:p>
    <w:p>
      <w:pPr>
        <w:ind w:left="80"/>
        <w:spacing w:after="0" w:line="228" w:lineRule="auto"/>
        <w:rPr>
          <w:sz w:val="20"/>
          <w:szCs w:val="20"/>
          <w:color w:val="auto"/>
        </w:rPr>
      </w:pPr>
      <w:r>
        <w:rPr>
          <w:rFonts w:ascii="Arial" w:cs="Arial" w:eastAsia="Arial" w:hAnsi="Arial"/>
          <w:sz w:val="18"/>
          <w:szCs w:val="18"/>
          <w:color w:val="auto"/>
        </w:rPr>
        <w:t>Estimated future net revenue</w:t>
      </w:r>
      <w:r>
        <w:rPr>
          <w:rFonts w:ascii="Arial" w:cs="Arial" w:eastAsia="Arial" w:hAnsi="Arial"/>
          <w:sz w:val="21"/>
          <w:szCs w:val="21"/>
          <w:color w:val="auto"/>
          <w:vertAlign w:val="superscript"/>
        </w:rPr>
        <w:t>(b)</w:t>
      </w:r>
    </w:p>
    <w:p>
      <w:pPr>
        <w:ind w:left="80"/>
        <w:spacing w:after="0"/>
        <w:rPr>
          <w:sz w:val="20"/>
          <w:szCs w:val="20"/>
          <w:color w:val="auto"/>
        </w:rPr>
      </w:pPr>
      <w:r>
        <w:rPr>
          <w:rFonts w:ascii="Arial" w:cs="Arial" w:eastAsia="Arial" w:hAnsi="Arial"/>
          <w:sz w:val="17"/>
          <w:szCs w:val="17"/>
          <w:color w:val="auto"/>
        </w:rPr>
        <w:t>Present value of estimated future net revenue (PV-10)</w:t>
      </w:r>
      <w:r>
        <w:rPr>
          <w:rFonts w:ascii="Arial" w:cs="Arial" w:eastAsia="Arial" w:hAnsi="Arial"/>
          <w:sz w:val="20"/>
          <w:szCs w:val="20"/>
          <w:color w:val="auto"/>
          <w:vertAlign w:val="superscript"/>
        </w:rPr>
        <w:t>(b)</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December 31,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Natural Gas</w:t>
            </w:r>
          </w:p>
        </w:tc>
        <w:tc>
          <w:tcPr>
            <w:tcW w:w="160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Oil</w:t>
            </w:r>
          </w:p>
        </w:tc>
        <w:tc>
          <w:tcPr>
            <w:tcW w:w="170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NGL</w:t>
            </w: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8"/>
        </w:trPr>
        <w:tc>
          <w:tcPr>
            <w:tcW w:w="13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(MMBbl)</w:t>
            </w:r>
          </w:p>
        </w:tc>
        <w:tc>
          <w:tcPr>
            <w:tcW w:w="200" w:type="dxa"/>
            <w:vAlign w:val="bottom"/>
          </w:tcPr>
          <w:p>
            <w:pPr>
              <w:spacing w:after="0"/>
              <w:rPr>
                <w:sz w:val="18"/>
                <w:szCs w:val="18"/>
                <w:color w:val="auto"/>
              </w:rPr>
            </w:pPr>
          </w:p>
        </w:tc>
        <w:tc>
          <w:tcPr>
            <w:tcW w:w="1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(MMBbl)</w:t>
            </w:r>
          </w:p>
        </w:tc>
        <w:tc>
          <w:tcPr>
            <w:tcW w:w="200" w:type="dxa"/>
            <w:vAlign w:val="bottom"/>
          </w:tcPr>
          <w:p>
            <w:pPr>
              <w:spacing w:after="0"/>
              <w:rPr>
                <w:sz w:val="18"/>
                <w:szCs w:val="18"/>
                <w:color w:val="auto"/>
              </w:rPr>
            </w:pPr>
          </w:p>
        </w:tc>
        <w:tc>
          <w:tcPr>
            <w:tcW w:w="14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(Bcfe)</w:t>
            </w: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14,418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383.0</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16,958</w:t>
            </w:r>
          </w:p>
        </w:tc>
      </w:tr>
      <w:tr>
        <w:trPr>
          <w:trHeight w:val="235"/>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w:t>
            </w:r>
          </w:p>
        </w:tc>
      </w:tr>
      <w:tr>
        <w:trPr>
          <w:trHeight w:val="223"/>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-479425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-3156585</wp:posOffset>
            </wp:positionH>
            <wp:positionV relativeFrom="paragraph">
              <wp:posOffset>-187960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Proved</w:t>
            </w:r>
          </w:p>
        </w:tc>
        <w:tc>
          <w:tcPr>
            <w:tcW w:w="1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Proved</w:t>
            </w:r>
          </w:p>
        </w:tc>
        <w:tc>
          <w:tcPr>
            <w:tcW w:w="260" w:type="dxa"/>
            <w:vAlign w:val="bottom"/>
          </w:tcPr>
          <w:p>
            <w:pPr>
              <w:spacing w:after="0"/>
              <w:rPr>
                <w:sz w:val="17"/>
                <w:szCs w:val="17"/>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Pr>
          <w:p>
            <w:pPr>
              <w:spacing w:after="0"/>
              <w:rPr>
                <w:sz w:val="21"/>
                <w:szCs w:val="21"/>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Developed</w:t>
            </w:r>
          </w:p>
        </w:tc>
        <w:tc>
          <w:tcPr>
            <w:tcW w:w="160" w:type="dxa"/>
            <w:vAlign w:val="bottom"/>
          </w:tcPr>
          <w:p>
            <w:pPr>
              <w:spacing w:after="0"/>
              <w:rPr>
                <w:sz w:val="21"/>
                <w:szCs w:val="21"/>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Undeveloped</w:t>
            </w:r>
          </w:p>
        </w:tc>
        <w:tc>
          <w:tcPr>
            <w:tcW w:w="260" w:type="dxa"/>
            <w:vAlign w:val="bottom"/>
          </w:tcPr>
          <w:p>
            <w:pPr>
              <w:spacing w:after="0"/>
              <w:rPr>
                <w:sz w:val="21"/>
                <w:szCs w:val="21"/>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Proved</w:t>
            </w:r>
          </w:p>
        </w:tc>
      </w:tr>
      <w:tr>
        <w:trPr>
          <w:trHeight w:val="218"/>
        </w:trPr>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7,531</w:t>
            </w:r>
          </w:p>
        </w:tc>
      </w:tr>
      <w:tr>
        <w:trPr>
          <w:trHeight w:val="22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10,620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3,049</w:t>
            </w:r>
          </w:p>
        </w:tc>
        <w:tc>
          <w:tcPr>
            <w:tcW w:w="2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13,669</w:t>
            </w:r>
          </w:p>
        </w:tc>
      </w:tr>
      <w:tr>
        <w:trPr>
          <w:trHeight w:val="239"/>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6,519</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-447675</wp:posOffset>
            </wp:positionV>
            <wp:extent cx="707199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-3122295</wp:posOffset>
            </wp:positionH>
            <wp:positionV relativeFrom="paragraph">
              <wp:posOffset>-147320</wp:posOffset>
            </wp:positionV>
            <wp:extent cx="707199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4500" w:space="480"/>
            <w:col w:w="6260"/>
          </w:cols>
          <w:pgMar w:left="320" w:top="122" w:right="339" w:bottom="1440" w:gutter="0" w:footer="0" w:header="0"/>
          <w:type w:val="continuous"/>
        </w:sectPr>
      </w:pPr>
    </w:p>
    <w:p>
      <w:pPr>
        <w:ind w:left="420" w:hanging="372"/>
        <w:spacing w:after="0" w:line="287" w:lineRule="auto"/>
        <w:tabs>
          <w:tab w:leader="none" w:pos="541" w:val="left"/>
        </w:tabs>
        <w:numPr>
          <w:ilvl w:val="0"/>
          <w:numId w:val="4"/>
        </w:numPr>
        <w:rPr>
          <w:rFonts w:ascii="Arial" w:cs="Arial" w:eastAsia="Arial" w:hAnsi="Arial"/>
          <w:sz w:val="18"/>
          <w:szCs w:val="18"/>
          <w:color w:val="auto"/>
        </w:rPr>
      </w:pPr>
      <w:r>
        <w:rPr>
          <w:rFonts w:ascii="Arial" w:cs="Arial" w:eastAsia="Arial" w:hAnsi="Arial"/>
          <w:sz w:val="18"/>
          <w:szCs w:val="18"/>
          <w:color w:val="auto"/>
        </w:rPr>
        <w:t>Haynesville, Northeast Appalachia and Southwest Appalachia accounted for approximately 19%, 39% and 42%, respectively, of our estimated proved reserves by volume as of December 31, 2024.</w:t>
      </w:r>
    </w:p>
    <w:p>
      <w:pPr>
        <w:spacing w:after="0" w:line="31" w:lineRule="exact"/>
        <w:rPr>
          <w:rFonts w:ascii="Arial" w:cs="Arial" w:eastAsia="Arial" w:hAnsi="Arial"/>
          <w:sz w:val="18"/>
          <w:szCs w:val="18"/>
          <w:color w:val="auto"/>
        </w:rPr>
      </w:pPr>
    </w:p>
    <w:p>
      <w:pPr>
        <w:jc w:val="both"/>
        <w:ind w:left="420" w:hanging="372"/>
        <w:spacing w:after="0" w:line="254" w:lineRule="auto"/>
        <w:tabs>
          <w:tab w:leader="none" w:pos="513"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Estimated future net revenue represents the estimated future revenue to be generated from the production of proved reserves, net of estimated production and future development costs, using pricing differentials and costs under existing economic conditions as of December 31, 2024, and assuming commodity prices as set forth below. For the purpose of determining prices used in our reserve reports, we used the unweighted arithmetic average of the prices on the first day of each month within the 12-month period ended December 31, 2024. The price used in our PV-10 measure was $2.13 per Mcf of natural gas and $75.48 per Bbl of oil and NGL, before basis differential adjustments. These prices should not be interpreted as a prediction of future prices, nor do they reflect the value of our commodity derivative instruments in place as of December 31, 2024. The amounts shown do not give effect to non-property-related expenses, such as corporate general and administrative expenses and debt service, or to depreciation, depletion and amortization. The present value of estimated future net revenue typically differs from the standardized measure because the former does not include the effects of estimated future income tax expense of $36 million as of December 31, 2024.</w:t>
      </w:r>
    </w:p>
    <w:p>
      <w:pPr>
        <w:spacing w:after="0" w:line="50" w:lineRule="exact"/>
        <w:rPr>
          <w:sz w:val="20"/>
          <w:szCs w:val="20"/>
          <w:color w:val="auto"/>
        </w:rPr>
      </w:pPr>
    </w:p>
    <w:p>
      <w:pPr>
        <w:jc w:val="both"/>
        <w:ind w:left="420"/>
        <w:spacing w:after="0" w:line="256" w:lineRule="auto"/>
        <w:rPr>
          <w:sz w:val="20"/>
          <w:szCs w:val="20"/>
          <w:color w:val="auto"/>
        </w:rPr>
      </w:pPr>
      <w:r>
        <w:rPr>
          <w:rFonts w:ascii="Arial" w:cs="Arial" w:eastAsia="Arial" w:hAnsi="Arial"/>
          <w:sz w:val="18"/>
          <w:szCs w:val="18"/>
          <w:color w:val="auto"/>
        </w:rPr>
        <w:t>Management uses PV-10, which is calculated without deducting estimated future income tax expenses, as a measure of the value of the Company's current proved reserves and to compare relative values among peer companies. We also understand that securities analysts and rating agencies use this measure in similar ways. While estimated future net revenue and the present value thereof are based on prices, costs and discount factors which may be consistent from company to company, the standardized measure of discounted future net cash flows is dependent on the unique tax situation of each individual company. PV-10, a non-GAAP measure, should not be considered in isolation or as a substitute for the standardized measure of discounted future net cash flows or any other measure of a company's financial or operating performance presented in accordance with GAAP.</w:t>
      </w:r>
    </w:p>
    <w:p>
      <w:pPr>
        <w:spacing w:after="0" w:line="61" w:lineRule="exact"/>
        <w:rPr>
          <w:sz w:val="20"/>
          <w:szCs w:val="20"/>
          <w:color w:val="auto"/>
        </w:rPr>
      </w:pPr>
    </w:p>
    <w:p>
      <w:pPr>
        <w:jc w:val="both"/>
        <w:ind w:left="420"/>
        <w:spacing w:after="0" w:line="287" w:lineRule="auto"/>
        <w:rPr>
          <w:sz w:val="20"/>
          <w:szCs w:val="20"/>
          <w:color w:val="auto"/>
        </w:rPr>
      </w:pPr>
      <w:r>
        <w:rPr>
          <w:rFonts w:ascii="Arial" w:cs="Arial" w:eastAsia="Arial" w:hAnsi="Arial"/>
          <w:sz w:val="18"/>
          <w:szCs w:val="18"/>
          <w:color w:val="auto"/>
        </w:rPr>
        <w:t>A comparison of the standardized measure of discounted future net cash flows to PV-10 is presented above. Neither PV-10 nor the standardized measure of discounted future net cash flows purport to represent the fair value of our proved natural gas and oil reserves.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2024, our proved reserve estimates included 3,842 Bcfe of reserves classified as proved undeveloped, compared to 3,325 Bcfe as of December 31, 2023. Presented below is a summary of changes in our proved undeveloped reserves for 2024:</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500" w:type="dxa"/>
            <w:vAlign w:val="bottom"/>
          </w:tcPr>
          <w:p>
            <w:pPr>
              <w:spacing w:after="0"/>
              <w:rPr>
                <w:sz w:val="20"/>
                <w:szCs w:val="20"/>
                <w:color w:val="auto"/>
              </w:rPr>
            </w:pP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9500" w:type="dxa"/>
            <w:vAlign w:val="bottom"/>
          </w:tcPr>
          <w:p>
            <w:pPr>
              <w:spacing w:after="0"/>
              <w:rPr>
                <w:sz w:val="19"/>
                <w:szCs w:val="19"/>
                <w:color w:val="auto"/>
              </w:rPr>
            </w:pPr>
          </w:p>
        </w:tc>
        <w:tc>
          <w:tcPr>
            <w:tcW w:w="1700" w:type="dxa"/>
            <w:vAlign w:val="bottom"/>
          </w:tcPr>
          <w:p>
            <w:pPr>
              <w:jc w:val="right"/>
              <w:ind w:right="510"/>
              <w:spacing w:after="0"/>
              <w:rPr>
                <w:sz w:val="20"/>
                <w:szCs w:val="20"/>
                <w:color w:val="auto"/>
              </w:rPr>
            </w:pPr>
            <w:r>
              <w:rPr>
                <w:rFonts w:ascii="Arial" w:cs="Arial" w:eastAsia="Arial" w:hAnsi="Arial"/>
                <w:sz w:val="18"/>
                <w:szCs w:val="18"/>
                <w:b w:val="1"/>
                <w:bCs w:val="1"/>
                <w:color w:val="auto"/>
              </w:rPr>
              <w:t>(Bcfe)</w:t>
            </w:r>
          </w:p>
        </w:tc>
      </w:tr>
      <w:tr>
        <w:trPr>
          <w:trHeight w:val="229"/>
        </w:trPr>
        <w:tc>
          <w:tcPr>
            <w:tcW w:w="95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Proved undeveloped reserves, beginning of period</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3,325</w:t>
            </w:r>
          </w:p>
        </w:tc>
      </w:tr>
      <w:tr>
        <w:trPr>
          <w:trHeight w:val="229"/>
        </w:trPr>
        <w:tc>
          <w:tcPr>
            <w:tcW w:w="9500" w:type="dxa"/>
            <w:vAlign w:val="bottom"/>
          </w:tcPr>
          <w:p>
            <w:pPr>
              <w:ind w:left="360"/>
              <w:spacing w:after="0"/>
              <w:rPr>
                <w:sz w:val="20"/>
                <w:szCs w:val="20"/>
                <w:color w:val="auto"/>
              </w:rPr>
            </w:pPr>
            <w:r>
              <w:rPr>
                <w:rFonts w:ascii="Arial" w:cs="Arial" w:eastAsia="Arial" w:hAnsi="Arial"/>
                <w:sz w:val="18"/>
                <w:szCs w:val="18"/>
                <w:color w:val="auto"/>
              </w:rPr>
              <w:t>Extensions and discoveries</w:t>
            </w:r>
          </w:p>
        </w:tc>
        <w:tc>
          <w:tcPr>
            <w:tcW w:w="1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Revisions of previous estimates</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(1,625)</w:t>
            </w:r>
          </w:p>
        </w:tc>
      </w:tr>
      <w:tr>
        <w:trPr>
          <w:trHeight w:val="229"/>
        </w:trPr>
        <w:tc>
          <w:tcPr>
            <w:tcW w:w="9500" w:type="dxa"/>
            <w:vAlign w:val="bottom"/>
          </w:tcPr>
          <w:p>
            <w:pPr>
              <w:ind w:left="360"/>
              <w:spacing w:after="0"/>
              <w:rPr>
                <w:sz w:val="20"/>
                <w:szCs w:val="20"/>
                <w:color w:val="auto"/>
              </w:rPr>
            </w:pPr>
            <w:r>
              <w:rPr>
                <w:rFonts w:ascii="Arial" w:cs="Arial" w:eastAsia="Arial" w:hAnsi="Arial"/>
                <w:sz w:val="18"/>
                <w:szCs w:val="18"/>
                <w:color w:val="auto"/>
              </w:rPr>
              <w:t>Conversion to proved developed reserves</w:t>
            </w:r>
          </w:p>
        </w:tc>
        <w:tc>
          <w:tcPr>
            <w:tcW w:w="170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95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Purchase of reserves-in-place</w:t>
            </w:r>
          </w:p>
        </w:tc>
        <w:tc>
          <w:tcPr>
            <w:tcW w:w="1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3,137</w:t>
            </w:r>
          </w:p>
        </w:tc>
      </w:tr>
      <w:tr>
        <w:trPr>
          <w:trHeight w:val="229"/>
        </w:trPr>
        <w:tc>
          <w:tcPr>
            <w:tcW w:w="95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Sales of reserves-in-place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Proved undeveloped reserves, end of period</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3,842</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2024, all PUDs were planned to be developed within five years of original recording. In 2024, we invested approximately $395 million to convert 1,050 Bcfe of PUDs to proved developed reserves. We added 55 Bcfe of PUD reserves through extensions and discoveries due to new PUDs added in Northeast Appalachia. We had a net downward revision in previous estimates of 1,625 Bcfe. The net downward revision primarily consisted of 2,022 Bcfe of downward revisions due to lower natural gas, oil and NGL prices in 2024, and a downward revision of 183 Bcfe due to development plan changes in Northeast Appalachia and Haynesville, partially offset by 462 Bcfe of positive revisions on existing PUD locations primarily related to increased production forecasts, increased ownership interest in the locations, and improved differentials in the Haynesville, as well as 118 Bcfe of PUDs added in areas previously categorized as proved in Northeast Appalachia and Haynesville. We added 3,137 Bcfe of PUDs through purchase of reserves-in-place, primarily as a result of the Southwestern Merger.</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future net revenue attributable to our estimated PUDs was $3.0 billion, and the present value was $1.0 billion as of December 31, 2024. These values were calculated assuming that we will expend approximately $1.8 billion to develop these reserves ($739 million in 2025, $546 million in 2026, $530 million in 2027, $8 million in 2028 and $7 million in 2029). The amount and timing of these expenditures will depend on a number of factors, including actual drilling results, service costs, commodity prices and the availability of capital. Our developmental drilling schedules are subject to revision and reprioritization throughout the year resulting from unknowable factors such as commodity prices, unexpected developmental drilling results, title issues and infrastructure availability or constraints.</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2024, approximately 1,606 Bcfe, or 8%, of our total proved reserves were developed and non-producing, primarily due to our deferred turn in line program.</w:t>
      </w:r>
    </w:p>
    <w:p>
      <w:pPr>
        <w:spacing w:after="0" w:line="9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ownership interest used for calculating proved reserves and the associated estimated future net revenue assumes maximum participation by other parties to our farm-out and participation agreements.</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estimated proved reserves and the standardized measure of discounted future net cash flows of the proved reserves as of December 31, 2024, 2023 and 2022, along with the changes in quantities and standardized measure of the reserves for each of the three years then ended, are shown in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 No estimates of proved reserves comparable to those included herein have been included in reports to any federal agency other than the SEC.</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There are numerous uncertainties inherent in estimating quantities of proved reserves and in projecting future rates of production and timing of development expenditures, including many factors beyond our control. The reserve data represents only estimates. Reserve engineering is a subjective process of estimating underground accumulations of natural gas and oil that cannot be measured exactly, and the accuracy of any reserve estimate is a function of the quality of available data and of engineering and geological interpretation and judgment. As a result, estimates made by different engineers often vary. Accordingly, reserve estimates often differ from the actual quantities of natural gas, oil and NGL that are ultimately recovered. Furthermore, the estimated future net revenue from proved reserves and the associated present value are based upon certain assumptions, including prices, future production levels and costs that may not prove correct. Future prices and costs may be materially higher or</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lower than the prices and costs as of the date of any estimate. See </w:t>
      </w:r>
      <w:r>
        <w:rPr>
          <w:rFonts w:ascii="Arial" w:cs="Arial" w:eastAsia="Arial" w:hAnsi="Arial"/>
          <w:sz w:val="18"/>
          <w:szCs w:val="18"/>
          <w:i w:val="1"/>
          <w:iCs w:val="1"/>
          <w:color w:val="auto"/>
        </w:rPr>
        <w:t>Supplemental Disclosures About Natural Gas, Oil and NGL Producing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Activities </w:t>
      </w:r>
      <w:r>
        <w:rPr>
          <w:rFonts w:ascii="Arial" w:cs="Arial" w:eastAsia="Arial" w:hAnsi="Arial"/>
          <w:sz w:val="18"/>
          <w:szCs w:val="18"/>
          <w:color w:val="auto"/>
        </w:rPr>
        <w:t>included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Item 8 of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report for further discussion of our reserve quantities.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Reserves Estimation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engaged Netherland, Sewell &amp; Associates, Inc., a third-party engineering firm, to audit our total proved reserves as of December 31, 2024. A copy of the audit letter issued by the engineering firm is filed with this report as Exhibit 99.1. The qualifications of the technical persons at the firm primarily responsible for overseeing the audit of our reserve estimates are set forth below.</w:t>
      </w:r>
    </w:p>
    <w:p>
      <w:pPr>
        <w:spacing w:after="0" w:line="49" w:lineRule="exact"/>
        <w:rPr>
          <w:sz w:val="20"/>
          <w:szCs w:val="20"/>
          <w:color w:val="auto"/>
        </w:rPr>
      </w:pPr>
    </w:p>
    <w:p>
      <w:pPr>
        <w:ind w:left="820" w:hanging="24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43 combined years of practical experience in the estimation and evaluation of reserves;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Licensed Professional Engineer in the State of Texas and Bachelor of Science degree in Chemical Engineering;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Licensed Professional Geoscientist in the State of Texas and Bachelor of Science and Master of Science degrees in Geology.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Corporate Reserves Department prepared our estimated proved reserves as of December 31, 2024 disclosed in this report. Those estimates were established utilizing standard geological and engineering technologies, which are generally accepted by the petroleum industry and were based upon the best available production, engineering and geologic data. These technologies, including computational methods, provide reasonable certainty in our reserves estimation and include technologies and inputs such as drilling results and well performance, decline curve analysis of wells in analogous reservoirs, material balance, volumetric calculation, statistical analysis, well logs, geologic maps and seismic data.</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Manager – Corporate Reserves, who is in charge of our Corporate Reserves Department, is the technical person primarily responsible for overseeing the preparation of our reserve estimates and for coordinating any reserves work conducted by a third-party engineering firm. His qualifications include the following:</w:t>
      </w:r>
    </w:p>
    <w:p>
      <w:pPr>
        <w:spacing w:after="0" w:line="49" w:lineRule="exact"/>
        <w:rPr>
          <w:sz w:val="20"/>
          <w:szCs w:val="20"/>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17 years of practical experience in the oil and gas industry, with over 15 years in reservoir engineering;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Licensed Professional Engineer (Petroleum) in the State of Oklahoma;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in good standing of the Society of Petroleum Evaluation Engineers;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Bachelor of Science in Mechanical Engineering;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Masters of Business Administration.</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ensure that the key members of our Corporate Reserves Department have appropriate technical qualifications to oversee the preparation of reserve estimates. Our engineering technicians have a minimum of a four-year degree in mathematics, economics, finance or other technical/business/science field. We maintain a continuous education program for our engineers and technicians on new technologies and industry advancements as well as refresher training on basic skills and analytical techniques.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maintain internal controls such as the following to ensure the reliability of reserves estimations:</w:t>
      </w:r>
    </w:p>
    <w:p>
      <w:pPr>
        <w:spacing w:after="0" w:line="104" w:lineRule="exact"/>
        <w:rPr>
          <w:sz w:val="20"/>
          <w:szCs w:val="20"/>
          <w:color w:val="auto"/>
        </w:rPr>
      </w:pPr>
    </w:p>
    <w:p>
      <w:pPr>
        <w:jc w:val="both"/>
        <w:ind w:left="820" w:hanging="245"/>
        <w:spacing w:after="0" w:line="260"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follow comprehensive SEC-compliant internal policies to estimate and report proved reserves. Reserve estimates are made by experienced reservoir engineers or under their direct supervision. All material changes are reviewed and approved by the Manager</w:t>
      </w:r>
    </w:p>
    <w:p>
      <w:pPr>
        <w:spacing w:after="0" w:line="1"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 Corporate Reserves.</w:t>
      </w:r>
    </w:p>
    <w:p>
      <w:pPr>
        <w:spacing w:after="0" w:line="85"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Corporate Reserves Department reviews our proved reserves at the close of each quarter.</w:t>
      </w:r>
    </w:p>
    <w:p>
      <w:pPr>
        <w:spacing w:after="0" w:line="90" w:lineRule="exact"/>
        <w:rPr>
          <w:rFonts w:ascii="Arial" w:cs="Arial" w:eastAsia="Arial" w:hAnsi="Arial"/>
          <w:sz w:val="18"/>
          <w:szCs w:val="18"/>
          <w:color w:val="auto"/>
        </w:rPr>
      </w:pPr>
    </w:p>
    <w:p>
      <w:pPr>
        <w:jc w:val="both"/>
        <w:ind w:left="820" w:hanging="245"/>
        <w:spacing w:after="0" w:line="268"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quarter, Reservoir Managers, the Manager – Corporate Reserves, the Vice Presidents of each operating area and the Vice President of Corporate and Strategic Planning review all significant reserves changes and all new proved undeveloped reserves additions.</w:t>
      </w:r>
    </w:p>
    <w:p>
      <w:pPr>
        <w:spacing w:after="0" w:line="49"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Corporate Reserves Department reports independently of our operations.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five-year PUD development plan is reviewed and approved annually by the Manager – Corporate Reserves and the Vice President of Corporate and Strategic Planning.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Acreage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143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sets forth our gross and net developed and undeveloped natural gas and oil leasehold and fee mineral acreage as of December 31, 2024. Gross acres are the total number of acres in which we own a working interest. Net acres refer to gross acres multiplied by our fractional working interest.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00" w:type="dxa"/>
            <w:vAlign w:val="bottom"/>
          </w:tcPr>
          <w:p>
            <w:pPr>
              <w:spacing w:after="0"/>
              <w:rPr>
                <w:sz w:val="20"/>
                <w:szCs w:val="20"/>
                <w:color w:val="auto"/>
              </w:rPr>
            </w:pPr>
          </w:p>
        </w:tc>
        <w:tc>
          <w:tcPr>
            <w:tcW w:w="3020" w:type="dxa"/>
            <w:vAlign w:val="bottom"/>
            <w:gridSpan w:val="4"/>
          </w:tcPr>
          <w:p>
            <w:pPr>
              <w:ind w:left="440"/>
              <w:spacing w:after="0"/>
              <w:rPr>
                <w:sz w:val="20"/>
                <w:szCs w:val="20"/>
                <w:color w:val="auto"/>
              </w:rPr>
            </w:pPr>
            <w:r>
              <w:rPr>
                <w:rFonts w:ascii="Arial" w:cs="Arial" w:eastAsia="Arial" w:hAnsi="Arial"/>
                <w:sz w:val="18"/>
                <w:szCs w:val="18"/>
                <w:b w:val="1"/>
                <w:bCs w:val="1"/>
                <w:color w:val="auto"/>
              </w:rPr>
              <w:t>Developed Leasehold</w:t>
            </w:r>
          </w:p>
        </w:tc>
        <w:tc>
          <w:tcPr>
            <w:tcW w:w="30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Undeveloped Leasehold</w:t>
            </w:r>
          </w:p>
        </w:tc>
        <w:tc>
          <w:tcPr>
            <w:tcW w:w="1640" w:type="dxa"/>
            <w:vAlign w:val="bottom"/>
            <w:gridSpan w:val="3"/>
          </w:tcPr>
          <w:p>
            <w:pPr>
              <w:ind w:left="11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spacing w:after="0"/>
              <w:rPr>
                <w:sz w:val="20"/>
                <w:szCs w:val="20"/>
                <w:color w:val="auto"/>
              </w:rPr>
            </w:pPr>
          </w:p>
        </w:tc>
      </w:tr>
      <w:tr>
        <w:trPr>
          <w:trHeight w:val="223"/>
        </w:trPr>
        <w:tc>
          <w:tcPr>
            <w:tcW w:w="2400" w:type="dxa"/>
            <w:vAlign w:val="bottom"/>
          </w:tcPr>
          <w:p>
            <w:pPr>
              <w:spacing w:after="0"/>
              <w:rPr>
                <w:sz w:val="19"/>
                <w:szCs w:val="19"/>
                <w:color w:val="auto"/>
              </w:rPr>
            </w:pPr>
          </w:p>
        </w:tc>
        <w:tc>
          <w:tcPr>
            <w:tcW w:w="146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Gross Acres</w:t>
            </w:r>
          </w:p>
        </w:tc>
        <w:tc>
          <w:tcPr>
            <w:tcW w:w="1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Gross Acres</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Net Acres</w:t>
            </w:r>
          </w:p>
        </w:tc>
        <w:tc>
          <w:tcPr>
            <w:tcW w:w="280" w:type="dxa"/>
            <w:vAlign w:val="bottom"/>
            <w:tcBorders>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Gross Acres</w:t>
            </w:r>
          </w:p>
        </w:tc>
        <w:tc>
          <w:tcPr>
            <w:tcW w:w="11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Acres</w:t>
            </w:r>
          </w:p>
        </w:tc>
      </w:tr>
      <w:tr>
        <w:trPr>
          <w:trHeight w:val="223"/>
        </w:trPr>
        <w:tc>
          <w:tcPr>
            <w:tcW w:w="2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(in thousands)</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586</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26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2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362</w:t>
            </w:r>
          </w:p>
        </w:tc>
        <w:tc>
          <w:tcPr>
            <w:tcW w:w="2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760</w:t>
            </w:r>
          </w:p>
        </w:tc>
        <w:tc>
          <w:tcPr>
            <w:tcW w:w="2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240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20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w:t>
            </w:r>
          </w:p>
        </w:tc>
      </w:tr>
      <w:tr>
        <w:trPr>
          <w:trHeight w:val="248"/>
        </w:trPr>
        <w:tc>
          <w:tcPr>
            <w:tcW w:w="2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2,029</w:t>
            </w:r>
          </w:p>
        </w:tc>
        <w:tc>
          <w:tcPr>
            <w:tcW w:w="20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1,581</w:t>
            </w:r>
          </w:p>
        </w:tc>
        <w:tc>
          <w:tcPr>
            <w:tcW w:w="28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2,172</w:t>
            </w:r>
          </w:p>
        </w:tc>
        <w:tc>
          <w:tcPr>
            <w:tcW w:w="20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1,904</w:t>
            </w:r>
          </w:p>
        </w:tc>
        <w:tc>
          <w:tcPr>
            <w:tcW w:w="280" w:type="dxa"/>
            <w:vAlign w:val="bottom"/>
            <w:tcBorders>
              <w:bottom w:val="single" w:sz="8" w:color="DBDBDB"/>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3,485</w:t>
            </w:r>
          </w:p>
        </w:tc>
      </w:tr>
      <w:tr>
        <w:trPr>
          <w:trHeight w:val="20"/>
        </w:trPr>
        <w:tc>
          <w:tcPr>
            <w:tcW w:w="24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20" w:hanging="372"/>
        <w:spacing w:after="0" w:line="287" w:lineRule="auto"/>
        <w:tabs>
          <w:tab w:leader="none" w:pos="33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1.2 million net acres retained in the 2016 divestiture of our Devonian Shale assets, in which we retained all rights below the base of the Kope formation.</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Most of our leases have a three- to five-year primary term, and we manage lease expirations to ensure that we do not experience unintended material expirations. Our leasehold management efforts include scheduling our drilling to establish production in paying quantities in order to hold leases by production, timely exercising our contractual rights to pay delay rentals to extend the terms of leases we value, planning non-core divestitures to high-grade our lease inventory and letting some leases expire that are no longer part of our development plans. We do not anticipate any material lease expirations within the next three years.</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principal function of our marketing operations is to provide natural gas, oil and NGL marketing services, including commodity price structuring, securing and negotiating of gathering, hauling, processing and transportation services, contract administration and nomination services for us and other interest owners in Expand Energy-operated wells. The marketing operations also provide other services for our exploration and production activities, including services to enhance the value of natural gas and oil production by aggregating volumes sold to various intermediary markets, end markets and pipelines. This aggregation allows us to attract larger, more creditworthy customers that in turn assist in maximizing the prices received.</w:t>
      </w:r>
    </w:p>
    <w:p>
      <w:pPr>
        <w:spacing w:after="0" w:line="12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Generally, our natural gas and NGL production are sold to purchasers under index contracts or daily spot price contracts. Under our index contracts, the price we receive is tied to published indices. Under our daily spot price contracts, we receive the daily spot price at the location where the gas or NGL are sold. Oil production is sold under short-to-long-term market-sensitive and spot price contracts using a differential to NYMEX WTI.</w:t>
      </w:r>
    </w:p>
    <w:p>
      <w:pPr>
        <w:spacing w:after="0" w:line="6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We have entered into long-term gathering, processing, and transportation contracts with various parties that require us to deliver fixed, determinable quantities of production over specified periods of time. Certain of our contracts require us to make payments for any shortfalls in delivering or transporting minimum volumes under these commitments.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consolidated financial statements included in Item 8 of Part II of this report for further discussion of commitments.</w:t>
      </w:r>
    </w:p>
    <w:p>
      <w:pPr>
        <w:spacing w:after="0" w:line="6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December 31, 2024, we had delivery commitments for gas and NGLs of approximately 6,900 Bcf and 45 MMBbls over the next 16 and 18 years, respectively. These delivery commitments vary each year. Additionally, we have delivery commitments of approximately 1 MMBbls of oil during 2025. We expect to fulfill these commitments primarily with production from our proved developed reserves.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Oilfield Services Vertical Integration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Company also operates drilling rigs and provides certain oilfield products and services, principally serving the Company’s E&amp;P operations through vertical integration.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Major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944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2024, we had no purchaser that accounted for 10% or greater of our total revenues (before the effects of hedging). For the year ended December 31, 2023, we had sales to two purchasers that accounted for approximately 17% and 10% of total revenues (before the effects of hedging). For the year ended December 31, 2022, we had sales to two purchasers that accounted for approximately 13% and 10% of total revenues (before the effects of hedging). No other purchasers accounted for more than 10% of our total revenues during the years ended December 31, 2023 or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compete with both major integrated and other independent natural gas and oil companies in all aspects of our business to explore, develop and operate our properties and market our production. Some of our competitors may have larger financial and other resources than us. Competitive conditions may be affected by future legislation and regulations as the United States develops new energy and climate-related policies. In addition, some of our competitors may have a competitive advantage when responding to factors that affect demand for natural gas and oil production, such as changing prices, domestic and foreign political conditions, weather conditions, the price and availability of alternative fuels, the proximity and capacity of natural gas pipelines and other transportation facilities and overall economic conditions. We also face indirect competition from alternative energy sources, including wind, solar and electric power. We believe that our technological expertise, combined with our exploration, land, drilling and production capabilities and the experience of our management team, enables us to compete effectively.</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Public Policy and Government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317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All of our operations are conducted onshore in the United States. Our industry is subject to a wide range of regulations, laws, rules, taxes, fees and other policy implementation actions that are under constant review for amendment or expansion. Numerous government agencies have issued extensive regulations that are binding on our industry, some of which carry substantial penalties for failure to comply. These laws and regulations increase the cost of doing business. We anticipate that compliance with existing laws and regulations governing our current operations will not have a material adverse effect on our capital expenditures, earnings or competitive position. However, additional proposals that affect the oil and gas industry are regularly considered by Congress, the states, regulatory agencies and the courts, and we cannot predict when or whether any such proposals may become effective or the effect that such proposals may have on us. We actively monitor regulatory developments applicable to our industry in order to anticipate, design and implement required compliance activities and systems. The following is a summary of the existing laws, rules and regulations to which our operations are subject.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Exploration and Production, Environmental, Health and Safety and Occupational Laws and Regulations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operations are subject to federal, tribal, state, and local laws and regulations. These laws and regulations relate to matters that include, but are not limited to, the following:</w:t>
      </w:r>
    </w:p>
    <w:p>
      <w:pPr>
        <w:spacing w:after="0" w:line="18" w:lineRule="exact"/>
        <w:rPr>
          <w:sz w:val="20"/>
          <w:szCs w:val="20"/>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of workplace injuries and illnesses;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industrial hygiene monitoring;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worker protection and workplace safety;</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approval or permits to drill and to conduct operations;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of financial assurances (such as bonds) covering drilling and well operations;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calculation and disbursement of royalty payments and production taxes;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seismic operations/data;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location, drilling, cementing and casing of wells;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design and construction of pad and equipment;</w:t>
      </w:r>
    </w:p>
    <w:p>
      <w:pPr>
        <w:spacing w:after="0" w:line="90"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and operations activities in sensitive areas, such as wetlands, coastal regions or areas that contain endangered or threatened species, their habitats, or sites of cultural significance;</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method of well completion and hydraulic fracturing;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water withdrawal;</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well production and operations, including processing and gathering systems;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emergency response, contingency plans and spill prevention plans;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emissions and discharges permitting;</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climate change;</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transportation, storage and disposal of fluids and materials incidental to natural gas and oil operations;</w:t>
      </w:r>
    </w:p>
    <w:p>
      <w:pPr>
        <w:spacing w:after="0" w:line="103"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surface usage, maintenance, monitoring and the restoration of properties associated with well pads, pipelines, impoundments and access roads;</w:t>
      </w:r>
    </w:p>
    <w:p>
      <w:pPr>
        <w:spacing w:after="0" w:line="17"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plugging and abandoning of wells;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of production.</w:t>
      </w:r>
    </w:p>
    <w:p>
      <w:pPr>
        <w:spacing w:after="0" w:line="25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In November 2021, the Environmental Protection Agency (the “EPA”) proposed new regulations to establish comprehensive standards of performance and emission guidelines for methane and volatile organic compound emissions from new, modified, reconstructed and existing facilities in the oil and gas sector. The EPA issued a supplemental proposed rule in November 2022 to update, strengthen and expand its November 2021 proposed rule. The proposed rules sought to make the existing regulations in Subpart OOOOa more stringent and create a Subpart OOOOb to expand reduction requirements for new, modified, and reconstructed oil and gas sources, including standards focusing on certain source types that have never been regulated under the Clean Air Act (“CAA”) (including intermittent vent pneumatic controllers, associated gas, and liquids unloading facilities). The November 2022 supplemental proposed rule removed an emissions monitoring exemption for small wellhead-only sites and created a new third-party monitoring program to flag large emissions events, referred to in the proposed rule as “super emitters”. In addition, the proposed rules sought to establish “Emissions Guidelines,” creating a Subpart OOOOc that would require states to develop plans to reduce methane emissions from existing sources that must be at least as effective as presumptive standards set by the EPA. In December 2023, the EPA issued the final rule, which imposes more stringent requirements on the natural gas and oil industry, requiring all well sites and compressor stations to be routinely monitored for leaks and eliminating or minimizing emissions from common pieces of equipment used in oil and gas operations, such as process controllers, pumps, and storage tanks. Notably, the EPA updated the applicability date for Subparts OOOOb and OOOOc to December 6, 2022, meaning that sources constructed prior to that date will be considered existing sources with later compliance dates under state plans. The final rule gives states, along with federal tribes that wish to regulate existing sources, until March 2026 to develop and submit their plans for reducing methane from existing sources. The final emissions guidelines under Subpart OOOOc provide until 2029 for existing sources to comply. Fines and penalties for violation of these rules can be substantial. However, the final rule is subject to ongoing litigation but remains in effect. Additionally, in January 2025, the Department of Transportation’s Pipeline and Hazardous Materials Safety Administration (the “PHMSA”) finalized a rule that requires pipelines, underground natural gas storage facilities, and liquefied natural gas facilities to update leak detection and repair programs to require companies to use commercially available technologies to find and fix methane leaks from pipelines and other facilities. These rules and policy priorities could have a material adverse effect on our financial position, results of operations and cash flows. However, in January 2025, the current Presidential Administration issued an executive order directing the heads of all federal agencies to identify and begin the process to suspend, revise, or rescind all agency actions that are unduly burdensome on the identification, development, or use of domestic energy resources. Consequently, the future implementation and enforcement of these rules remain uncertain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Inflation Reduction Act (“IRA”), signed into law in August 2022, provides significant funding and incentives for research, development and implementation of low-carbon energy production methods, carbon capture, and other programs directed at addressing climate change. The IRA also includes a Methane Emissions Reduction Program that amends the CAA to require the EPA to impose a “Waste Emissions Charge” on methane emissions from certain natural gas and oil sources that are already required to report under EPA’s Greenhouse Gas Reporting Program. In May 2024, the EPA finalized revisions to the Greenhouse Gas Reporting Program for petroleum and natural gas facilities. Among other things, the final rule expands the emissions events that are subject to reporting requirements to include "other large release events" and applies reporting requirements to certain new sources and sectors. The emissions reported under the Greenhouse Gas Reporting Program will be the basis for any payments under the Methane Emissions Reduction Program in the IRA. However, petitions for reconsideration to the EPA are pending and litigation in the D.C. Circuit Court of Appeals has commenced. In addition, in November 2024, the EPA finalized a rule to implement the IRA’s Waste Emissions Charge that became effective in January 2025. The Waste Emissions Charge imposed under the Methane Emissions Reduction Program for 2024 reported amounts is $900 per metric ton emitted over permitted methane emissions thresholds, and increases to $ 1,200 for 2025 reported amounts, and $1,500 for 2026 reported amounts. In January 2025, industry associations challenged the Waste Emissions Charge rule in the D.C. Circuit Court of Appeals. Additionally, based on the timing of the rule’s finalization, the Waste Emissions Charge rule is potentially vulnerable to repeal by Congress under the Congressional Review Act. To the extent the rule is implemented, the emissions fee and funding provisions of the law could increase operating costs within the oil and gas industry and accelerate the transition away from fossil fuels, which could in turn adversely affect our business and results of operations.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The Inflation Reduction Act may also be subject to amendment or repeal through Congressional budget reconciliation. Consequently, future implementation and enforcement of these rules remains uncertain at this time.</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2024, the previous Presidential Administration announced a temporary pause on pending decisions on exports of LNG to non-free trade agreement countries until the Department of Energy (“DOE”) can update the underlying analyses for authorizations, including an assessment of the impact of greenhouse gas (“GHG”) emissions. In December 2024, the DOE released its report on LNG exports, which report is subject to a 60-day public comment period ending in February 2025. However, in January 2025, the current Presidential Administration issued an executive order directing the DOE to restart reviews of applications for approvals of LNG export projects as expeditiously as possible.</w:t>
      </w:r>
    </w:p>
    <w:p>
      <w:pPr>
        <w:spacing w:after="0" w:line="20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addition, several states and geographic regions in the United States have adopted legislation and regulations regarding climate change-related matters, and additional legislation or regulation by these states and regions, U.S. federal agencies, including the EPA, and/or international agreements to which the United States may become a party could result in increased compliance costs for us and our customers. Failure to comply with these laws and regulations can lead to the imposition of remedial liabilities, administrative, civil or criminal fines or penalties or injunctions limiting our operations in affected areas. In 2021, the previous Presidential Administration recommitted the United States to the Paris Agreement and announced a goal of reducing the United States’ GHG emissions by 50-52% below 2005 levels by 2030. In November 2021, at the 26th Conference of the Parties on the UN Framework Convention on Climate Change (“COP26”), the United States and the European Union jointly announced the Global Methane Pledge, an initiative committing to a collective goal of reducing global methane emissions by at least 30% from 2020 levels by 2030, including “all feasible reductions” in the energy sector. COP26 concluded with the finalization of the Glasgow Climate Pact, which stated long-term global goals (including those in the Paris Agreement) to limit the increase in the global average temperature and emphasized reductions in GHG emissions. At the 27th Conference of the Parties (“COP27”), the previous Presidential Administration announced the EPA’s then-proposed standards to reduce methane emissions from new, modified and existing oil and gas sources, and the United States agreed, in conjunction with the European Union and several other partner countries, to develop standards for monitoring and reporting methane emissions to help create a market for low methane-intensity natural gas. At the 28th Conference of the Parties (“COP28”), member countries entered into an agreement that calls for actions toward achieving, at a global scale, a tripling of renewable energy capacity and doubling energy efficiency improvements by 2030. In April 2024, the European Union adopted a regulation to track and reduce methane emissions in the energy sector, including requiring new monitoring, reporting and verification measures to be applied by importers of oil, natural gas and coal into the European Union by January 1, 2027, and</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“maximum methane intensity values” must be met by 2030 and every year thereafter. Each member state will have the power to impose administrative penalties for failure to comply and the standard will be mandatory for supply contracts signed after the law takes effect. On January 20, 2025, the current Presidential Administration issued an executive order directing the immediate notice to the United Nations of the United States’ withdrawal from the Paris Agreement and all other agreements made under the United Nations Framework Convention on Climate Change. However, various state and local governments in the U.S. have publicly committed to furthering the goals of the Paris Agreement and many of these efforts at the local, state and international levels are expected to continue.</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Moreover, multiple environmental laws provide for citizen suits, which allow environmental organizations to act in the place of the government and sue operators for alleged violations of environmental law. We consider the responsibility and costs of environmental protection and safety and health compliance fundamental parts of our business. To date, we have been able to plan for and comply with environmental, safety and health laws and regulations without materially altering our operating strategy or incurring significant unreimbursed expenditures. However, based on regulatory trends and increasingly stringent laws, as well as the increasing number of climate-related commitments by capital providers, our capital expenditures and operating expenses related to compliance with environmental and safety and health regulations have increased over time and may continue to increase. In addition, in March 2024, the SEC released its final rule requiring public companies to disclose information regarding material climate-related risks. However, the SEC voluntarily stayed the final rule in April 2024 pending judicial review of multiple petitions challenging the rules and it is unclear when the rule will become effective, if ever. Although future implementation of the final rule and impact on our business is uncertain, compliance with the rule, as finalized, may result in additional legal, accounting and financial compliance costs, make some activities more difficult, time-consuming and costly, and place strain on our personnel, systems and resources. For more information, see Item </w:t>
      </w:r>
      <w:r>
        <w:rPr>
          <w:rFonts w:ascii="Arial" w:cs="Arial" w:eastAsia="Arial" w:hAnsi="Arial"/>
          <w:sz w:val="18"/>
          <w:szCs w:val="18"/>
          <w:i w:val="1"/>
          <w:iCs w:val="1"/>
          <w:color w:val="auto"/>
        </w:rPr>
        <w:t>1A. Risk Factors - “We are subject to extensive governmental</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which can change and could adversely impact our business.”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operations also are subject to conservation regulations, including the regulation of the size of drilling and spacing units or proration units, the number of wells that may be drilled in a unit, the rate of production allowable from gas and oil wells, and the unitization or pooling of gas and oil properties. In the United States, some states allow the statutory pooling or integration of tracts to facilitate exploration, while other states rely on voluntary pooling of lands and leases, which may make it more difficult to develop gas and oil properties. In addition, federal and state conservation laws generally limit the venting or flaring of natural gas, and state conservation laws impose certain requirements regarding the ratable purchase of production. These regulations limit the amounts of gas and oil we can produce from our wells and the number of wells or the locations at which we can drill. For further discussion, see Item </w:t>
      </w:r>
      <w:r>
        <w:rPr>
          <w:rFonts w:ascii="Arial" w:cs="Arial" w:eastAsia="Arial" w:hAnsi="Arial"/>
          <w:sz w:val="18"/>
          <w:szCs w:val="18"/>
          <w:i w:val="1"/>
          <w:iCs w:val="1"/>
          <w:color w:val="auto"/>
        </w:rPr>
        <w:t>1A. Risk Factors - “We are subject to extensive</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which can change and could adversely impact our business.”</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Regulatory proposals in some states and local communities have been initiated to require or make more stringent the permitting and compliance requirements for hydraulic fracturing operations. Federal and state agencies have continued to assess the potential impacts of hydraulic fracturing, which could result in additional federal, state and/or local legislation and regulation. Further restrictions of hydraulic fracturing could make it difficult or impossible to conduct our drilling and completion operations, and thereby reduce the amount of natural gas, oil and NGLs that we are ultimately able to produce from our properties.</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Certain of our U.S. natural gas and oil leases are granted or approved by the federal government and administered by the U.S. Department of the Interior (“DOI”). Such leases require compliance with detailed federal regulations and orders that regulate, among other matters, drilling and operations on lands covered by these leases and calculation and disbursement of royalty payments to the federal government, tribes or tribal members. The federal government has increased its review in recent years in evaluating and, in some cases, promulgating new rules and regulations regarding competitive lease bidding, venting and flaring, gas and oil measurement and royalty payment obligations for production from federal lands. In January 2021, the previous Presidential Administration temporarily paused new oil and gas leases on federal lands and waters pending completion of a comprehensive review of the federal government’s existing oil and gas leasing and permitting program. In June 2021, a federal district court enjoined the DOI from implementing the pause and leasing resumed subject to certain limitations. In August 2022, a federal appeals court vacated and remanded the federal district court’s decision to block the pause on new oil and gas leasing, and the federal district court shortly thereafter enjoined the DOI from implementing the pause in the thirteen plaintiff states, including Louisiana and West Virginia. Litigation over leasing remains ongoing.</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However, in January 2025, current Presidential Administration issued executive orders (i) reversing the previous Presidential Administration’s leasing pause and executive orders withdrawing certain lands and waters from federal oil and gas leasing and (ii) directing the heads of all federal agencies to facilitate the leasing, siting, and generation of domestic energy resources, including on federal lands and waters.</w:t>
      </w:r>
    </w:p>
    <w:p>
      <w:pPr>
        <w:spacing w:after="0" w:line="19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2024, the BLM finalized regulations to reduce the waste of natural gas from gas and oil operations on federal and Tribal land. The rule became effective in June 2024. However, in May 2024, North Dakota, Texas, Montana, Wyoming and Utah challenged the rule in federal district court. In September 2024, the court granted a preliminary injunction enjoining BLM from enforcing the rule against the plaintiff states pending the outcome of the litigation, and the litigation remains ongoing.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Accordingly, future implementation and enforcement of this rule is uncertain at this time. Any future restrictions surrounding onshore drilling and restrictions on the ability to obtain required permits could have a material adverse impact on our operations.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Obtaining environmental permits has the potential to delay the development and operation of natural gas and oil projects. Delays in obtaining permits or an inability to obtain new permits or permit modifications or renewals could inhibit our ability to execute our drilling and production plans. Failure to comply with applicable regulations or permit requirements could result in revocation of our permits, inability to obtain new permits and the imposition of fines and penalties.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For further discussion, see Item </w:t>
      </w:r>
      <w:r>
        <w:rPr>
          <w:rFonts w:ascii="Arial" w:cs="Arial" w:eastAsia="Arial" w:hAnsi="Arial"/>
          <w:sz w:val="17"/>
          <w:szCs w:val="17"/>
          <w:i w:val="1"/>
          <w:iCs w:val="1"/>
          <w:color w:val="auto"/>
        </w:rPr>
        <w:t>1A. Risk Factors - “Natural gas and oil operations are uncertain and involve substantial costs and risks.”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Title to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369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title to properties is subject to royalty, overriding royalty, carried, net profits, working and other similar interests and contractual arrangements customary in the natural gas and oil industry, to liens for current taxes not yet due and to other encumbrances. As is customary in the industry in the case of undeveloped properties, only cursory investigation of record title is made at the time of acquisition. Drilling title opinions are usually prepared before commencement of drilling operations. We believe we have satisfactory title to substantially all of our active properties in accordance with standards generally accepted in the natural gas and oil industry. Nevertheless, we are involved in title disputes from time to time that may result in litigation.</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Operating Hazards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859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natural gas and oil business involves a variety of operating risks, including the risk of fire, explosions, blow-outs, pipe failure, abnormally pressured formations and environmental hazards such as oil spills, natural gas leaks, ruptures or discharges of materials or pollutants. Any of these events could adversely affect our ability to conduct operations or result in substantial loss to us as a result of defending against claims by government agencies or third parties, injury or loss of life, damage to or destruction of property, natural resources and equipment, pollution or other environmental damage, clean-up responsibilities, regulatory investigation and penalties, and suspension of operations. Our horizontal and deep drilling activities involve greater risk of mechanical problems than vertical and shallow drilling operations.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maintain a control of well insurance policy with a $50 million single well limit and a $ 100 million multiple wells limit that insures against certain sudden and accidental risks associated with drilling, completing and operating our wells. This insurance may not be adequate to cover all losses or exposure to liability. We also carry a $305 million comprehensive general liability umbrella insurance policy. In addition, we maintain a $50 million pollution liability insurance policy providing coverage for gradual pollution related risks and in excess of the general liability policy for sudden and accidental pollution risks. We provide workers' compensation insurance coverage to employees in all states in which we operate. While we believe these policies are customary in the industry, they do not provide complete coverage against all operating risks, and policy limits scale to our working interest percentage in certain situations. In addition, our insurance does not cover penalties or fines that may be assessed by a governmental authority. A loss not fully covered by insurance could have a material adverse effect on our financial position, results of operations and cash flows. Our insurance coverage may not be sufficient to cover every claim made against us or may not be commercially available for purchase in the future.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6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6895" cy="8255"/>
                    </a:xfrm>
                    <a:prstGeom prst="rect">
                      <a:avLst/>
                    </a:prstGeom>
                    <a:noFill/>
                  </pic:spPr>
                </pic:pic>
              </a:graphicData>
            </a:graphic>
          </wp:anchor>
        </w:drawing>
      </w:r>
    </w:p>
    <w:p>
      <w:pPr>
        <w:spacing w:after="0" w:line="24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own an office complex in Oklahoma City, Oklahoma and lease an office building in Spring, Texas. Additionally, we own or lease various field offices in cities or towns in the areas where we conduct our operations.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0629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Domenic J. Dell'Osso, Jr., </w:t>
      </w:r>
      <w:r>
        <w:rPr>
          <w:rFonts w:ascii="Arial" w:cs="Arial" w:eastAsia="Arial" w:hAnsi="Arial"/>
          <w:sz w:val="18"/>
          <w:szCs w:val="18"/>
          <w:b w:val="1"/>
          <w:bCs w:val="1"/>
          <w:i w:val="1"/>
          <w:iCs w:val="1"/>
          <w:color w:val="auto"/>
        </w:rPr>
        <w:t>President, Chief Executive Officer and Director</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Domenic J. (“Nick”) Dell'Osso, Jr., </w:t>
      </w:r>
      <w:r>
        <w:rPr>
          <w:rFonts w:ascii="Arial" w:cs="Arial" w:eastAsia="Arial" w:hAnsi="Arial"/>
          <w:sz w:val="18"/>
          <w:szCs w:val="18"/>
          <w:color w:val="auto"/>
        </w:rPr>
        <w:t>48, has served as President and Chief Executive Officer since October 2021. Prior to being named as</w:t>
      </w:r>
      <w:r>
        <w:rPr>
          <w:rFonts w:ascii="Arial" w:cs="Arial" w:eastAsia="Arial" w:hAnsi="Arial"/>
          <w:sz w:val="18"/>
          <w:szCs w:val="18"/>
          <w:i w:val="1"/>
          <w:iCs w:val="1"/>
          <w:color w:val="auto"/>
        </w:rPr>
        <w:t xml:space="preserve"> </w:t>
      </w:r>
      <w:r>
        <w:rPr>
          <w:rFonts w:ascii="Arial" w:cs="Arial" w:eastAsia="Arial" w:hAnsi="Arial"/>
          <w:sz w:val="18"/>
          <w:szCs w:val="18"/>
          <w:color w:val="auto"/>
        </w:rPr>
        <w:t>CEO, Mr. Dell’Osso served as our Executive Vice President and Chief Financial Officer since November 2010. Mr. Dell'Osso served as our Vice President – Finance and Chief Financial Officer of our wholly owned midstream subsidiary, Chesapeake Midstream Development, L.P., from August 2008 to November 2010. Before joining Expand Energy, Mr. Dell’Osso was an energy investment banker with Jefferies &amp; Co. from 2006 to 2008 and Banc of America Securities from 2004 to 2006. Mr. Dell’Osso graduated from Boston College and earned his M.B.A. from the University of Texas at Austin.</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Mohit Singh, </w:t>
      </w:r>
      <w:r>
        <w:rPr>
          <w:rFonts w:ascii="Arial" w:cs="Arial" w:eastAsia="Arial" w:hAnsi="Arial"/>
          <w:sz w:val="18"/>
          <w:szCs w:val="18"/>
          <w:b w:val="1"/>
          <w:bCs w:val="1"/>
          <w:i w:val="1"/>
          <w:iCs w:val="1"/>
          <w:color w:val="auto"/>
        </w:rPr>
        <w:t>Executive Vice President and Chief Financial Officer</w:t>
      </w:r>
    </w:p>
    <w:p>
      <w:pPr>
        <w:spacing w:after="0" w:line="7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Mohit Singh, </w:t>
      </w:r>
      <w:r>
        <w:rPr>
          <w:rFonts w:ascii="Arial" w:cs="Arial" w:eastAsia="Arial" w:hAnsi="Arial"/>
          <w:sz w:val="18"/>
          <w:szCs w:val="18"/>
          <w:color w:val="auto"/>
        </w:rPr>
        <w:t>48, has served as Executive Vice President and Chief Financial Officer since December 2021. Prior to joining Expand</w:t>
      </w:r>
      <w:r>
        <w:rPr>
          <w:rFonts w:ascii="Arial" w:cs="Arial" w:eastAsia="Arial" w:hAnsi="Arial"/>
          <w:sz w:val="18"/>
          <w:szCs w:val="18"/>
          <w:i w:val="1"/>
          <w:iCs w:val="1"/>
          <w:color w:val="auto"/>
        </w:rPr>
        <w:t xml:space="preserve"> </w:t>
      </w:r>
      <w:r>
        <w:rPr>
          <w:rFonts w:ascii="Arial" w:cs="Arial" w:eastAsia="Arial" w:hAnsi="Arial"/>
          <w:sz w:val="18"/>
          <w:szCs w:val="18"/>
          <w:color w:val="auto"/>
        </w:rPr>
        <w:t>Energy, Mr. Singh served for six years on the executive leadership team at BPX Energy, the United States onshore subsidiary of BP plc (NYSE: BP). He most recently led the M&amp;A, corporate land and reserves functions, having previously served as Head of Business Development and Exploration and as Senior Vice President – North Business Unit. Prior to joining BPX, Mr. Singh worked as an investment banker focused on oil and gas transactions for RBC Capital Markets and Goldman Sachs. A chemical engineer by training, he began his career at Shell Exploration &amp; Production Company where he held business planning, reservoir engineering and research engineering roles of increasing importance. Mr. Singh earned a PhD in Chemical Engineering from the University of Houston, an MBA from the University of Texas at Austin and a BTech in Chemical Engineering from the Indian Institute of Technology.</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Joshua J. Viets, </w:t>
      </w:r>
      <w:r>
        <w:rPr>
          <w:rFonts w:ascii="Arial" w:cs="Arial" w:eastAsia="Arial" w:hAnsi="Arial"/>
          <w:sz w:val="18"/>
          <w:szCs w:val="18"/>
          <w:b w:val="1"/>
          <w:bCs w:val="1"/>
          <w:i w:val="1"/>
          <w:iCs w:val="1"/>
          <w:color w:val="auto"/>
        </w:rPr>
        <w:t>Executive Vice President and Chief Operating Officer</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Joshua J. (“Josh”) Viets, </w:t>
      </w:r>
      <w:r>
        <w:rPr>
          <w:rFonts w:ascii="Arial" w:cs="Arial" w:eastAsia="Arial" w:hAnsi="Arial"/>
          <w:sz w:val="18"/>
          <w:szCs w:val="18"/>
          <w:color w:val="auto"/>
        </w:rPr>
        <w:t>46, has served as Executive Vice President and Chief Operating Officer since February 2022.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Expand Energy, Mr. Viets worked for 20 years in operational positions of increasing importance at ConocoPhillips (NYSE: COP). He most recently served as Vice President, Delaware Basin and previously held leadership positions in operations, engineering, subsurface, and capital project across the ConocoPhillips portfolio. Mr. Viets earned a Bachelor of Science in Petroleum Engineering from Colorado School of Mines.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Christopher W. Lacy, </w:t>
      </w:r>
      <w:r>
        <w:rPr>
          <w:rFonts w:ascii="Arial" w:cs="Arial" w:eastAsia="Arial" w:hAnsi="Arial"/>
          <w:sz w:val="18"/>
          <w:szCs w:val="18"/>
          <w:b w:val="1"/>
          <w:bCs w:val="1"/>
          <w:i w:val="1"/>
          <w:iCs w:val="1"/>
          <w:color w:val="auto"/>
        </w:rPr>
        <w:t>Executive Vice President - General Counsel and Corporate Secretary</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Christopher W. (“Chris”) Lacy, </w:t>
      </w:r>
      <w:r>
        <w:rPr>
          <w:rFonts w:ascii="Arial" w:cs="Arial" w:eastAsia="Arial" w:hAnsi="Arial"/>
          <w:sz w:val="18"/>
          <w:szCs w:val="18"/>
          <w:color w:val="auto"/>
        </w:rPr>
        <w:t>47, has served as Executive Vice President – General Counsel and Corporate Secretary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2024. Prior to that time, he served as Senior Vice President, General Counsel and Secretary at Southwestern Energy Company. Mr. Lacy joined Southwestern in 2014 as Chief Litigation Counsel and held various roles of progressively increasing responsibility. Before joining Southwestern, Chris was with Dewey &amp; LeBouef, LLP and Ahmad, Zavitsanos, Anaipakos, Alavi &amp; Mensing P.C. with a practice focused on high value and high stakes litigation. He has nearly 20 years of experience representing clients in the energy industry. Mr. Lacy earned his B.A. in Communication from the University of Texas and his juris doctorate from the University of Houston Law Center.</w:t>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 xml:space="preserve">Daniel F. Turco, </w:t>
      </w:r>
      <w:r>
        <w:rPr>
          <w:rFonts w:ascii="Arial" w:cs="Arial" w:eastAsia="Arial" w:hAnsi="Arial"/>
          <w:sz w:val="18"/>
          <w:szCs w:val="18"/>
          <w:b w:val="1"/>
          <w:bCs w:val="1"/>
          <w:i w:val="1"/>
          <w:iCs w:val="1"/>
          <w:color w:val="auto"/>
        </w:rPr>
        <w:t>Executive Vice President - Marketing and Commercial</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Daniel F. (“Dan”) Turco, </w:t>
      </w:r>
      <w:r>
        <w:rPr>
          <w:rFonts w:ascii="Arial" w:cs="Arial" w:eastAsia="Arial" w:hAnsi="Arial"/>
          <w:sz w:val="18"/>
          <w:szCs w:val="18"/>
          <w:color w:val="auto"/>
        </w:rPr>
        <w:t>45, has served as Executive Vice President – Marketing and Commercial since February 2025.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Expand Energy, Mr. Turco served as Head of Global LNG Trading / Head of Asia Gas &amp; Power Marketing in Singapore for ExxonMobil. Mr. Turco joined ExxonMobil in 2006 and has since held positions of increasing responsibility in upstream natural gas marketing and trading, spanning LNG, U.S., Europe and Asia gas markets. Mr. Turco began his career in oil and gas as an engineer. Mr. Turco earned an M.B.A. from Wilfrid Laurier University (Canada) and an Honors Bachelor of Applied Science, Civil Engineering &amp; Management Science from the University of Waterloo (Canada).</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482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had approximately 1,700 employees as of December 31, 2024, inclusive of approximately 200 employees temporarily assisting in our efforts to integrate Southwestern. None of our employees were covered by collective bargaining agreements, and our management works to maintain good relations with our employees.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Values-Driven Culture</w:t>
      </w:r>
    </w:p>
    <w:p>
      <w:pPr>
        <w:spacing w:after="0" w:line="8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At Expand Energy, our core values are the foundation of our company. Serving as the lens through which we evaluate business decisions, our commitment to these values, in both words and actions builds a stronger, healthier Expand Energy, benefiting all our stakeholders. Our core values are:</w:t>
      </w:r>
    </w:p>
    <w:p>
      <w:pPr>
        <w:spacing w:after="0" w:line="4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Stewardship - Safety and environmental stewardship requires excellence in the ordinary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Character - Integrity in every action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Collaborate - Commit to continuous improvement through humility, curiosity and constant learning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Learn - Embrace diverse perspectives, confront the brutal facts, and speak with radical candor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 - Challenge the status quo to achieve better outcomes for energy consumers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Diversity, Equity and Inclusion (DEI)</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committed to supporting inclusion and diversity within our organization. We believe building a diverse workforce and an equitable, inclusive work culture are key drivers of our long-term success. We embrace the variety of backgrounds, perspectives and talents within our organization, leveraging strengths to pursue results and meaningful change for our company, employees, and stakeholders. To support this commitment, we offer education and training for our employees on topics related to inclusion and diversity to help ensure our team is equipped to contribute to an environment of respect, inclusion and collaboration.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Own Safety, Lead Safety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Safety is more than a company metric. It is core to our commitment to leading a responsible energy future. We set and deliver robust safety standards, prioritizing the well-being of our employees and contractors. Our safety culture is championed by our Board of Directors and executive leadership team, owned by every employee and contractor and managed by our Health, Safety, Environmental and Regulatory (HSER) team. Maintaining a safe work environment and promoting safe behaviors is a commitment that each of our employees and contractors own together. We hold each other accountable to keeping our sites, our co-workers and our contractors safe.</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One program that reinforces this philosophy of personal responsibility is Stop Work Authority. Through Stop Work Authority, every employee and contractor has the right, responsibility and authority to stop work if conditions are unsafe or could cause harm to the environment. Creating an incident-free work environment starts with setting clear expectations among employees and contractors regarding our Safe and Compliant Operations Policy, safety standards, and working to empower and equip individuals with the skills necessary to promote safety in their areas of work. The foundation of our safety culture is our </w:t>
      </w:r>
      <w:r>
        <w:rPr>
          <w:rFonts w:ascii="Arial" w:cs="Arial" w:eastAsia="Arial" w:hAnsi="Arial"/>
          <w:sz w:val="18"/>
          <w:szCs w:val="18"/>
          <w:i w:val="1"/>
          <w:iCs w:val="1"/>
          <w:color w:val="auto"/>
        </w:rPr>
        <w:t>Own Safety, Lead Safety</w:t>
      </w:r>
      <w:r>
        <w:rPr>
          <w:rFonts w:ascii="Arial" w:cs="Arial" w:eastAsia="Arial" w:hAnsi="Arial"/>
          <w:sz w:val="18"/>
          <w:szCs w:val="18"/>
          <w:color w:val="auto"/>
        </w:rPr>
        <w:t xml:space="preserve"> motto, which encourages all workers on our locations to take personal responsibility for their safety and the safety of those around them. We have transitioned companywide to our Serious Incident and Fatality prevention model for more proactive hazard identification of exposures that could lead to a life-altering injury with verification processes that check for controls in place for these exposures.</w:t>
      </w:r>
    </w:p>
    <w:p>
      <w:pPr>
        <w:spacing w:after="0" w:line="1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Every year our HSER team provides targeted trainings based on safety performance analysis, job functions and location specific factors. Our training program includes a mix of in-person and virtual training, with greater emphasis on in-person instruction and includes all employees. Job-specific learning paths aim to exceed regulatory requirements and ensure employees are holistically prepared to execute their job functions safely and responsibly.</w:t>
      </w:r>
    </w:p>
    <w:p>
      <w:pPr>
        <w:spacing w:after="0" w:line="20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Expand Energy’s training philosophy values contractor training in the same manner as employees. We design contractor training to align as much as possible with employee training, encouraging synchronized knowledge sharing and understanding, critical to decreasing our cumulative incidents.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Ethical Business Conduct</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Expand Energy works hard to maintain the confidence of our stakeholders. We earn this trust by striving to act in an ethical manner to protect our people, the environment and the communities where we operate. This starts by driving accountability through all levels of the company and having systems in place to uphold our high standards for conduct. Strong governance practices begin at the top, providing our organization with clear guidelines to define standards for ethical behavior at every level. Each Expand Energy director or employee, regardless of position, must abide by Expand Energy’s Code of Business Conduct (the "Code"), which is structured around our core values. Each year all employees must sign a Code certification acknowledging that they have reviewed the Code and related policies, the high standards expected of them and that they will report actual or potential ethics concerns or Code violations.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Employee Wellness and Benefits</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Supporting the individual well-being of our employees is foundational to our safety culture and success as a company. We champion healthy lifestyles and offer health resources. Across the company, employees are offered preventive programs and are encouraged to complete an annual screening for common health-related issues. We support our employees’ and their families’ health by offering full medical, dental, vision, prescription drug insurance for employees and their families, life insurance, short- and long-term disability coverage, and health savings and dependent care flexible spending accounts. We offer parental leave for the birth or adoption of a child, an adoption assistance program, alternate work schedules, a 401(k) savings plan with company match and discretionary contributions, flexible work hours, generous paid time off, including a well-being day, where each employee is encouraged to relax and recharge for a day once per calendar year and 12 company-paid holidays, tuition reimbursement and access to a child development center and fitness center at market rates. Additionally, Expand Energy provides employees and their families access to a confidential Employee Assistance Program, which connects employees with trained counselors and other support professionals.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1A.</w:t>
      </w:r>
      <w:r>
        <w:rPr>
          <w:sz w:val="20"/>
          <w:szCs w:val="20"/>
          <w:color w:val="auto"/>
        </w:rPr>
        <w:tab/>
      </w:r>
      <w:r>
        <w:rPr>
          <w:rFonts w:ascii="Arial" w:cs="Arial" w:eastAsia="Arial" w:hAnsi="Arial"/>
          <w:sz w:val="17"/>
          <w:szCs w:val="17"/>
          <w:b w:val="1"/>
          <w:bCs w:val="1"/>
          <w:i w:val="1"/>
          <w:iCs w:val="1"/>
          <w:color w:val="00386C"/>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916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There are numerous factors that affect our business and results of operations, many of which are beyond our control. The following is a description of factors that we consider to be material and that might cause our future results to differ materially from those currently expected. The risks described below are not the only risks facing our company. Additional risks and uncertainties not presently known to us or that we currently deem immaterial may also affect our business operations. If any of these risks actually occur, our business, financial position, results of operations, cash flows, reserves and/or our ability to pay our debts and other liabilities could suffer, the trading price and liquidity of our securities could decline and you may lose all or part of your investment in our securities.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Summary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33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97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38" w:lineRule="exact"/>
        <w:rPr>
          <w:sz w:val="20"/>
          <w:szCs w:val="20"/>
          <w:color w:val="auto"/>
        </w:rPr>
      </w:pPr>
    </w:p>
    <w:p>
      <w:pPr>
        <w:ind w:left="420" w:hanging="169"/>
        <w:spacing w:after="0" w:line="281"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gas, oil and NGL prices fluctuate widely, and lower prices for an extended period of time are likely to have a material adverse effect on our business.</w:t>
      </w:r>
    </w:p>
    <w:p>
      <w:pPr>
        <w:spacing w:after="0" w:line="1"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Conservation measures and technological advances could reduce demand for natural gas and oil.</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 perception regarding us or our industry could have an adverse effect on our operations.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gas and oil exploration and production industry is very competitive; some of our competitors have greater financial and other resources than we do, and there is competition to attract and retain talent and competition over access to certain industry equipment.</w:t>
      </w:r>
    </w:p>
    <w:p>
      <w:pPr>
        <w:spacing w:after="0" w:line="1"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related to potential acquisitions or dispositions may adversely affect our business.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2"/>
        </w:numPr>
        <w:rPr>
          <w:rFonts w:ascii="Arial" w:cs="Arial" w:eastAsia="Arial" w:hAnsi="Arial"/>
          <w:sz w:val="18"/>
          <w:szCs w:val="18"/>
          <w:color w:val="auto"/>
          <w:strike w:val="1"/>
        </w:rPr>
      </w:pPr>
      <w:r>
        <w:rPr>
          <w:rFonts w:ascii="Arial" w:cs="Arial" w:eastAsia="Arial" w:hAnsi="Arial"/>
          <w:sz w:val="18"/>
          <w:szCs w:val="18"/>
          <w:color w:val="auto"/>
        </w:rPr>
        <w:t>If commodity prices fall or drilling efforts are unsuccessful, we may be required to record write-downs of the carrying value of our natural gas and oil properties.</w:t>
      </w:r>
    </w:p>
    <w:p>
      <w:pPr>
        <w:spacing w:after="0" w:line="1" w:lineRule="exact"/>
        <w:rPr>
          <w:rFonts w:ascii="Arial" w:cs="Arial" w:eastAsia="Arial" w:hAnsi="Arial"/>
          <w:sz w:val="18"/>
          <w:szCs w:val="18"/>
          <w:color w:val="auto"/>
          <w:strike w:val="1"/>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capital expenditures are required to replace our reserves and conduct our business.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not able to replace reserves, we may not be able to sustain production.</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actual quantities of and future net revenues from our proved reserves may be less than our estimates.</w:t>
      </w:r>
    </w:p>
    <w:p>
      <w:pPr>
        <w:spacing w:after="0" w:line="63"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development and exploratory drilling efforts and our well operations may not be profitable or achieve our targeted returns.</w:t>
      </w:r>
    </w:p>
    <w:p>
      <w:pPr>
        <w:spacing w:after="0" w:line="63"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undeveloped properties are subject to leases that will expire over the next several years unless production is established on units containing the acreage or the leases are renewed.</w:t>
      </w:r>
    </w:p>
    <w:p>
      <w:pPr>
        <w:spacing w:after="0" w:line="1"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8" w:lineRule="exact"/>
        <w:rPr>
          <w:rFonts w:ascii="Arial" w:cs="Arial" w:eastAsia="Arial" w:hAnsi="Arial"/>
          <w:sz w:val="18"/>
          <w:szCs w:val="18"/>
          <w:color w:val="auto"/>
        </w:rPr>
      </w:pPr>
    </w:p>
    <w:p>
      <w:pPr>
        <w:ind w:left="400" w:hanging="149"/>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gas and oil operations are uncertain and involve substantial costs and risks.</w:t>
      </w:r>
    </w:p>
    <w:p>
      <w:pPr>
        <w:spacing w:after="0" w:line="63" w:lineRule="exact"/>
        <w:rPr>
          <w:rFonts w:ascii="Arial" w:cs="Arial" w:eastAsia="Arial" w:hAnsi="Arial"/>
          <w:sz w:val="18"/>
          <w:szCs w:val="18"/>
          <w:color w:val="auto"/>
        </w:rPr>
      </w:pPr>
    </w:p>
    <w:p>
      <w:pPr>
        <w:jc w:val="both"/>
        <w:ind w:left="420" w:hanging="169"/>
        <w:spacing w:after="0" w:line="268"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produce natural gas, oil and NGLs economically and in commercial quantities could be impaired if we are unable to acquire adequate supplies of water for our operations or are unable to dispose of or recycle the water we use economically and in compliance with environmental laws.</w:t>
      </w:r>
    </w:p>
    <w:p>
      <w:pPr>
        <w:spacing w:after="0" w:line="8"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may be adversely affected by pipeline, trucking and gathering system capacity constraints and may be subject to interruptions that could adversely affect our cash flow.</w:t>
      </w:r>
    </w:p>
    <w:p>
      <w:pPr>
        <w:spacing w:after="0" w:line="1" w:lineRule="exact"/>
        <w:rPr>
          <w:rFonts w:ascii="Arial" w:cs="Arial" w:eastAsia="Arial" w:hAnsi="Arial"/>
          <w:sz w:val="18"/>
          <w:szCs w:val="18"/>
          <w:color w:val="auto"/>
        </w:rPr>
      </w:pPr>
    </w:p>
    <w:p>
      <w:pPr>
        <w:jc w:val="both"/>
        <w:ind w:left="420" w:hanging="169"/>
        <w:spacing w:after="0" w:line="257"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business strategy is increasingly focused on participating in the global LNG value chain, which is dependent, in part, on the growing U.S. LNG export market, a highly regulated and capital-intensive industry with a number of inherent commercial risks. U.S. LNG exports have helped drive domestic demand for natural gas, and, as a natural gas producer, we could be materially and adversely impacted by a deterioration in the U.S. LNG export industry, which could in turn reduce demand for natural gas. In addition, we may seek to more directly participate in the LNG value chain through direct marketing arrangements with LNG export facilities and/or end users, which could expose us to additional commercial risks associated with the global LNG markets.</w:t>
      </w:r>
    </w:p>
    <w:p>
      <w:pPr>
        <w:spacing w:after="0" w:line="20" w:lineRule="exact"/>
        <w:rPr>
          <w:rFonts w:ascii="Arial" w:cs="Arial" w:eastAsia="Arial" w:hAnsi="Arial"/>
          <w:sz w:val="18"/>
          <w:szCs w:val="18"/>
          <w:color w:val="auto"/>
        </w:rPr>
      </w:pPr>
    </w:p>
    <w:p>
      <w:pPr>
        <w:ind w:left="420" w:right="20" w:hanging="169"/>
        <w:spacing w:after="0" w:line="287" w:lineRule="auto"/>
        <w:tabs>
          <w:tab w:leader="none" w:pos="4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Regional epidemics or pandemics and related economic turmoil, including supply chain constraints, have affected, and could in the future adversely affect our business, financial condition, results of operations and cash flows.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420" w:hanging="169"/>
        <w:spacing w:after="0" w:line="268" w:lineRule="auto"/>
        <w:tabs>
          <w:tab w:leader="none" w:pos="4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49" w:lineRule="exact"/>
        <w:rPr>
          <w:rFonts w:ascii="Arial" w:cs="Arial" w:eastAsia="Arial" w:hAnsi="Arial"/>
          <w:sz w:val="18"/>
          <w:szCs w:val="18"/>
          <w:color w:val="auto"/>
        </w:rPr>
      </w:pPr>
    </w:p>
    <w:p>
      <w:pPr>
        <w:jc w:val="both"/>
        <w:ind w:left="420" w:hanging="169"/>
        <w:spacing w:after="0" w:line="242" w:lineRule="auto"/>
        <w:tabs>
          <w:tab w:leader="none" w:pos="415" w:val="left"/>
        </w:tabs>
        <w:numPr>
          <w:ilvl w:val="0"/>
          <w:numId w:val="13"/>
        </w:numPr>
        <w:rPr>
          <w:rFonts w:ascii="Times New Roman" w:cs="Times New Roman" w:eastAsia="Times New Roman" w:hAnsi="Times New Roman"/>
          <w:sz w:val="22"/>
          <w:szCs w:val="22"/>
          <w:color w:val="auto"/>
        </w:rPr>
      </w:pPr>
      <w:r>
        <w:rPr>
          <w:rFonts w:ascii="Arial" w:cs="Arial" w:eastAsia="Arial" w:hAnsi="Arial"/>
          <w:sz w:val="18"/>
          <w:szCs w:val="18"/>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29" w:lineRule="exact"/>
        <w:rPr>
          <w:rFonts w:ascii="Times New Roman" w:cs="Times New Roman" w:eastAsia="Times New Roman" w:hAnsi="Times New Roman"/>
          <w:sz w:val="22"/>
          <w:szCs w:val="22"/>
          <w:color w:val="auto"/>
        </w:rPr>
      </w:pPr>
    </w:p>
    <w:p>
      <w:pPr>
        <w:ind w:left="420" w:hanging="169"/>
        <w:spacing w:after="0" w:line="287" w:lineRule="auto"/>
        <w:tabs>
          <w:tab w:leader="none" w:pos="415" w:val="left"/>
        </w:tabs>
        <w:numPr>
          <w:ilvl w:val="0"/>
          <w:numId w:val="13"/>
        </w:numPr>
        <w:rPr>
          <w:rFonts w:ascii="Arial" w:cs="Arial" w:eastAsia="Arial" w:hAnsi="Arial"/>
          <w:sz w:val="18"/>
          <w:szCs w:val="18"/>
          <w:color w:val="auto"/>
          <w:strike w:val="1"/>
        </w:rPr>
      </w:pPr>
      <w:r>
        <w:rPr>
          <w:rFonts w:ascii="Arial" w:cs="Arial" w:eastAsia="Arial" w:hAnsi="Arial"/>
          <w:sz w:val="18"/>
          <w:szCs w:val="18"/>
          <w:color w:val="auto"/>
        </w:rPr>
        <w:t>A deterioration in general economic, political, business or industry conditions would have a material adverse effect on our results of operations, liquidity and financial condition.</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51" w:lineRule="exact"/>
        <w:rPr>
          <w:sz w:val="20"/>
          <w:szCs w:val="20"/>
          <w:color w:val="auto"/>
        </w:rPr>
      </w:pPr>
    </w:p>
    <w:p>
      <w:pPr>
        <w:ind w:left="420" w:hanging="169"/>
        <w:spacing w:after="0" w:line="281" w:lineRule="auto"/>
        <w:tabs>
          <w:tab w:leader="none" w:pos="4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significant capital needs, and our ability to access the capital and credit markets to raise capital on favorable terms is limited by industry conditions.</w:t>
      </w:r>
    </w:p>
    <w:p>
      <w:pPr>
        <w:spacing w:after="0" w:line="1" w:lineRule="exact"/>
        <w:rPr>
          <w:rFonts w:ascii="Arial" w:cs="Arial" w:eastAsia="Arial" w:hAnsi="Arial"/>
          <w:sz w:val="18"/>
          <w:szCs w:val="18"/>
          <w:color w:val="auto"/>
        </w:rPr>
      </w:pPr>
    </w:p>
    <w:p>
      <w:pPr>
        <w:ind w:left="420" w:hanging="169"/>
        <w:spacing w:after="0" w:line="287" w:lineRule="auto"/>
        <w:tabs>
          <w:tab w:leader="none" w:pos="415" w:val="left"/>
        </w:tabs>
        <w:numPr>
          <w:ilvl w:val="0"/>
          <w:numId w:val="14"/>
        </w:numPr>
        <w:rPr>
          <w:rFonts w:ascii="Arial" w:cs="Arial" w:eastAsia="Arial" w:hAnsi="Arial"/>
          <w:sz w:val="18"/>
          <w:szCs w:val="18"/>
          <w:color w:val="auto"/>
          <w:strike w:val="1"/>
        </w:rPr>
      </w:pPr>
      <w:r>
        <w:rPr>
          <w:rFonts w:ascii="Arial" w:cs="Arial" w:eastAsia="Arial" w:hAnsi="Arial"/>
          <w:sz w:val="18"/>
          <w:szCs w:val="18"/>
          <w:color w:val="auto"/>
        </w:rPr>
        <w:t>Restrictive covenants in certain of our existing and future debt instruments may limit our ability to finance our operations, fund our capital needs, respond to changing conditions and engage in other business activities that may be in our best interests.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Risks Related to the Company Following the Southwestern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36772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151" w:lineRule="exact"/>
        <w:rPr>
          <w:sz w:val="20"/>
          <w:szCs w:val="20"/>
          <w:color w:val="auto"/>
        </w:rPr>
      </w:pPr>
    </w:p>
    <w:p>
      <w:pPr>
        <w:ind w:left="420" w:hanging="169"/>
        <w:spacing w:after="0" w:line="281"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successfully integrate the business of the Company and Southwestern or realize the anticipated benefits of the Southwestern Merger may adversely affect our future results and financial condition.</w:t>
      </w:r>
    </w:p>
    <w:p>
      <w:pPr>
        <w:spacing w:after="0" w:line="1" w:lineRule="exact"/>
        <w:rPr>
          <w:rFonts w:ascii="Arial" w:cs="Arial" w:eastAsia="Arial" w:hAnsi="Arial"/>
          <w:sz w:val="18"/>
          <w:szCs w:val="18"/>
          <w:color w:val="auto"/>
        </w:rPr>
      </w:pPr>
    </w:p>
    <w:p>
      <w:pPr>
        <w:ind w:left="420" w:hanging="169"/>
        <w:spacing w:after="0" w:line="281"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common stock as a result of the Southwestern Merger may be affected by factors different from those that historically have affected our common stock.</w:t>
      </w:r>
    </w:p>
    <w:p>
      <w:pPr>
        <w:spacing w:after="0" w:line="1" w:lineRule="exact"/>
        <w:rPr>
          <w:rFonts w:ascii="Arial" w:cs="Arial" w:eastAsia="Arial" w:hAnsi="Arial"/>
          <w:sz w:val="18"/>
          <w:szCs w:val="18"/>
          <w:color w:val="auto"/>
        </w:rPr>
      </w:pPr>
    </w:p>
    <w:p>
      <w:pPr>
        <w:ind w:left="420" w:hanging="169"/>
        <w:spacing w:after="0" w:line="287" w:lineRule="auto"/>
        <w:tabs>
          <w:tab w:leader="none" w:pos="4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operating results following the Southwestern Merger will suffer if we do not effectively manage our expanded operations.</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4" w:lineRule="exact"/>
        <w:rPr>
          <w:sz w:val="20"/>
          <w:szCs w:val="20"/>
          <w:color w:val="auto"/>
        </w:rPr>
      </w:pPr>
    </w:p>
    <w:p>
      <w:pPr>
        <w:ind w:left="400" w:hanging="149"/>
        <w:spacing w:after="0"/>
        <w:tabs>
          <w:tab w:leader="none" w:pos="400"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We are subject to extensive governmental regulation, which can change and could adversely impact our business.</w:t>
      </w:r>
    </w:p>
    <w:p>
      <w:pPr>
        <w:spacing w:after="0" w:line="31" w:lineRule="exact"/>
        <w:rPr>
          <w:rFonts w:ascii="Times New Roman" w:cs="Times New Roman" w:eastAsia="Times New Roman" w:hAnsi="Times New Roman"/>
          <w:sz w:val="22"/>
          <w:szCs w:val="22"/>
          <w:color w:val="auto"/>
        </w:rPr>
      </w:pPr>
    </w:p>
    <w:p>
      <w:pPr>
        <w:ind w:left="400" w:hanging="149"/>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comply with environmental, health and safety regulations and initiatives can be significant.</w:t>
      </w:r>
    </w:p>
    <w:p>
      <w:pPr>
        <w:spacing w:after="0" w:line="103" w:lineRule="exact"/>
        <w:rPr>
          <w:rFonts w:ascii="Arial" w:cs="Arial" w:eastAsia="Arial" w:hAnsi="Arial"/>
          <w:sz w:val="18"/>
          <w:szCs w:val="18"/>
          <w:color w:val="auto"/>
        </w:rPr>
      </w:pPr>
    </w:p>
    <w:p>
      <w:pPr>
        <w:ind w:left="420" w:hanging="169"/>
        <w:spacing w:after="0" w:line="249" w:lineRule="auto"/>
        <w:tabs>
          <w:tab w:leader="none" w:pos="41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Increasing attention to ESG matters and our ability to achieve and maintain ESG certifications, goals and commitments may impact our business, financial results or stock price.</w:t>
      </w:r>
    </w:p>
    <w:p>
      <w:pPr>
        <w:spacing w:after="0" w:line="22" w:lineRule="exact"/>
        <w:rPr>
          <w:rFonts w:ascii="Times New Roman" w:cs="Times New Roman" w:eastAsia="Times New Roman" w:hAnsi="Times New Roman"/>
          <w:sz w:val="22"/>
          <w:szCs w:val="22"/>
          <w:color w:val="auto"/>
        </w:rPr>
      </w:pPr>
    </w:p>
    <w:p>
      <w:pPr>
        <w:ind w:left="400" w:hanging="149"/>
        <w:spacing w:after="0"/>
        <w:tabs>
          <w:tab w:leader="none" w:pos="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taxation of independent producers is subject to change, and changes in tax law could increase our cost of doing business</w:t>
      </w:r>
      <w:r>
        <w:rPr>
          <w:rFonts w:ascii="Times New Roman" w:cs="Times New Roman" w:eastAsia="Times New Roman" w:hAnsi="Times New Roman"/>
          <w:sz w:val="18"/>
          <w:szCs w:val="18"/>
          <w:color w:val="auto"/>
        </w:rPr>
        <w:t>.</w:t>
      </w:r>
    </w:p>
    <w:p>
      <w:pPr>
        <w:spacing w:after="0" w:line="102" w:lineRule="exact"/>
        <w:rPr>
          <w:rFonts w:ascii="Arial" w:cs="Arial" w:eastAsia="Arial" w:hAnsi="Arial"/>
          <w:sz w:val="18"/>
          <w:szCs w:val="18"/>
          <w:color w:val="auto"/>
        </w:rPr>
      </w:pPr>
    </w:p>
    <w:p>
      <w:pPr>
        <w:jc w:val="both"/>
        <w:ind w:left="420" w:hanging="169"/>
        <w:spacing w:after="0" w:line="244" w:lineRule="auto"/>
        <w:tabs>
          <w:tab w:leader="none" w:pos="415" w:val="left"/>
        </w:tabs>
        <w:numPr>
          <w:ilvl w:val="0"/>
          <w:numId w:val="16"/>
        </w:numPr>
        <w:rPr>
          <w:rFonts w:ascii="Times New Roman" w:cs="Times New Roman" w:eastAsia="Times New Roman" w:hAnsi="Times New Roman"/>
          <w:sz w:val="22"/>
          <w:szCs w:val="22"/>
          <w:color w:val="auto"/>
        </w:rPr>
      </w:pPr>
      <w:r>
        <w:rPr>
          <w:rFonts w:ascii="Arial" w:cs="Arial" w:eastAsia="Arial" w:hAnsi="Arial"/>
          <w:sz w:val="18"/>
          <w:szCs w:val="18"/>
          <w:color w:val="auto"/>
        </w:rPr>
        <w:t>The completion of the Southwestern Merger triggered an annual limitation on the utilization of our tax attributes, reducing our ability to offset future taxable income, which may result in an increase to income tax liabilities. In addition, trading in our common stock, additional issuance of common stock, and certain other stock transactions could lead to an additional, potentially more restrictive, annual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Risks Related to Operating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974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26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Natural gas, oil and NGL prices fluctuate widely, and lower prices for an extended period of time are likely to have a material adverse effect on our business.</w:t>
      </w:r>
    </w:p>
    <w:p>
      <w:pPr>
        <w:spacing w:after="0" w:line="4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revenues, results of operations, profitability, liquidity, leverage ratio and ability to grow and invest in capital expenditures depend primarily upon the prices we receive for the natural gas, oil and NGL we sell. We incur substantial expenditures to replace reserves, sustain production and fund our business plans. Low natural gas, oil and NGL prices can negatively affect the amount of cash available for capital expenditures, debt service and debt repayment and our ability to borrow money or raise additional capital and, as a result, could have a material adverse effect on our financial condition, results of operations, cash flows and reserves. In addition, periods of low natural gas and oil prices may result in a reduction of the carrying value of our natural gas and oil properties due to recognizing impairments in proved and unproved properties.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Volatility in natural gas, oil and NGL prices may result from factors that are beyond our control, including:</w:t>
      </w:r>
    </w:p>
    <w:p>
      <w:pPr>
        <w:spacing w:after="0" w:line="104" w:lineRule="exact"/>
        <w:rPr>
          <w:sz w:val="20"/>
          <w:szCs w:val="20"/>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and worldwide supplies of natural gas, oil and NGL, including U.S. inventories of natural gas and oil reserves;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03"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level of consumer and industrial demand, including impacts from global or national health events and concerns, such as the COVID-19 pandemic;</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and extent of domestic and international conservation and sustainability initiatives;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proximity and capacity of pipelines, other transportation facilities and processing facilities;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and effect of trading in commodity futures markets, including by commodity price speculators and others;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exports of natural gas, oil, liquefied natural gas and NGL;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level of foreign imports;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nature and extent of domestic and foreign governmental regulations and taxes;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the members of OPEC+ and others to agree to and maintain oil price and production controls;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use of competing energy products, including alternative energy sources;</w:t>
      </w:r>
    </w:p>
    <w:p>
      <w:pPr>
        <w:spacing w:after="0" w:line="90" w:lineRule="exact"/>
        <w:rPr>
          <w:rFonts w:ascii="Arial" w:cs="Arial" w:eastAsia="Arial" w:hAnsi="Arial"/>
          <w:sz w:val="18"/>
          <w:szCs w:val="18"/>
          <w:color w:val="auto"/>
        </w:rPr>
      </w:pPr>
    </w:p>
    <w:p>
      <w:pPr>
        <w:ind w:left="820" w:right="20" w:hanging="245"/>
        <w:spacing w:after="0" w:line="287"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instability or armed conflict in natural gas and oil producing regions, including in connection with the continued armed conflict and instability in Europe and the Middle East;</w:t>
      </w:r>
    </w:p>
    <w:p>
      <w:pPr>
        <w:spacing w:after="0" w:line="31"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acts of terrorism;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and global economic and political conditions.</w:t>
      </w:r>
    </w:p>
    <w:p>
      <w:pPr>
        <w:spacing w:after="0" w:line="17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These factors and the volatility of the energy markets make it extremely difficult to predict future natural gas, oil and NGL price movements. In addition, any prolonged period of lower prices could reduce the quantities of reserves that we may economically produce.</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natural gas and oil.</w:t>
      </w:r>
    </w:p>
    <w:p>
      <w:pPr>
        <w:spacing w:after="0" w:line="12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Fuel conservation measures, alternative fuel requirements, increasing consumer demand for alternatives to natural gas and oil, technological advances in fuel economy and energy generation devices could reduce demand for natural gas and oil. The impact of the changing demand for natural gas and oil could adversely impact our earnings, cash flows and financial position.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Negative public perception regarding us or our industry could have an adverse effect on our operations.</w:t>
      </w:r>
    </w:p>
    <w:p>
      <w:pPr>
        <w:spacing w:after="0" w:line="16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Negative public perception regarding us or our industry resulting from, among other things, concerns raised by advocacy groups about hydraulic fracturing, waste disposal, oil spills, seismic activity, climate change, explosions of natural gas transmission lines and the development and operation of pipelines and other midstream facilities may lead to new state and federal safety and environmental laws, regulations, guidelines and enforcement priorities. Additionally, environmental groups, landowners, local groups and other advocates may oppose our operations or those of our midstream transportation providers, encourage capital providers to divest of their interests in us or our industry, intervene in regulatory or administrative proceedings involving our assets or those of our midstream transportation providers, or file lawsuits or other actions designed to prevent, disrupt or delay the development or operation of our assets and business or those of our midstream transportation providers. These actions may cause operational delays or restrictions, increased operating and compliance costs, additional regulatory scrutiny and increased risk of litigation, as well as potentially reducing our ability to execute routine or strategic business partnerships. Moreover, governmental authorities exercise considerable discretion in the timing and scope of permit issuance and the public can engage in the permitting process, including through intervention in the courts. Changes in public perception could cause the permits we require to conduct our operations to be withheld, delayed or conditioned by requirements that restrict our ability to conduct our business, which could materially adversely affect our industry and our financial condition and results of operations.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Certain financial institutions, funds and other sources of capital have also elected to restrict or eliminate their investment in certain fossil fuel-related activities, which may restrict our access to capital. Even if capital providers have not generally restricted their investment in fossil fuel-related activities, they may still assess various ESG considerations in making voting and capital allocation decisions. Responding to these and other stakeholder concerns on ESG matters may require us to incur additional costs or otherwise impact our business. In addition, the enactment of climate change-related policies and initiatives across the market at the corporate level and/or investor community level may in the future result in reduced demand for our products or stimulate demand for alternative forms of energy that do not rely on combustion of fossil fuels. For more information, see our risk factor </w:t>
      </w:r>
      <w:r>
        <w:rPr>
          <w:rFonts w:ascii="Arial" w:cs="Arial" w:eastAsia="Arial" w:hAnsi="Arial"/>
          <w:sz w:val="18"/>
          <w:szCs w:val="18"/>
          <w:i w:val="1"/>
          <w:iCs w:val="1"/>
          <w:color w:val="auto"/>
        </w:rPr>
        <w:t>“Increasing attention to ESG matters and our ability to achieve and maintain ESG</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certifications, goals and commitments may impact our business, financial results or stock price.”</w:t>
      </w:r>
    </w:p>
    <w:p>
      <w:pPr>
        <w:spacing w:after="0" w:line="13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The gas and oil exploration and production industry is very competitive; some of our competitors have greater financial and other resources than we do, and there is competition to attract and retain talent and competition over access to certain industry equipment.</w:t>
      </w:r>
    </w:p>
    <w:p>
      <w:pPr>
        <w:spacing w:after="0" w:line="1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face competition in every aspect of our business, including, but not limited to, buying and selling reserves and leases, obtaining goods and services needed to operate our business and marketing natural gas, oil or NGL. Competitors include multinational oil companies, independent production companies and individual producers and operators. Some of our competitors have greater financial and other resources than we do. As a result, these competitors may be able to address industry challenges more effectively or weather industry downturns more easily than we can. We also face indirect competition from alternative energy sources, including wind, solar and electric power.</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performance depends largely on the talents and efforts of highly skilled individuals and on our ability to attract new employees and to retain and motivate our existing employees. Competition in our industry for qualified employees is intense. If we are unsuccessful in attracting and retaining skilled employees and managerial talent, our ability to compete effectively may be diminished. In addition, the sudden loss of any of our key executives, their services or our failure to appropriately plan for any expected key executive succession could materially and adversely affect our business and prospects, as we may not be able to find suitable individuals to replace them on a timely basis, if at all. We also compete for the equipment required to explore, develop and operate properties. Typically, during times of rising commodity prices, drilling and operating costs will also increase. During these periods, there is often a shortage of drilling rigs and other oilfield equipment and services, which could adversely affect our ability to execute our development plans on a timely basis and within budget.</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Risks related to potential acquisitions or dispositions may adversely affect our business.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From time to time, we evaluate acquisitions and dispositions of assets, businesses and other investments. These transactions may not result in the anticipated benefits or efficiencies. In addition, acquisitions may be financed by borrowings, requiring us to incur more debt, or by the issuance of our common stock. Any such acquisition or disposition involves risks and we cannot assure you that:</w:t>
      </w:r>
    </w:p>
    <w:p>
      <w:pPr>
        <w:spacing w:after="0" w:line="49" w:lineRule="exact"/>
        <w:rPr>
          <w:sz w:val="20"/>
          <w:szCs w:val="20"/>
          <w:color w:val="auto"/>
        </w:rPr>
      </w:pPr>
    </w:p>
    <w:p>
      <w:pPr>
        <w:ind w:left="820" w:hanging="20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acquisition will be successfully integrated into our operations and internal controls;</w:t>
      </w:r>
    </w:p>
    <w:p>
      <w:pPr>
        <w:spacing w:after="0" w:line="90" w:lineRule="exact"/>
        <w:rPr>
          <w:rFonts w:ascii="Arial" w:cs="Arial" w:eastAsia="Arial" w:hAnsi="Arial"/>
          <w:sz w:val="18"/>
          <w:szCs w:val="18"/>
          <w:color w:val="auto"/>
        </w:rPr>
      </w:pPr>
    </w:p>
    <w:p>
      <w:pPr>
        <w:ind w:left="820" w:right="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due diligence conducted prior to an acquisition will uncover situations that could result in financial or legal exposure, such as title defects and potential environmental and other liabilities;</w:t>
      </w:r>
    </w:p>
    <w:p>
      <w:pPr>
        <w:spacing w:after="0" w:line="31" w:lineRule="exact"/>
        <w:rPr>
          <w:rFonts w:ascii="Arial" w:cs="Arial" w:eastAsia="Arial" w:hAnsi="Arial"/>
          <w:sz w:val="18"/>
          <w:szCs w:val="18"/>
          <w:color w:val="auto"/>
        </w:rPr>
      </w:pPr>
    </w:p>
    <w:p>
      <w:pPr>
        <w:ind w:left="820" w:hanging="20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post-closing purchase price adjustments will be realized in our favor;</w:t>
      </w:r>
    </w:p>
    <w:p>
      <w:pPr>
        <w:spacing w:after="0" w:line="103"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assumptions about, among other things, reserves, estimated production, revenues, capital expenditures, operating expenses and costs will be accurate;</w:t>
      </w:r>
    </w:p>
    <w:p>
      <w:pPr>
        <w:spacing w:after="0" w:line="17"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there will not be delays in closing, lower than expected sales proceeds for the disposed assets or business, residual liabilities or post-closing claims for indemnification;</w:t>
      </w:r>
    </w:p>
    <w:p>
      <w:pPr>
        <w:spacing w:after="0" w:line="31" w:lineRule="exact"/>
        <w:rPr>
          <w:rFonts w:ascii="Arial" w:cs="Arial" w:eastAsia="Arial" w:hAnsi="Arial"/>
          <w:sz w:val="18"/>
          <w:szCs w:val="18"/>
          <w:color w:val="auto"/>
        </w:rPr>
      </w:pPr>
    </w:p>
    <w:p>
      <w:pPr>
        <w:ind w:left="820" w:hanging="20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divert management resources from the operation of our business; and</w:t>
      </w:r>
    </w:p>
    <w:p>
      <w:pPr>
        <w:spacing w:after="0" w:line="103" w:lineRule="exact"/>
        <w:rPr>
          <w:rFonts w:ascii="Arial" w:cs="Arial" w:eastAsia="Arial" w:hAnsi="Arial"/>
          <w:sz w:val="18"/>
          <w:szCs w:val="18"/>
          <w:color w:val="auto"/>
        </w:rPr>
      </w:pPr>
    </w:p>
    <w:p>
      <w:pPr>
        <w:ind w:left="820" w:hanging="205"/>
        <w:spacing w:after="0" w:line="28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investment, acquisition or disposition will not have a material adverse effect on our financial condition, results of operations, cash flows or reserves.</w:t>
      </w:r>
    </w:p>
    <w:p>
      <w:pPr>
        <w:spacing w:after="0" w:line="1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If any of these risks materialize, the benefits of such acquisition or disposition may not be fully realized, if at all, and our financial condition, results of operations, cash flows and reserves could be negatively impacted.</w:t>
      </w:r>
    </w:p>
    <w:p>
      <w:pPr>
        <w:spacing w:after="0" w:line="10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If commodity prices fall or drilling efforts are unsuccessful, we may be required to record write-downs of the carrying value of our natural gas and oil properties.</w:t>
      </w:r>
    </w:p>
    <w:p>
      <w:pPr>
        <w:spacing w:after="0" w:line="8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been required to write down the carrying value of certain of our natural gas and oil properties in the past, and there is a risk that we will be required to take additional write-downs in the future. Write-downs may occur in the future when natural gas and oil prices are low for sustained periods, or if we have downward adjustments to our estimated proved reserves, increases in our estimates of operating or development costs or due to the anticipated sale of properties.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successful efforts method of accounting requires that we periodically review the carrying value of our natural gas and oil properties for possible impairment. Impairment is recognized for the excess of book value over fair value when the book value of a proven property is greater than the expected undiscounted future net cash flows from that property and on acreage when conditions indicate the carrying value is not recoverable. We may be required to write-down the carrying value of a property based on natural gas and oil prices at the time of the impairment review, or as a result of continuing evaluation of drilling results, production data, economics, divestiture activity and other factors. A write-down constitutes a non-cash charge to earnings and does not impact cash or cash flows from operating activities; however, it reflects our long-term ability to recover an investment, reduces our reported earnings and increases certain leverage ratios. See </w:t>
      </w:r>
      <w:r>
        <w:rPr>
          <w:rFonts w:ascii="Arial" w:cs="Arial" w:eastAsia="Arial" w:hAnsi="Arial"/>
          <w:sz w:val="18"/>
          <w:szCs w:val="18"/>
          <w:i w:val="1"/>
          <w:iCs w:val="1"/>
          <w:color w:val="auto"/>
        </w:rPr>
        <w:t>Impairments</w:t>
      </w:r>
      <w:r>
        <w:rPr>
          <w:rFonts w:ascii="Arial" w:cs="Arial" w:eastAsia="Arial" w:hAnsi="Arial"/>
          <w:sz w:val="18"/>
          <w:szCs w:val="18"/>
          <w:color w:val="auto"/>
        </w:rPr>
        <w:t xml:space="preserve"> within Critical Accounting Estimates included in Item 7 of this report for further information.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Significant capital expenditures are required to replace our reserves and conduct our business.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exploration, development and acquisition activities require substantial capital expenditures. We intend to fund our capital expenditures through cash flows from operations, and to the extent that is not sufficient, borrowings under our revolving credit facility. Our ability to generate operating cash flow is subject to a number of risks and variables, such as the level of production from existing wells, prices of natural gas, oil and NGLs, our success in developing and producing new reserves and the other risk factors discussed herein. Our forecasted 2025 capital expenditures, inclusive of capitalized interest, are $ 2.9 - $3.1 billion compared to our 2024 capital spending level of $1.53 billion. Management continues to review operational plans for 2025 and beyond, which could result in changes to projected capital expenditures and projected revenues from sales of natural gas, oil and NGLs. If we are unable to fund our capital expenditures as planned, we could experience a curtailment of our exploration and development activity, a loss of properties and a decline in our natural gas, oil and NGL reserves.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are not able to replace reserves, we may not be able to sustain production.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future success depends largely upon our ability to find, develop or acquire additional natural gas and oil reserves that are economically recoverable. Unless we replace the reserves we produce through successful development, exploration or acquisition activities, our proved reserves and production will decline over time. Thus, our future natural gas and oil reserves and production, and therefore our cash flows and income, are highly dependent on our success in efficiently developing our current reserves and economically finding or acquiring additional recoverable reserves.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actual quantities of and future net revenues from our proved reserves may be less than our estimates.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estimates of our proved reserves and the estimated future net revenues from our proved reserves included in this report are based upon various assumptions, including assumptions required by the SEC relating to natural gas, oil and NGL prices, drilling and operating expenses, capital expenditures, taxes and availability of funds. The process of estimating natural gas, oil and NGL reserves is complex and involves significant decisions and assumptions associated with geological, geophysical, engineering and economic data for each well. Therefore, these estimates are subject to future revisions.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Actual future production, natural gas, oil and NGL prices, revenues, taxes, development expenditures, operating expenses and quantities of recoverable natural gas, oil and NGL reserves most likely will vary from these estimates. Such variations may be significant and could materially affect the estimated quantities and present value of our proved reserves. In addition, we may adjust estimates of proved reserves to reflect production history, results of exploration and development drilling, prevailing natural gas and oil prices and other factors, many of which are beyond our control.</w:t>
      </w:r>
    </w:p>
    <w:p>
      <w:pPr>
        <w:spacing w:after="0" w:line="1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December 31, 2024, approximately 18% of our estimated proved reserves (by volume) were undeveloped. These reserve estimates reflect our plans for capital expenditures to convert PUDs into proved developed reserves, including approximately $1.8 billion during the next five years. You should be aware that the estimated development costs may not equal our actual costs, development may not occur as scheduled and results may not be as estimated. If we choose not to develop our PUDs, or if we are not otherwise able to successfully develop them, we will be required to remove them from our reported proved reserves. In addition, under the SEC’s reserve reporting rules, because PUDs generally may be booked only if they relate to wells scheduled to be drilled within five years of the date of booking, we may be required to remove any PUDs that are not developed within this five-year time frame.</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You should not assume that the present values included in this report represent the current market value of our estimated reserves. In accordance with SEC requirements, the estimates of our present values are based on prices and costs as of the date of the estimates. The price on the date of estimate is calculated as the average natural gas and oil price during the 12 months ending in the current reporting period, determined as the unweighted arithmetic average of prices on the first day of each month within the 12-month period. The December 31, 2024 present value is based on the price of $ 2.13 per Mcf of natural gas, $75.48 per bbl of oil and $75.48 per bbl of NGL, before basis differential adjustments. Actual future prices and costs may be materially higher or lower than the prices and costs as of the date of an estimate.</w:t>
      </w:r>
    </w:p>
    <w:p>
      <w:pPr>
        <w:spacing w:after="0" w:line="1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timing of both the production and the expenses from the development and production of natural gas and oil properties will affect both the timing of future net cash flows from our proved reserves and their present value. Any changes in demand for natural gas and oil, governmental regulations or taxation will also affect the future net cash flows from our production. In addition, the 10% discount factor that is required by the SEC to be used in calculating discounted future net cash flows for reporting purposes is not necessarily the most appropriate discount factor. Interest rates in effect from time to time and the risks associated with our business or the gas and oil industry in general will affect the appropriateness of the 10% discount factor.</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have a substantial inventory of undeveloped properties. Development and exploratory drilling and production activities are subject to many risks, including the risk that commercially productive reservoirs will not be discovered. We have acquired undeveloped properties that we believe will enhance our growth potential and increase our earnings over time. However, we cannot assure you that all prospects will be economically viable or that we will not abandon our initial investments. Additionally, there can be no assurance that undeveloped properties acquired by us will be profitably developed, that new wells drilled by us in prospects that we pursue will be productive, or that we will recover all or any portion of our investment in such undeveloped properties or wells.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Drilling for natural gas and oil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and completion operations may be curtailed, delayed or canceled as a result of unexpected drilling conditions, title problems, equipment failures or accidents, shortages of midstream transportation, equipment or personnel, environmental issues, state or local bans or moratoriums on hydraulic fracturing and produced water disposal, federal restrictions on gas and oil leasing and permitting and a decline in commodity prices, among others. The profitability of wells, particularly in certain of the areas in which we operate, will be reduced or eliminated if commodity prices decline. In addition, wells that are profitable may not meet our internal return targets, which are dependent upon the current and future market prices for natural gas, oil and NGLs, costs associated with producing natural gas, oil and NGLs and our ability to add reserves at an acceptable cost.</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rely to a significant extent on seismic data and other technologies in evaluating undeveloped properties and in conducting our exploration activities. The seismic data and other technologies we use do not allow us to know conclusively, prior to acquisition of undeveloped properties or drilling a well, whether natural gas or oil is present or may be produced economically. If we incur significant expense in acquiring or developing properties that do not produce as expected or at profitable levels, it could have a material adverse effect on our results of operations and financial condition.</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Certain of our undeveloped properties are subject to leases that will expire over the next several years unless production is established on units containing the acreage or the leases are renewed.</w:t>
      </w:r>
    </w:p>
    <w:p>
      <w:pPr>
        <w:spacing w:after="0" w:line="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Leases on natural gas and oil properties typically have a term of three to five years, after which they expire unless, prior to expiration, a well is drilled and production of hydrocarbons in paying quantities is established. If our leases on our undeveloped properties expire and we are unable to renew the leases, we will lose our right to develop the related properties. Although we seek to actively manage our undeveloped properties, our drilling plans for these areas are subject to change based upon various factors, including drilling results, natural gas and oil prices, the availability and cost of capital, drilling and production costs, availability of drilling services and equipment, gathering system and pipeline transportation constraints and regulatory approvals. Low commodity prices may cause us to delay our drilling plans and, as a result, lose our right to develop the related properties.</w:t>
      </w:r>
    </w:p>
    <w:p>
      <w:pPr>
        <w:spacing w:after="0" w:line="10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commodity price risk management activities may limit the benefit we would receive from increases in commodity prices, may require us to provide collateral for derivative liabilities and involve risk that our counterparties may be unable to satisfy their obligations to us.</w:t>
      </w:r>
    </w:p>
    <w:p>
      <w:pPr>
        <w:spacing w:after="0" w:line="1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To manage our exposure to price volatility, we enter into natural gas, oil and NGL price derivative contracts. Our natural gas, oil and NGL derivative arrangements may limit the benefit we would receive from increases in commodity prices. The fair value of our natural gas, oil and NGL derivative instruments can fluctuate significantly between periods. Our decision to mitigate cash flow volatility through derivative arrangements, if any, is based in part on our view of current and future market conditions and our desire to stabilize cash flows necessary for the development of our proved reserves. We may choose not to enter into derivatives if we believe the pricing environment for certain time periods is unfavorable. Additionally, we may choose to liquidate existing derivative positions prior to the expiration of their contractual maturities to monetize gain positions for the purpose of funding our capital program.</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Most of our natural gas, oil and NGL derivative contracts are with counterparties under bilateral hedging arrangements. Our counterparties’ obligations under the arrangements must be secured by cash or letters of credit to the extent that any mark-to-market amounts owed to us exceed defined thresholds. Collateral requirements are dependent to a large extent on natural gas and oil prices.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Natural gas, oil and NGL derivative transactions expose us to the risk that our counterparties, which are generally financial institutions, may be unable to satisfy their obligations to us. During periods of declining commodity prices, the value of our commodity derivative asset positions increase, which increases our counterparty exposure. Although the counterparties to our hedging arrangements are required to secure their obligations to us under certain scenarios, if any of our counterparties were to default on their obligations to us under the derivative contracts or seek bankruptcy protection, it could have an adverse effect on our ability to fund our planned activities and could result in a larger percentage of our future cash flows being exposed to commodity price changes.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Natural gas and oil operations are uncertain and involve substantial costs and risks.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operating activities are subject to numerous costs and risks, including the risk that we will not encounter commercially productive gas or oil reservoirs. Drilling for natural gas, oil and NGL can be unprofitable, not only from dry holes, but from productive wells that do not return a profit because of insufficient revenue from production or high costs. Substantial costs are required to locate, acquire and develop gas and oil properties, and we are often uncertain as to the amount and timing of those costs. Our cost of drilling, completing, equipping and operating wells is often uncertain before drilling commences. Declines in commodity prices and overruns in budgeted expenditures are common risks that can make a particular project uneconomic or less economic than forecasted. Although both exploratory and developmental drilling activities involve these risks, exploratory drilling involves greater risks of dry holes or failure to find commercial quantities of hydrocarbons. In addition, our gas and oil properties can become damaged, our operations may be curtailed, delayed or canceled and the costs of such operations may increase as a result of a variety of factors, including, but not limited to:</w:t>
      </w:r>
    </w:p>
    <w:p>
      <w:pPr>
        <w:spacing w:after="0" w:line="59" w:lineRule="exact"/>
        <w:rPr>
          <w:sz w:val="20"/>
          <w:szCs w:val="20"/>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drilling conditions, pressure conditions or irregularities in reservoir formations;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failures or accidents;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fires, explosions, blowouts, cratering or loss of well control;</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mishandling or underground migration of fluids and chemicals;</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weather conditions and natural disasters, such as tornadoes, earthquakes, hurricanes and extreme temperatures;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issues with title or in receiving governmental permits or approvals;</w:t>
      </w:r>
    </w:p>
    <w:p>
      <w:pPr>
        <w:spacing w:after="0" w:line="103" w:lineRule="exact"/>
        <w:rPr>
          <w:rFonts w:ascii="Arial" w:cs="Arial" w:eastAsia="Arial" w:hAnsi="Arial"/>
          <w:sz w:val="18"/>
          <w:szCs w:val="18"/>
          <w:color w:val="auto"/>
        </w:rPr>
      </w:pPr>
    </w:p>
    <w:p>
      <w:pPr>
        <w:ind w:left="820" w:hanging="245"/>
        <w:spacing w:after="0" w:line="287"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restricted takeaway capacity for our production, including due to inadequate midstream infrastructure or constrained downstream markets;</w:t>
      </w:r>
    </w:p>
    <w:p>
      <w:pPr>
        <w:spacing w:after="0" w:line="17"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hazards or liabilities;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in access to, or disposal of, water used or produced in drilling and completion operations;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or delays in the availability of services or delivery of equipment; and</w:t>
      </w:r>
    </w:p>
    <w:p>
      <w:pPr>
        <w:spacing w:after="0" w:line="90"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or unforeseen changes in regulatory policy, and political or public opinion.</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occurrence of one or more of these factors could result in a partial or total loss of our investment in a particular property, as well as significant liabilities. Although we may maintain insurance against some, but not all, of the risks described above, our insurance may not be adequate to cover casualty losses or liabilities, and our insurance does not cover penalties or fines that may be assessed by a governmental authority. For certain risks, such as political risk, business interruption, war, terrorism and piracy, we have limited or no insurance coverage. Also, in the future we may not be able to obtain insurance at premium levels that justify its purchase. The occurrence of a significant event against which we are not fully insured may expose us to liabilities.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Moreover, certain of these events could result in environmental contamination and impact to third parties, including persons living in proximity to our operations, our employees and employees of our contractors, leading to possible injuries, death, significant damage to property and natural resources or significant financial liabilities or penalties.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Our ability to produce natural gas, oil and NGL economically and in commercial quantities could be impaired if we are unable to acquire adequate supplies of water for our operations or are unable to dispose of or recycle the water we use economically and in compliance with environmental laws.</w:t>
      </w:r>
    </w:p>
    <w:p>
      <w:pPr>
        <w:spacing w:after="0" w:line="1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Water is an essential component of natural gas, oil and NGL production during both the drilling and hydraulic fracturing processes. Development activities, particularly hydraulic fracturing, require the use and disposal of significant quantities of water. Over the past several years, portions of the country have experienced extreme drought conditions. As a result of this severe drought, some local water districts have begun restricting the use of water subject to their jurisdiction for hydraulic fracturing to protect local water supply. In certain areas, there may be insufficient local aquifer capacity to provide a source of water for drilling activities. In these areas, water must be obtained from other sources and transported to the drilling site. Our inability to secure sufficient amounts of water, or to dispose of or recycle the water used in our operations, could adversely impact our operations in certain areas. The imposition of new or revised environmental regulations could further restrict our ability to conduct certain operations such as hydraulic fracturing or disposal of waste, including, but not limited to, produced water, drilling fluids and other materials associated with the exploration, development or production of natural gas and oil.</w:t>
      </w:r>
    </w:p>
    <w:p>
      <w:pPr>
        <w:spacing w:after="0" w:line="210"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We have made significant investments in oilfield service businesses, including our drilling rigs, water infrastructure and pressure pumping equipment, to lower costs and secure inputs for our operations and transportation for our production. If our development and production activities are curtailed or disrupted, we may not recover our investment in these activities, which could adversely impact our results of operations. In addition, our continued expansion of these operations may adversely impact our relationships with third-party providers.</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also have made investments to meet certain of our field services’ needs. If our level of operations is reduced for a long period, we may not be able to recover these investments. Further, our presence in these service and supply sectors, including competing with them for qualified personnel and supplies, may have an adverse effect on our relationships with our existing third-party service and resource providers or our ability to secure these services and resources from other providers.</w:t>
      </w:r>
    </w:p>
    <w:p>
      <w:pPr>
        <w:spacing w:after="0" w:line="12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operations may be adversely affected by pipeline, trucking and gathering system capacity constraints and may be subject to interruptions that could adversely affect our cash flow.</w:t>
      </w:r>
    </w:p>
    <w:p>
      <w:pPr>
        <w:spacing w:after="0" w:line="8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certain resource plays, the capacity of gathering and transportation systems is insufficient to accommodate potential production from existing and new wells. We rely heavily on third parties to meet our natural gas, oil and NGL gathering needs. Capital constraints or changes in laws or regulations could limit the construction of new pipelines and gathering systems and the provision or expansion of trucking services by third parties. Until this new capacity is available, we may experience delays in producing and selling our natural gas, oil and NGL. In such event, we might have to shut in our wells while awaiting a pipeline connection or additional capacity, which would adversely affect our results of operations. Capital constraints or changes in laws or regulations also could increase the cost to access to such capacity, which would increase the cost of our operations.</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 portion of our natural gas, oil and NGL production in any region may be interrupted, or shut in, from time to time for numerous reasons, including weather conditions, accidents, loss of pipeline or gathering system access, field labor issues or strikes, or we might voluntarily curtail production in response to market conditions. If a substantial amount of our production is interrupted at the same time, it could materially adversely affect our cash flow.</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Our business strategy is increasingly focused on participating in the global LNG value chain, which is dependent, in part, on the growing U.S. LNG export market, a highly regulated and capital intensive industry with a number of inherent commercial risks. U.S. LNG exports have helped drive domestic demand for natural gas, and, as a natural gas producer, we could be materially and adversely impacted by a deterioration in the U.S. LNG export industry, which could in turn reduce demand for natural gas. In addition, we may seek to more directly participate in the LNG value chain through direct marketing arrangements with LNG export facilities and/or end users, which could expose us to additional commercial risks associated with the global LNG markets.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a domestic natural gas exploration and production company, we may be indirectly exposed to certain risks in the U.S. LNG export markets, including to the extent that we have entered into, or may in the future enter into,</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natural gas supply agreements with LNG export facilities. The LNG export industry is a highly regulated and capital-intensive industry that is subject to a number of risks. Many facilities remain under construction or are expanding, and if these facilities are unable to obtain and maintain approvals and permits from governmental and regulatory agencies with respect to the design, construction and operation of their facilities, or if they are unable to secure financing in connection with their operations or the completion of their planned projects, the U.S. LNG market may be materially and adversely impacted, which could reduce demand for U.S. natural gas and have a material adverse effect on our business, contracts, financial condition, operating results, cash flow, liquidity and prospects.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also in the future enter into other commercial arrangements directly with foreign LNG customers. LNG sale and purchase agreements commonly have terms exceeding 10 years, which could expose us to credit risk should a customer default and we are required to seek recourse. Additionally, long-term LNG sales and purchase agreements generally permit a customer to terminate their contractual obligations upon the occurrence of certain events, including: (i) a failure to make available specified scheduled cargo quantities, (ii) delays in the commencement of commercial operations and (iii) the occurrence of certain events of force majeure. The occurrence of these and other events permitting termination may be outside of our control and may expose us to unrecoverable losses.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 any future commercial agreement may expose us to commodity risks associated with differential pricing of natural gas in different markets. LNG and natural gas are traded according to prices determined with reference to a variety of international indices, including the Japan Korea Marker (JKM) and the Dutch TTF market, each of which may materially differ from prices that use the U.S. Henry Hub index as a reference price. If we are unable to manage the impacts of unfavorable price differentials between domestic and international indices for LNG or natural gas in the context of future agreements, this could have a material adverse effect on our business, contracts, financial condition, operating results, cash flow, liquidity and prospects.</w:t>
      </w:r>
    </w:p>
    <w:p>
      <w:pPr>
        <w:spacing w:after="0" w:line="130"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Regional epidemics or pandemics and related economic turmoil, including supply chain constraints, have affected, and could in the future adversely affect our business, financial condition, results of operations and cash flows.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COVID-19 pandemic adversely impacted the entire global economy, including creating supply chain constraints, and any future regional epidemics or global pandemics and governmental and other measures implemented to try to address them, such as quarantines, shelter-in-place orders, business and government shutdowns and restrictions on operations, could adversely affect our business, financial condition, results of operations and cash flows. Actions by our customers and derivative contract counterparties in response to such events and their economic impacts, including potential non-performance or delays, could also have an adverse impact on our business.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Cyber-attacks targeting systems and infrastructure used by the gas and oil industry and related regulations may adversely impact our operations and, if we or our third-party providers are unable to obtain and maintain adequate protection for our key systems and data, our business may be harmed.</w:t>
      </w:r>
    </w:p>
    <w:p>
      <w:pPr>
        <w:spacing w:after="0" w:line="10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Cybersecurity threats present a large and growing risk to our business, as the energy industry has become increasingly dependent on digital technologies to conduct day-to-day operations, including certain exploration, development and production activities. For example, we depend on sophisticated information technology (“IT”) and operational technology (“OT”) to estimate quantities of natural gas, oil and NGL reserves, process and record financial and operating data, analyze seismic and drilling information, and communicate with our customers, employees and third-party partners. In addition, many third-party providers directly or indirectly provide us products and services across an array of internal and external functions that enable us to conduct, monitor and/or protect our business, systems and data assets. In addition, in the ordinary course of business, we and our service providers collect, process, transmit, and store proprietary and confidential data, including personal information.</w:t>
      </w:r>
    </w:p>
    <w:p>
      <w:pPr>
        <w:spacing w:after="0" w:line="2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been, and we and our customers, business partners, and counterparties may become, the subject of cyber-attacks on our and their internal IT and OT systems and through those of third parties. Any such cyber-attacks or information security breach could have a material adverse effect on our revenues and increase our operating and capital costs, as well as disrupt our business plans and negatively impact our reputation and operations. As an energy company, we expect to continue to be a target for such attacks in the future from nation-state sponsored foreign actors and other attackers. We face evolving cybersecurity risks that threaten the confidentiality, integrity</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 availability of our digital technologies and business data, including malicious attacks by third parties or insiders, social engineering/phishing and human error, as well as bugs, misconfigurations of hardware or software and other vulnerabilities that may exist in our or our third-party providers’ systems or technologies. Unauthorized access to our seismic data, reserves information, customer or employee data or other proprietary or commercially sensitive information could lead to data corruption, communication interruption, or other disruptions in our exploration or production operations or planned business transactions, any of which could have a material adverse impact on our results of operations. If our information technology systems cease to function properly or our cybersecurity is breached or otherwise insufficient, we could suffer disruptions to our normal operations, which may include disruptions to our drilling, completion, production and corporate functions. There can also be no assurance that our cybersecurity risk management program and processes, including our policies, controls or procedures, will be fully implemented, complied with or effective in protecting our systems and data. A cyber-attack, or the perception thereof, involving our information systems and related infrastructure, or that of our business associates or third-party providers, could result in supply chain disruptions that delay or prevent the transportation and marketing of our production, non-compliance leading to regulatory fines or penalties, loss or disclosure of, damage to, our or any of our customer’s or supplier’s data or confidential information that could harm our business by damaging our reputation, subjecting us to potential financial or legal liability and requiring us to incur significant costs, including expensive and time-consuming costs to repair or restore our systems and data or to take other remedial steps, disproportionate attention of management, or damage to our reputation. Additionally, rapidly evolving laws and regulations governing cybersecurity pose increasingly complex compliance obligations and technical challenges, and failure to comply with these obligations, including incident notification requirements, could result in legal claims or proceedings (such as class actions), regulatory investigations and enforcement actions, fines and penalties and negative reputational impacts that could cause us to lose existing or future customers.</w:t>
      </w:r>
    </w:p>
    <w:p>
      <w:pPr>
        <w:spacing w:after="0" w:line="21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event of a cyber-attack, we may be required by federal and state laws or regulations to provide notification to regulators or individuals. For example, the Cyber Incident Reporting for Critical Infrastructure Act (CIRCIA) was signed into law on March 15, 2022. CIRCIA mandates that all owners and operators of critical infrastructure report cyber incidents to the U.S. Department of Homeland Security’s Cybersecurity and Infrastructure Security Agency (CISA) within 72 hours and ransomware payments within 24 hours. These new requirements will become effective once CISA promulgates rules pursuant to the CIRCIA. CISA issued a notice of proposed rulemaking on April 4, 2024 and is required to issue a final rule within 18 months of issuing the proposed rule.</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Both the frequency and magnitude of cyberattacks is expected to increase as attackers are becoming more sophisticated. As a result, we may be unable to anticipate, detect, prevent, investigate or contain future attacks, particularly as the methodologies utilized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 Further, global remote working dynamics for our customers, employees and third-party providers present additional risk that threat actors may seek to engage in social engineering (for example, phishing) and to exploit vulnerabilities in corporate and non-corporate networks. As cyber-attacks continue to evolve, including the prevalence of reconnaissance or surveillance by threat actors, which may remain undetected for an extended period notwithstanding our monitoring and detection efforts, we may be required to spend significant additional resources to modify or enhance our protective measures or to investigate and remediate any vulnerabilities to cyber-attacks of our IT and OT systems.</w:t>
      </w:r>
    </w:p>
    <w:p>
      <w:pPr>
        <w:spacing w:after="0" w:line="12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Any losses, costs or liabilities directly or indirectly related to cyberattacks or similar incidents may not be covered by, or may exceed the coverage limits of, any or all of our insurance policies.</w:t>
      </w:r>
    </w:p>
    <w:p>
      <w:pPr>
        <w:spacing w:after="0" w:line="18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8"/>
          <w:szCs w:val="18"/>
          <w:b w:val="1"/>
          <w:bCs w:val="1"/>
          <w:i w:val="1"/>
          <w:iCs w:val="1"/>
          <w:color w:val="auto"/>
        </w:rPr>
        <w:t>We collect, process, store and use personal information and other data, and our actual or perceived failure to protect such information and data or comply with data privacy and security laws and regulations could damage our reputation and brand and harm our business and operating results.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Along with our own data and information that we collect and retain in the normal course of our business, we and our business partners collect and retain significant volumes of certain other types of data, some of which are subject to data protection laws, including information related to our past, current and prospective employees, royalty owners, and other parties. The regulatory environment surrounding the collection, use, transfer and protection of such data, both domestically and internationally, is becoming increasingly complex, constantly evolving, and is subject to frequent significant change. We and our vendors are subject to a variety of federal and state data privacy</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laws, rules, regulations, industry standards and other requirements governing data privacy and the unauthorized disclosure of confidential information. Complying with these jurisdictional requirements could increase the costs and complexity of compliance procedures, and any failure to comply with these laws and regulations could result in significant penalties and legal liability. For example, we are subject to various state privacy laws, such as the California Consumer Privacy Act (“CCPA”), which came into effect in January 2020, and the California Privacy Rights Act (“CPRA”), which expands upon the CCPA and came into effect in January 2023 (with a lookback period beginning January 2022). The CCPA and the CPRA, among other things, contain new disclosure obligations for businesses that collect personal information about California residents, provide such individuals expanded rights to access, delete and correct their personal information and opt-out of certain sales or transfers of personal information and provide for statutory fines and penalties for certain data security breaches or other CCPA and CPRA violations. The enactment of the CCPA has prompted a wave of similar legislative developments in other states in the United States, which creates the potential for a patchwork of overlapping but different state laws. Any failure or perceived failure by us to comply with data privacy laws, rules, regulations, industry standards and other requirements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business. Further, any such proceedings and any subsequent adverse outcomes may subject us to significant negative publicity and an erosion of trust. If any of these events were to occur, our business, reputation, financial condition or results of operations could be materially adversely affected.</w:t>
      </w:r>
    </w:p>
    <w:p>
      <w:pPr>
        <w:spacing w:after="0" w:line="1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business is subject to risks related to catastrophes, natural disasters, severe weather and human causes beyond our control, which may have a negative impact on our results of operations and financial condition.</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operations are subject to disruption from human causes beyond our control and natural disasters, including extreme weather events the scientific community has concluded are associated with climate change, such as hurricanes, severe storms, floods, droughts, heat waves, winter storms, wildfires and ambient temperature, water level or precipitation changes as well as war, accidents, civil unrest, political events, earthquakes, system failures, cyber threats, terrorist acts and epidemic or pandemic diseases, any of which could result in suspension of operations (including those of our customers or suppliers) or harm to people, our assets or the environment.</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It is difficult to predict with certainty the timing, frequency or severity of such events or how such frequency or severity may change. However, if any such events were to occur, potential adverse effects could include disruption of our production activities, delays in production or possibly shut-ins as a result of physical damage to wells, pumps, storage tanks and other infrastructure facilities, increases in our costs of operation or reductions in the efficiency of our operations, reduced availability of electrical power, road accessibility, and transportation facilities, impacts on our personnel, supply chain, distribution chain or customers, and potentially increased costs or limited availability for insurance coverages in the aftermath of such effects. Such events could also adversely affect or delay demand for our products or cause us to incur significant costs in preparing for, or responding to, the effects of climatic or weather events themselves. Any such events could have a material adverse effect on our results of operations or financial condition. Moreover, any changes in ambient temperatures or severe weather events may impact demand for natural gas if it results in lower energy needs for, among other things, temperature control.</w:t>
      </w:r>
    </w:p>
    <w:p>
      <w:pPr>
        <w:spacing w:after="0" w:line="20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headquarters are located in Oklahoma City, Oklahoma, an area that experiences earthquakes and severe weather events, including tornadoes. Our information systems and administrative and management processes are primarily provided to our various drilling projects and producing wells throughout the United States from this location, which could be disrupted if a catastrophic event destroyed or severely damaged our headquarters. Any such catastrophic event could harm our ability to conduct normal operations and could adversely affect our business.</w:t>
      </w:r>
    </w:p>
    <w:p>
      <w:pPr>
        <w:spacing w:after="0" w:line="127"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A deterioration in general economic, political, business or industry conditions would have a material adverse effect on our results of operations, liquidity and financial condition.</w:t>
      </w:r>
    </w:p>
    <w:p>
      <w:pPr>
        <w:spacing w:after="0" w:line="16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Historically, concerns about global economic growth and international political stability have had a significant impact on global financial markets and commodity prices, including petroleum products. If the economic or political climate in the United States or abroad deteriorates, worldwide demand for petroleum products could diminish, which could impact the price at which we can sell our production, affect the ability of our vendors, suppliers and customers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continue operations and materially adversely impact our results of operations, liquidity and financial condition. The global market is also continuing to experience inflationary pressure, including rising fuel costs, a tightening steel market and labor and supply chain shortages, which could result in increases to our operating and capital costs that are not fixed. Additionally, while concerns over energy security have, in some situations, seen increased demand for natural gas, sustained concerns over energy security may result in an accelerated adoption of renewable energy and other alternative energy generation or storage, or energy efficiency, technologies. Any such accelerated adoption of alternative energy sources or energy efficiency improvements may decrease demand for our products or otherwise adversely impact our financial condition or results of operations.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unable to dispose of assets on attractive terms, and may be required to retain liabilities for certain matters.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Various factors could materially affect our ability to dispose of assets if and when we decide to do so, including the availability of purchasers willing to purchase the assets at prices acceptable to us, particularly in times of reduced and volatile commodity prices. Sellers typically retain liabilities for certain matters. The magnitude of any such retained liability or indemnification obligation may be difficult to quantify at the time of the transaction and ultimately may be material. Also, as is typical in divestiture transactions, third parties may be unwilling to release us from guarantees or other credit support provided prior to the sale of the divested assets. As a result, after a sale, we may remain secondarily liable for the obligations guaranteed or supported to the extent that the buyer of the assets fails to perform these obligations.</w:t>
      </w:r>
    </w:p>
    <w:p>
      <w:pPr>
        <w:spacing w:after="0" w:line="13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Military and other armed conflicts, including terrorist activities, and related price volatility and geopolitical instability could materially and adversely affect our business and results of operations.</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Military and other armed conflicts, terrorist attacks and the threat of both, whether domestic or foreign, could cause further instability in the global financial and energy markets. Continued instability in Europe and the Middle East and the occurrence or threat of terrorist attacks in the United States or other countries could adversely affect the global economy in unpredictable ways, including the disruption of energy supplies and markets, increased volatility in commodity prices, including petroleum products, or the possibility that the infrastructure on which we rely could be a direct target or an indirect casualty of an act of terrorism, and, in turn, could materially and adversely affect our business and results of operations.</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example, in late February 2022, Russia launched a military invasion against Ukraine. Sustained conflict and disruption in the region are likely in the near term, and the longer-term duration of the war is uncertain. The Russian invasion has caused, and could intensify, volatility in natural gas, oil and NGL prices, driving a sharp upward spike in the short term, and may have an impact on global growth prospects, which could in turn affect demand for natural gas and oil. In addition, any exacerbation or spillover of the current armed conflict between Israel and Hamas into the broader region could produce similar impacts. Any such volatility, impacts on demand and disruptions may also magnify the impact of other risk factors described in this report.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Financial Risks Related to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22542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26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We have significant capital needs, and our ability to access the capital and credit markets to raise capital on favorable terms is limited by industry conditions.</w:t>
      </w:r>
    </w:p>
    <w:p>
      <w:pPr>
        <w:spacing w:after="0" w:line="8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Disruptions in the capital and credit markets, in particular with respect to the energy sector, could limit our ability to access these markets or may significantly increase our cost to borrow. In the past, low commodity prices have caused and may continue to cause lenders to increase the interest rates under upstream operators’ credit facilities, enact tighter lending standards, refuse to refinance existing debt around maturity on favorable terms or at all and may reduce or cease to provide funding to borrowers. Additionally, certain financial institutions have announced their intention to cease investment banking and corporate lending activities in the North American gas and oil sector or have established climate-related funding commitments that could have the effect of limiting their investment in us or our industry. If we are unable to access the capital and credit markets on favorable terms, it could have a material adverse effect on our business, financial condition, results of operations, cash flows and liquidity and our ability to repay or refinance our debt. Additionally, challenges in the economy have led and could further lead to reductions in the demand for gas and oil, or further reductions in the prices of gas and oil, or both, which could have a negative impact on our financial position, results of operations and cash flows.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Restrictive covenants in certain of our existing and future debt instruments may limit our ability to finance our operations, fund our capital needs, respond to changing conditions and engage in other business activities that may be in our best interests.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Restrictive covenants in certain of our existing and future debt instruments may limit our ability to finance our operations, fund our capital needs, respond to changing conditions and engage in other business activities that may be in our best interests. Certain of our debt instruments contain, and the terms of any future indebtedness may contain, restrictive covenants that limit our ability to, among other things: incur or guarantee additional indebtedness; create liens; merge or consolidate with another entity; make restricted payments; and engage in transactions with affiliates. A breach of any of these restrictive covenants could result in default under the applicable debt instrument.</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and financial covenants contained in our debt instruments. As an example, our Investment Grade Credit Agreement requires us to comply with a total indebtedness to capitalization ratio not to exceed 65%. The requirement that we comply with these provisions may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20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Changes to the ability of our customers to receive our products or meet their financial, performance and other obligations to us could adversely impact our business and financial condition.</w:t>
      </w:r>
    </w:p>
    <w:p>
      <w:pPr>
        <w:spacing w:after="0" w:line="16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exposures to credit risk are through receivables resulting from the sale of our natural gas, oil and NGL production that we market to energy companies, end users and refineries ($1,028 million as of December 31, 2024). We do not require all of our customers to post collateral. The inability or failure of our customers to meet their obligations to us or their insolvency or liquidation may adversely affect our financial condition.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failure to meet our debt obligations could harm our business, financial condition and results of operations.</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earnings and cash flow fluctuate from year to year due to the variable nature of commodity prices. If our cash flow and capital resources are insufficient to fund our debt obligations, we may be forced to sell assets, seek equity sales or restructure our debt. Our ability to restructure our debt will depend on the condition of the capital markets and our financial condition at such time. Any restructuring of debt could be at higher interest rates and may require us to comply with more onerous covenants, which could further restrict our operations and our financial flexibility. The terms of existing or future debt instruments may restrict us from adopting some of these alternatives.</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receive debt ratings from the major credit rating agencies in the United States. Factors that may impact our credit ratings include debt levels, planned asset purchases or sales and near-term and long-term cash flow relative to debt balances. Liquidity, asset quality, cost structure, product mix (natural gas, oil and NGLs) and projected commodity pricing levels are also considered by the rating agencies. A ratings downgrade could adversely impact our ability to access debt markets in the future, increase the cost of future debt and could require us to post letters of credit or other forms of collateral for certain obligations. Many of our existing commercial contracts contain, and future commercial contracts may contain, provisions permitting the counterparty to require increased security upon the occurrence of a downgrade in our credit rating. We cannot provide assurance that our current ratings will remain in effect for any given period of time or that a rating will not be downgraded in the future.</w:t>
      </w:r>
    </w:p>
    <w:p>
      <w:pPr>
        <w:spacing w:after="0" w:line="21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Our ability to comply with the covenants and other restrictions in our financing agreements may be affected by events beyond our control, including prevailing economic and financial conditions.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Failure to comply with the covenants and other restrictions could lead to an event of default and the acceleration of our obligations under our senior notes, credit facility or other financing agreements, and in the case of the lease agreements for drilling rigs, compressors and pressure pumping equipment, loss of use of the equipment. In particular, the occurrence of risks identified elsewhere in this section, such as declines in commodity prices, increases in basis differentials and inability to access markets, could reduce our profits and thus the cash we have to fulfill our financial obligations. If we are unable to satisfy our obligations with cash on hand, we could</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attempt to refinance such debt, sell assets or repay such debt with the proceeds from an equity offering. We cannot assure that we will be able to generate sufficient cash flow to pay the interest on our debt, to meet our lease obligations, or that future borrowings, equity financings or proceeds from the sale of assets will be available to pay or refinance such debt or obligations. The terms of our financing agreements may also prohibit us from taking such actions. Factors that will affect our ability to raise cash through an offering of our capital stock, a refinancing of our debt or a sale of assets include financial market conditions and our market value and operating performance at the time of such offering or other financing. We cannot assure that any such proposed offering, refinancing or sale of assets can be successfully completed or, if completed, that the terms will be favorable to us.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common stockholders will be diluted if additional shares are issued.</w:t>
      </w:r>
    </w:p>
    <w:p>
      <w:pPr>
        <w:spacing w:after="0" w:line="25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endeavor to create value for our stockholders on a per share basis. From time to time, we have issued stock to raise capital for our business or as consideration for acquisitions. We also issue common stock from time to time as a result of Warrant exercise and we issue restricted stock and performance share units to our employees and directors as part of their compensation. In addition, we may issue additional shares of common stock, additional notes or other securities or debt convertible into common stock, to extend maturities or fund capital expenditures. If we issue additional shares of our common stock in the future, it may have a dilutive effect on our current outstanding stockholders.</w:t>
      </w:r>
    </w:p>
    <w:p>
      <w:pPr>
        <w:spacing w:after="0" w:line="13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trading price and volume of our common stock may be volatile, and you could lose a significant portion of your investment.</w:t>
      </w:r>
    </w:p>
    <w:p>
      <w:pPr>
        <w:spacing w:after="0" w:line="32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market price of our common stock could be volatile, and holders of our common stock may not be able to resell their shares of common stock at or above the price at which they acquired such securities due to fluctuations in the market price of our common stock. The stock markets in general have experienced extreme volatility that has often been unrelated to the operating performance of particular companies. These broad market fluctuations may adversely affect the trading price of the common stock. Specific factors that may have a significant effect on the market price for our common stock include:</w:t>
      </w:r>
    </w:p>
    <w:p>
      <w:pPr>
        <w:spacing w:after="0" w:line="34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general economic conditions within the U.S. and internationally, including inflationary pressures and changes in interest rates;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general market conditions, including fluctuations in commodity prices;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domestic and international economic, legal and regulatory factors unrelated to our performance;</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natural gas, oil and NGL prices;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volatility in the financial markets or other global economic factors;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actual or anticipated fluctuations in our and our competitors’ quarterly and annual results;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quarterly variations in the rate of growth of our financial indicators;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our business, operations, results and prospects;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our operating and financial performance;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future mergers and acquisitions, divestitures, joint ventures or similar strategic alliances;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market conditions in the energy industry;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government regulation, taxes, legal proceedings or other developments;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shortfalls in our operating results from levels forecasted by securities analysts;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investor sentiment toward the stock of oil and gas companies;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revenue or earnings estimates, or changes in recommendations by equity research analysts;</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line="237" w:lineRule="auto"/>
        <w:tabs>
          <w:tab w:leader="none" w:pos="655"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failure to achieve the perceived benefits of the acquisitions, including financial results and anticipated synergies, as rapidly as or to the extent anticipated by financial or industry analysts;</w:t>
      </w:r>
    </w:p>
    <w:p>
      <w:pPr>
        <w:spacing w:after="0" w:line="11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speculation in the press or investment community;</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the failure of research analysts to cover our stock;</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sales of common stock by us, large shareholders or management, or the perception that such sales may occur;</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changes in accounting principles, policies, guidance, interpretations or standards;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announcements concerning us or our competitors;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public reaction to our press releases, other public announcements and filings with the SEC;</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strategic actions taken by competitors;</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actions taken by our shareholders;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additions or departures of key management personnel;</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maintenance of acceptable credit ratings or credit quality;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Arial" w:cs="Arial" w:eastAsia="Arial" w:hAnsi="Arial"/>
          <w:sz w:val="18"/>
          <w:szCs w:val="18"/>
          <w:color w:val="auto"/>
        </w:rPr>
        <w:t>the general state of the securities markets.</w:t>
      </w:r>
    </w:p>
    <w:p>
      <w:pPr>
        <w:spacing w:after="0" w:line="22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These and other factors may impair the market for our common stock and the ability of investors to sell shares at an attractive price. These factors also could cause the market price and demand for our common stock to fluctuate substantially, which may negatively affect the price and liquidity of our common stock. Many of these factors and conditions are beyond our control.</w:t>
      </w:r>
    </w:p>
    <w:p>
      <w:pPr>
        <w:spacing w:after="0" w:line="19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Such litigation, if instituted against us, could result in very substantial costs, divert management’s attention and resources and harm our business, operating results and financial condition.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Risks Related to the Company Following the Southwestern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3703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342"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Failure to successfully integrate the business of the Company and Southwestern or realize the anticipated benefits of the Southwestern Merger may adversely affect our future results and financial condition.</w:t>
      </w:r>
    </w:p>
    <w:p>
      <w:pPr>
        <w:spacing w:after="0" w:line="16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Southwestern Merger involved the combination of two companies that previously operated as independent public companies until October 1, 2024. The combination of two independent businesses is complex, costly and time consuming, and we will be required to continue to devote significant management attention and resources to integrating the business practices and operations of Southwestern into the Company. Potential difficulties that we may encounter as part of the integration process include the following:</w:t>
      </w:r>
    </w:p>
    <w:p>
      <w:pPr>
        <w:spacing w:after="0" w:line="298" w:lineRule="exact"/>
        <w:rPr>
          <w:sz w:val="20"/>
          <w:szCs w:val="20"/>
          <w:color w:val="auto"/>
        </w:rPr>
      </w:pPr>
    </w:p>
    <w:p>
      <w:pPr>
        <w:jc w:val="both"/>
        <w:ind w:left="660" w:right="20" w:hanging="328"/>
        <w:spacing w:after="0" w:line="242" w:lineRule="auto"/>
        <w:tabs>
          <w:tab w:leader="none" w:pos="655"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inability to successfully combine the business of the Company and Southwestern in a manner that permits us to achieve, on a timely basis, or at all, the enhanced revenue opportunities and cost savings and other benefits anticipated to result from the Southwestern Merger;</w:t>
      </w:r>
    </w:p>
    <w:p>
      <w:pPr>
        <w:spacing w:after="0" w:line="70" w:lineRule="exact"/>
        <w:rPr>
          <w:rFonts w:ascii="Arial" w:cs="Arial" w:eastAsia="Arial" w:hAnsi="Arial"/>
          <w:sz w:val="22"/>
          <w:szCs w:val="22"/>
          <w:color w:val="auto"/>
        </w:rPr>
      </w:pPr>
    </w:p>
    <w:p>
      <w:pPr>
        <w:jc w:val="both"/>
        <w:ind w:left="660" w:hanging="328"/>
        <w:spacing w:after="0" w:line="242" w:lineRule="auto"/>
        <w:tabs>
          <w:tab w:leader="none" w:pos="655"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complexities associated with managing the combined businesses, including difficulty addressing possible differences in operational philosophies and the challenge of integrating complex systems, technology, networks and other assets of each of the companies in a seamless manner that minimizes any adverse impact on customers, suppliers, employees and other constituencies;</w:t>
      </w:r>
    </w:p>
    <w:p>
      <w:pPr>
        <w:spacing w:after="0" w:line="5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Arial" w:cs="Arial" w:eastAsia="Arial" w:hAnsi="Arial"/>
          <w:sz w:val="18"/>
          <w:szCs w:val="18"/>
          <w:color w:val="auto"/>
        </w:rPr>
        <w:t>the assumption of contractual obligations with less favorable or more restrictive terms; and</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Arial" w:cs="Arial" w:eastAsia="Arial" w:hAnsi="Arial"/>
          <w:sz w:val="18"/>
          <w:szCs w:val="18"/>
          <w:color w:val="auto"/>
        </w:rPr>
        <w:t>potential unknown liabilities and unforeseen increased expenses or delays following the Southwestern Merger.</w:t>
      </w:r>
    </w:p>
    <w:p>
      <w:pPr>
        <w:spacing w:after="0" w:line="22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a result of the Southwestern Merger, the size of the Company’s business has increased significantly. Our future success will depend, in part, upon our ability to manage this expanded business, which will pose substantial challenges for management, including challenges related to the management and monitoring of new operations and associated increased costs and complexity. We may also face increased scrutiny from governmental authorities as a result of the significant increase in the size of the business.</w:t>
      </w:r>
    </w:p>
    <w:p>
      <w:pPr>
        <w:spacing w:after="0" w:line="20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once the business of Southwestern is fully integrated into the Company, the Southwestern Merger will provide operational and financial scale, increasing free cash flow and an enhanced corporate rate of return. However, achieving these benefits requires, among other things, realization of the targeted cost and commercial synergies expected from the Southwestern Merger. This growth and the anticipated benefits of the transaction may not be realized fully or at all or may take longer to realize than expected. Actual operating, technological, strategic and revenue opportunities, if achieved at all, may be less significant than expected or may take longer to achieve than anticipated. If we are not able to achieve these objectives and realize the anticipated benefits and synergies expected from the Southwestern Merger within the anticipated timing or at all, our business, financial condition and operating results may be adversely affected, our earnings per share may be diluted, the accretive effect of the Southwestern Merger may decrease or be delayed and our share price may be negatively impacted.</w:t>
      </w:r>
    </w:p>
    <w:p>
      <w:pPr>
        <w:spacing w:after="0" w:line="210"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market price for our common stock as a result of the Southwestern Merger may be affected by factors different from those that historically have affected our common stock.</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Upon completion of the Southwestern Merger, legacy Southwestern shareholders became shareholders of the Company. Our financial position may differ from our financial position before the completion of the Southwestern Merger, and the results of operations of the combined company may be affected by some factors that are different from those factors that affected the results of operations of the Company prior to the Southwestern Merger or those factors that previously affected ours and Southwestern’s results of operations. Accordingly, the market price and performance of our common stock is likely to be different from the performance of our common stock prior to the Southwestern Merger.</w:t>
      </w:r>
    </w:p>
    <w:p>
      <w:pPr>
        <w:spacing w:after="0" w:line="21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The Company’s operating results following the Southwestern Merger will suffer if we do not effectively manage our expanded operations.</w:t>
      </w:r>
    </w:p>
    <w:p>
      <w:pPr>
        <w:spacing w:after="0" w:line="16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Following the Southwestern Merger, the size of our business increased significantly. Our future success depends, in part, upon our ability to manage this expanded business, which will pose substantial challenges for management, including challenges related to the management and monitoring of new operations and associated increased costs and complexity. We may also face increased scrutiny from governmental authorities as a result of the significant increase in the size of our business. There can be no assurances that we will be successful or that we will realize the expected operating efficiencies, cost savings, revenue enhancements or other benefits anticipated from the Southwestern Merger.</w:t>
      </w:r>
    </w:p>
    <w:p>
      <w:pPr>
        <w:spacing w:after="0" w:line="211"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8"/>
          <w:szCs w:val="18"/>
          <w:b w:val="1"/>
          <w:bCs w:val="1"/>
          <w:i w:val="1"/>
          <w:iCs w:val="1"/>
          <w:color w:val="auto"/>
        </w:rPr>
        <w:t>We have a significant amount of indebtedness, which will limit our liquidity and financial flexibility. We may also incur additional indebtedness in the future.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2024, we had indebtedness of approximately $5.7 billion and, as a result of the Southwestern Merger, we assumed approximately $3.7 billion of Southwestern’s senior notes. Accordingly, following the completion and as a result of the Southwestern Merger, we have substantial indebtedness. In addition, subject to the limits contained in the documents governing such indebtedness, we may be able to incur substantial additional debt from time to time to finance working capital, capital expenditures, investments or acquisitions or for other purposes. Our indebtedness and other financial commitments have important consequences to our business,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60" w:right="20" w:hanging="328"/>
        <w:spacing w:after="0" w:line="237"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making it more difficult for us to satisfy our obligations with respect to senior notes and other indebtedness due to the increased debt-service obligations, which could, in turn, result in an event of default on such other indebtedness or the senior notes;</w:t>
      </w:r>
    </w:p>
    <w:p>
      <w:pPr>
        <w:spacing w:after="0" w:line="12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requiring us to dedicate a substantial portion of our cash flows from operations to debt service payments, thereby limiting our ability to fund working capital, capital expenditures, investments or acquisitions and other general corporate purposes;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increasing our vulnerability to general adverse economic and industry conditions, including low commodity price environments;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limiting our ability to obtain additional financing due to higher costs and more restrictive covenants;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4"/>
        </w:numPr>
        <w:rPr>
          <w:rFonts w:ascii="Arial" w:cs="Arial" w:eastAsia="Arial" w:hAnsi="Arial"/>
          <w:sz w:val="22"/>
          <w:szCs w:val="22"/>
          <w:color w:val="auto"/>
        </w:rPr>
      </w:pPr>
      <w:r>
        <w:rPr>
          <w:rFonts w:ascii="Arial" w:cs="Arial" w:eastAsia="Arial" w:hAnsi="Arial"/>
          <w:sz w:val="18"/>
          <w:szCs w:val="18"/>
          <w:color w:val="auto"/>
        </w:rPr>
        <w:t>placing us at a competitive disadvantage compared with our competitors that have proportionately less debt and fewer guarantee obligations.</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0386C"/>
        </w:rPr>
        <w:t>Legal and Regulatory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17780</wp:posOffset>
            </wp:positionV>
            <wp:extent cx="1568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extensive governmental regulation, which can change and could adversely impact our business.</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operations are subject to extensive federal, state, local and other laws, rules and regulations, including with respect to the environment, worker health and safety, wildlife conservation, the gathering and transportation of gas, oil and NGLs, conservation policies, reporting obligations, royalty payments, unclaimed property, the imposition of taxes and tribal laws for a minor portion of our acreage. Such regulations include requirements for permits to drill and to conduct other operations and for provision of financial assurances (such as bonds) covering drilling, completion and well operations. If permits are not issued, or if unfavorable restrictions or conditions are imposed on our drilling or completion activities, we may not be able to conduct our operations as planned. For example, in January 2024, the previous Presidential Administration announced a temporary pause on the DOE’s review of pending applications for authorization to export LNG to non-Free Trade Agreement countries until the DOE examines the economic and environmental impacts of increased LNG export volumes. In December 2024, the DOE released its report on LNG exports, which report is subject to a 60-day public comment period ending in February 2025. However, in January 2025, the current Presidential Administration issued an executive order directing the DOE to restart reviews of applications for approvals of LNG export projects as expeditiously as possible.</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addition, changes in public policy have affected, and in the future could further affect, our operations. At both the federal and state level, for example, there are an increasing number of legislative initiatives and proposals that may lead to reduced demand for fossil fuels such as oil and gas. These include certain tax advantages and other subsidies to support alternative energy sources or that mandate the use of specific fuels or technologies, in addition to the promotion of research into new technologies to reduce the cost and increase the scalability of alternative energy sources. The IRA, signed into law in August 2022, provides significant funding and incentives for research, development and implementation of low-carbon energy production methods, carbon capture, and other programs directed at addressing climate change. The IRA also includes a Methane Emissions Reduction Program that amends the CAA to require the EPA to impose a “Waste Emissions Charge” on methane emissions from certain natural gas and oil sources that are already required to report under EPA’s Greenhouse Gas Reporting Program. In May 2024, the EPA finalized revisions to the Greenhouse Gas Reporting Program for petroleum and natural gas facilities. Among other things, the final rule expands the emissions events that are subject to reporting requirements to include “other large release events” and applies reporting requirements to certain new sources and sectors. The emissions reported under the Greenhouse Gas Reporting Program will be the basis for any payments under the Methane Emissions Reduction Program in the IRA. However, petitions for reconsideration to the EPA are pending and litigation in the D.C. Circuit Court of Appeals has commenced. In addition, in November 2024, the EPA finalized a rule to implement the IRA’s Waste Emissions Charge that became effective in January 2025. The Waste Emissions Charge imposed under the Methane Emissions Reduction Program for 2024 reported amounts is $900</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per metric ton emitted over permitted methane emissions thresholds, and increases to $1,200 for 2025 reported amounts, and $ 1,500 for 2026 reported amounts. In January 2025, industry associations challenged the Waste Emissions Charge rule in the D.C. Circuit Court of Appeals. Additionally, based on the timing of the rule’s finalization, the Waste Emissions Charge rule is potentially vulnerable to repeal by Congress under the Congressional Review Act. To the extent the rule is implemented, the emissions fee and funding provisions of the law could increase operating costs within the gas and oil industry and accelerate the transition away from fossil fuels, which could in turn adversely affect our business and results of operations.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The Inflation Reduction Act may also be subject to amendment or repeal through the Congressional budget reconciliation. Consequently, future implementation and enforcement of these final rules remains uncertain at this time. Other regulatory developments could, among other things, restrict production levels, impose price controls, change environmental protection requirements with respect to the treatment of hazardous waste, air emissions, or water discharges, and increase taxes, royalties and other amounts payable to the government. Our operating and compliance costs could increase further if existing laws and regulations are revised, reinterpreted or if new laws and regulations become applicable to our operations. We do not expect that any of these laws and regulations will affect our operations materially differently than they would affect other companies with similar operations, size and financial strength. Although we are unable to predict changes to existing laws and regulations, such changes could materially adversely affect our profitability, financial condition and liquidity.</w:t>
      </w:r>
    </w:p>
    <w:p>
      <w:pPr>
        <w:spacing w:after="0" w:line="14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 xml:space="preserve">Pipeline Safety. </w:t>
      </w:r>
      <w:r>
        <w:rPr>
          <w:rFonts w:ascii="Arial" w:cs="Arial" w:eastAsia="Arial" w:hAnsi="Arial"/>
          <w:sz w:val="18"/>
          <w:szCs w:val="18"/>
          <w:color w:val="auto"/>
        </w:rPr>
        <w:t>The pipeline assets in which we own interests are subject to stringent and complex regulations related to pipeline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integrity management. The PHMSA has established a series of rules that require pipeline operators to develop and implement integrity management programs for gas, NGL and condensate transmission pipelines as well as for certain low stress pipelines and gathering lines transporting hazardous liquids, such as oil, that, in the event of a failure, could affect “high consequence areas.” Recent PHMSA rules have also extended certain requirements for integrity assessments and leak detections beyond high consequence areas and impose a number of reporting and inspection requirements on regulated pipelines. In November 2021, the PHMSA issued a final rule that expands certain federal pipeline safety requirements to all onshore gas gathering pipelines, regardless of size or location. The final rule establishes two new types of onshore gas gathering pipelines subject to varying degrees of regulation: all onshore gathering line operators are now subject to PHMSA’s annual reporting and incident reporting requirements, and certain previously unregulated rural gas gathering lines must now comply with PHMSA damage prevention and, depending on the size of the pipeline, construction and operational requirements. The final rule became effective on May 16, 2022. Further, legislation funding the PHMSA through 2023 requires the agency to engage in additional rulemaking (i) to amend the integrity management program, emergency response plan, operation and maintenance manual and pressure control recordkeeping requirements for gas distribution operators, (ii) to create new leak detection and repair program obligations and (iii) to set new minimum federal safety standards for onshore gas gathering lines. In January 2025, the PHMSA finalized a rule that requires pipelines, underground natural gas storage facilities, and liquefied natural gas facilities to update leak detection and repair programs to require companies to use commercially available technologies to find and fix methane leaks from pipelines and other facilities. At this time, we cannot predict the cost of these requirements or other potential new or amended regulations, but they could be significant. Moreover, violations of pipeline safety regulations can result in the imposition of significant penalties.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Consequently, future implementation and enforcement of these final rules remains uncertain at this time.</w:t>
      </w:r>
    </w:p>
    <w:p>
      <w:pPr>
        <w:spacing w:after="0" w:line="21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i w:val="1"/>
          <w:iCs w:val="1"/>
          <w:color w:val="auto"/>
        </w:rPr>
        <w:t xml:space="preserve">Hydraulic Fracturing. </w:t>
      </w:r>
      <w:r>
        <w:rPr>
          <w:rFonts w:ascii="Arial" w:cs="Arial" w:eastAsia="Arial" w:hAnsi="Arial"/>
          <w:sz w:val="18"/>
          <w:szCs w:val="18"/>
          <w:color w:val="auto"/>
        </w:rPr>
        <w:t>Hydraulic fracturing typically is regulated by state oil and natural gas commissions or similar agencies, but EPA</w:t>
      </w:r>
      <w:r>
        <w:rPr>
          <w:rFonts w:ascii="Arial" w:cs="Arial" w:eastAsia="Arial" w:hAnsi="Arial"/>
          <w:sz w:val="18"/>
          <w:szCs w:val="18"/>
          <w:i w:val="1"/>
          <w:iCs w:val="1"/>
          <w:color w:val="auto"/>
        </w:rPr>
        <w:t xml:space="preserve"> </w:t>
      </w:r>
      <w:r>
        <w:rPr>
          <w:rFonts w:ascii="Arial" w:cs="Arial" w:eastAsia="Arial" w:hAnsi="Arial"/>
          <w:sz w:val="18"/>
          <w:szCs w:val="18"/>
          <w:color w:val="auto"/>
        </w:rPr>
        <w:t>has asserted federal regulatory authority pursuant to the Safe Drinking Water Act over certain hydraulic fracturing activities involving the use of diesel fuel in fracturing fluids and issued permitting guidance that applies to such activities.</w:t>
      </w:r>
    </w:p>
    <w:p>
      <w:pPr>
        <w:spacing w:after="0" w:line="1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Several states have adopted or are considering adopting regulations that could impose more stringent permitting, public disclosure and/or well construction requirements on hydraulic fracturing operations. State and federal regulatory agencies have also recently focused on a possible connection between the operation of injection wells used for natural gas and oil waste disposal and seismic activity, which has caused some states, such as New</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Mexico, Oklahoma and Texas, to implement seismicity response programs that allow state regulators to deny, modify, suspend or terminate injection well permits if the state regulator determines that the injection well is contributing or likely to contribute to seismic activity. In some instances, regulators may also order that disposal wells be shut in. States could also elect to prohibit high volume hydraulic fracturing altogether. A number of lawsuits have been filed alleging that disposal well operations have caused damage to neighboring properties or otherwise violated state and federal rules regulating waste disposal. In addition to state laws, local land use restrictions, such as city ordinances, may restrict drilling in general and/or hydraulic fracturing in particular. We cannot predict whether additional federal, state or local laws or regulations applicable to hydraulic fracturing will be enacted in the future and, if so, what actions any such laws or regulations would require or prohibit. If additional levels of regulation or permitting requirements were imposed on hydraulic fracturing operations, our business and operations could be subject to delays, increased operating and compliance costs and potential bans. Additional regulation could also lead to greater opposition to hydraulic fracturing, including litigation.</w:t>
      </w:r>
    </w:p>
    <w:p>
      <w:pPr>
        <w:spacing w:after="0" w:line="21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i w:val="1"/>
          <w:iCs w:val="1"/>
          <w:color w:val="auto"/>
        </w:rPr>
        <w:t xml:space="preserve">Climate Change and Regulation of Methane and Other Greenhouse Gas Emissions. </w:t>
      </w:r>
      <w:r>
        <w:rPr>
          <w:rFonts w:ascii="Arial" w:cs="Arial" w:eastAsia="Arial" w:hAnsi="Arial"/>
          <w:sz w:val="18"/>
          <w:szCs w:val="18"/>
          <w:color w:val="auto"/>
        </w:rPr>
        <w:t>Political and social attention to the issue of climate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has resulted in legislative, regulatory and other initiatives to reduce GHG emissions, such as carbon dioxide and methane. Policy makers at both the U.S. federal and state levels have adopted, or are considering adopting, rules designed to quantify and limit the emission of GHGs through inventories, limitations and/or taxes on GHG emissions. For example, the IRA appropriates significant federal funding for renewable energy initiatives and, for the first time ever, imposes a fee on GHG emissions from certain facilities (discussed above). The emissions fee and funding provisions of the law could increase operating costs within the oil and gas industry and accelerate the transition away from fossil fuels, which could in turn adversely affect our business and results of operations. However, in January 2025, the current Presidential Administration issued an executive order directing an immediate pause on the disbursement of funds appropriated through the IRA. In addition, the EPA has issued regulations for the control of methane emissions, which include leak detection and repair requirements, for the gas and oil industry. In November 2021, the EPA proposed new performance standards and emissions guidelines for new, modified, reconstructed and existing oil and gas facilities. The proposed rule sought to make the existing regulations in Subpart OOOOa more stringent and create a Subpart OOOOb to expand reduction requirements for new, modified, and reconstructed oil and gas sources, including standards focusing on certain source types that have never been regulated under the CAA (including intermittent vent pneumatic controllers, associated gas, and liquids unloading facilities). In addition, the proposed rule sought to establish “Emissions Guidelines,” creating a Subpart OOOOc that would require states to develop plans to reduce methane emissions from existing sources that must be at least as effective as presumptive standards set by EPA. In November 2022, the EPA issued a supplemental proposed rule, which among other things, removed an emissions monitoring exemption for small wellhead-only sites and created a new third-party monitoring program to flag large emissions events, referred to in the proposed rule as “super emitters”. In December 2023, the EPA issued the final rule, which imposes more stringent requirements on the natural gas and oil industry, including phasing out routine flaring of natural gas from new oil wells, requiring all well sites and compressor stations to be routinely monitored for leaks and eliminating or minimizing emissions from common pieces of equipment used in oil and gas operations, such as process controllers, pumps and storage tanks. Notably, EPA updated the applicability date for Subparts OOOOb and OOOOc to December 6, 2022, meaning that sources constructed prior to that date will be considered existing sources with later compliance dates under state plans. The final rule gives states, along with federal tribes that wish to regulate existing sources, until March 2026 to develop and submit their plans for reducing methane from existing sources. The final emissions guidelines under Subpart OOOOc provide until 2029 for existing sources to comply. The final rule is subject to ongoing litigation but remains in effect. This and other rules may require us to incur additional costs or otherwise impact the economics of certain of our operations. Additionally, in April 2024, the BLM finalized a rule to reduce the methane waste from venting, flaring, and leaks during oil and gas production activities on federal and Indian leases. The final rule took effect in June 2024. However, in May 2024, the states of North Dakota, Texas, Montana, Wyoming and Utah challenged the rule. In September 2024, a North Dakota district court granted a motion prohibiting the BLM from enforcing the rule against those states pending the outcome of the litigation. However, in January 2025, the current Presidential Administration issued an executive order directing the heads of all federal agencies to identify and begin the processes to suspend, revise, or rescind all agency actions that are unduly burdensome on the identification, development, or use of domestic energy resources. Consequently, future implementation and enforcement of these final rules remains uncertain at this time.</w:t>
      </w:r>
    </w:p>
    <w:p>
      <w:pPr>
        <w:spacing w:after="0" w:line="22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addition, several states in which we operate have imposed limitations designed to reduce methane emissions from gas and oil exploration and production activities. Legislative and state initiatives to date have generally focused on the development of renewable energy standards and/or cap-and-trade and/or carbon tax</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programs. Renewable energy standards (also referred to as renewable portfolio standards) require electric utilities to provide a specified minimum percentage of electricity from eligible renewable resources, with potential increases to the required percentage over time. The development of a federal renewable energy standard, or the development of additional or more stringent renewable energy standards at the state level could reduce the demand for gas and oil, thereby adversely impacting our earnings, cash flows and financial position. In addition, federal or state carbon taxes or fees could directly increase our costs of operation.</w:t>
      </w:r>
    </w:p>
    <w:p>
      <w:pPr>
        <w:spacing w:after="0" w:line="20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At the international level, the United Nations sponsored “Paris Agreement” requires member states to submit non-binding, individually determined reduction goals known as Nationally Determined Contributions every five years after 2020. In 2021, the previous Presidential Administration announced reentry of the U.S. into the Paris Agreement along with a new “nationally determined contribution” for U.S. GHG emissions that would achieve emissions reductions of at least 50% relative to 2005 levels by 2030. At COP26 in Glasgow in November 2021, the United States and the European Union jointly announced the Global Methane Pledge, an initiative committing to a collective goal of reducing global methane emissions by at least 30% from 2020 levels by 2030, including “all feasible reductions” in the energy sector. COP26 concluded with the finalization of the Glasgow Climate Pact, which stated long-term global goals (including those in the Paris Agreement) to limit the increase in the global average temperature and emphasized reductions in GHG emissions. At COP27, the previous Presidential Administration announced the EPA’s standards to reduce methane emissions from new, modified and existing oil and gas sources (discussed above), and the United States agreed, in conjunction with the European Union and several other partner countries, to develop standards for monitoring and reporting methane emissions to help create a market for low methane-intensity natural gas. At COP28, member countries entered into an agreement that calls for actions toward achieving, at a global scale, a tripling of renewable energy capacity and doubling energy efficiency improvements by 2030. In April 2024, the European Union adopted a regulation to track and reduce methane emissions in the energy sector, including requiring monitoring, reporting and verification measures to be applied by importers of oil, natural gas, and coal into the European Union by January 1, 2027, and “maximum methane intensity values” must be met by 2030 and every year thereafter. Each member state will have the power to impose administrative penalties for failure to comply and the standard will be mandatory for supply contracts signed after the law takes effect. At COP29, participants representing 159 countries met to review progress toward the goals of the Global Methane Pledge and the addition of nearly $500 million in new grant funding for methane abatement. However, in January 2025, the current Presidential Administration issued an executive order directing the immediate notice to the United Nations of the United States’ withdrawal from the Paris Agreement and all other agreements made under the United Nations Framework Convention on Climate Change. At the same time, various state and local governments have publicly committed to furthering the goals of the Paris Agreement. As a result, it is not possible at this time to predict how legislation or regulations that may be adopted to address climate change, methane and other GHG emissions would impact our business. Further, the Supreme Court’s decision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xml:space="preserve"> to overrule </w:t>
      </w:r>
      <w:r>
        <w:rPr>
          <w:rFonts w:ascii="Arial" w:cs="Arial" w:eastAsia="Arial" w:hAnsi="Arial"/>
          <w:sz w:val="18"/>
          <w:szCs w:val="18"/>
          <w:i w:val="1"/>
          <w:iCs w:val="1"/>
          <w:color w:val="auto"/>
        </w:rPr>
        <w:t>Chevron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U.S.A. Inc. v. Natural Resources Defense Council, Inc. </w:t>
      </w:r>
      <w:r>
        <w:rPr>
          <w:rFonts w:ascii="Arial" w:cs="Arial" w:eastAsia="Arial" w:hAnsi="Arial"/>
          <w:sz w:val="18"/>
          <w:szCs w:val="18"/>
          <w:color w:val="auto"/>
        </w:rPr>
        <w:t>and end the concept of general deference to regulatory agency interpretations of laws</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introduces new complexity for federal agencies and administration of climate change policy and regulatory programs. However, many of these initiatives at the international, state and local levels are expected to continue.</w:t>
      </w:r>
    </w:p>
    <w:p>
      <w:pPr>
        <w:spacing w:after="0" w:line="2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These various legislative, regulatory and other activities addressing GHG emissions could adversely affect our business, including by imposing reporting obligations on, or limiting emissions of GHGs from, our equipment and operations, which could require us to incur costs to reduce emissions of GHGs associated with our operations. Limitations on GHG emissions could also adversely affect demand for gas and oil, which could lower the value of our reserves and have a material adverse effect on our profitability, financial condition and liquidity. Additionally, political, litigation and financial risks may result in our restricting or canceling production activities, incurring liability for infrastructure damages as a result of climatic changes, or impairing our ability to continue to operate in an economic manner. One or more of these developments could have a material adverse effect on our business, financial condition and results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to comply with environmental, health and safety regulations and initiatives can be significant.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an owner, lessee or operator of gas and oil properties, we are subject to various federal, state, tribal and local laws and regulations relating to discharge of materials into, and protection of, the environment. These laws and regulations may, among other things, impose liability on us for the cost of remediating pollution that results from our operations. Environmental laws may impose strict, joint and several liability, and failure to comply with environmental laws and regulations can result in the imposition of administrative, civil or criminal fines and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penalties, as well as injunctions limiting operations in affected areas. Any future costs associated with these matters are uncertain and could be influenced by several factors, including any new or amended regulatory requirements or changes to the interpretation of existing regulatory requirements. One or more of these matters could have a material adverse effect on our business, financial condition and results of operations.</w:t>
      </w:r>
    </w:p>
    <w:p>
      <w:pPr>
        <w:spacing w:after="0" w:line="124" w:lineRule="exact"/>
        <w:rPr>
          <w:sz w:val="20"/>
          <w:szCs w:val="20"/>
          <w:color w:val="auto"/>
        </w:rPr>
      </w:pPr>
    </w:p>
    <w:p>
      <w:pPr>
        <w:jc w:val="both"/>
        <w:ind w:right="20" w:firstLine="405"/>
        <w:spacing w:after="0" w:line="294" w:lineRule="auto"/>
        <w:rPr>
          <w:sz w:val="20"/>
          <w:szCs w:val="20"/>
          <w:color w:val="auto"/>
        </w:rPr>
      </w:pPr>
      <w:r>
        <w:rPr>
          <w:rFonts w:ascii="Arial" w:cs="Arial" w:eastAsia="Arial" w:hAnsi="Arial"/>
          <w:sz w:val="18"/>
          <w:szCs w:val="18"/>
          <w:b w:val="1"/>
          <w:bCs w:val="1"/>
          <w:i w:val="1"/>
          <w:iCs w:val="1"/>
          <w:color w:val="auto"/>
        </w:rPr>
        <w:t>Increasing attention to ESG matters and our ability to achieve and maintain ESG certifications, goals and commitments may impact our business, financial results or stock price.</w:t>
      </w:r>
    </w:p>
    <w:p>
      <w:pPr>
        <w:spacing w:after="0" w:line="8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Increasing attention has been given to corporate activities related to ESG matters in public discourse and the investment community. Expectations regarding voluntary ESG initiatives and disclosures and consumer demand for more sustainable products, including alternative forms of energy, may result in increased costs (including but not limited to increased costs related to compliance, stakeholder engagement, contracting and insurance), changes in demand for certain products, increased availability of (and competition from) alternative energy sources and technologies, increased development of and demand for products that do not use fossil fuels or their derivatives, enhanced compliance or disclosure obligations or other adverse impacts to our business, financial condition or results of operations. Additionally, such expectations and related activism may result in demand shifts for natural gas, oil and NGLs in addition to potentially impacting our access to, and costs of, capital.</w:t>
      </w:r>
    </w:p>
    <w:p>
      <w:pPr>
        <w:spacing w:after="0" w:line="13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While we may at times engage in voluntary initiatives (such as voluntary disclosures, certifications or targets, among others) or commitments to improve our ESG profile and/or products or to respond to stakeholder expectations, such initiatives or achievement of such commitments may be costly and may not have the desired effect. For example, while we are exploring initiatives related to various energy-related technologies, such as carbon capture and sequestration, this may require us to incur significant costs, and there is no guarantee that markets will develop, either in the manner we anticipate or at all, for the technologies in which we invest. In addition, we may commit to certain initiatives or goals, and we may not ultimately be able to achieve such commitments or goals, either on the timeframes or costs initially anticipated or at all, due to factors that are within or outside of our control. Moreover, actions or statements that we may take based on expectations, assumptions or third-party information that we currently believe to be reasonable may subsequently be determined to be erroneous or be subject to misinterpretation. Even if this is not the case, our current actions may subsequently be determined to be insufficient by various stakeholders, and we may be subject to investor or regulator engagement on our ESG initiatives and disclosures, even if such initiatives are currently voluntary. Any failure to comply with investor, customer or other stakeholder expectations and standards, which are evolving and can conflict, or if we are perceived to not have responded appropriately to the growing concern for ESG issues, regardless of whether there is a legal requirement to do so, could cause reputational harm to our business, increase our risk of litigation, and could have a material adverse effect on our results of operations. For example, plaintiffs have brought litigation against various companies, including those in the fossil fuel sector, alleging that such companies created public nuisances by producing, handling or marketing fuels that contributed to climate change or that the companies have been aware of the adverse effects of climate change for some time but failed to adequately disclose those impacts. While we are not currently parties to any such litigation, the ultimate outcomes of such litigation and its impact to us are uncertain; we could incur substantial legal costs associated with defending against these or similar lawsuits in the future.</w:t>
      </w:r>
    </w:p>
    <w:p>
      <w:pPr>
        <w:spacing w:after="0" w:line="1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organizations that provide information to investors on corporate governance and related matters have developed ratings systems for evaluating companies on their approach to ESG matters. These ratings are used by some investors to inform their investment and voting decisions. Unfavorable ESG ratings may lead to increased negative investor sentiment toward us and our industry and to the diversion of investment to other industries, which could have a negative impact on our stock price and our access to and costs of capital. To the extent ESG matters negatively affect our reputation, it may also harm our ability to attract or retain employees or customers.</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Simultaneously, there are efforts by some stakeholders to reduce companies’ efforts on certain ESG-related matters. Both advocates and opponents to certain ESG initiatives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Separately, various regulators have adopted, or are considering adopting, regulations on environmental marketing claims or the prevention of greenwashing more generally, including, but not limited to the use of “sustainable,” “eco-friendly,” “green” or similar language in the marketing of products and services or the prevention of greenwashing more generally. Further, there have been increasing scrutiny on sustainability-related claims and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frequency of allegations of “greenwashing” against companies making sustainability-related claims due to, among other things, allegations of incomplete, false or misleading disclosures, including with respect to the sustainable nature of their operations and products, as well as to a variety of perceived deficiencies in performance, including as stakeholder perceptions of sustainability continue to evolve.</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expect there will likely be increasing levels of regulation, disclosure-related and otherwise, with respect to ESG matters, which will likely lead to increased compliance costs as well as scrutiny that could heighten all of the risks identified in this risk factor. Such ESG matters may also impact our suppliers or customers, which could augment existing, or cause additional, impacts to our business or operations. To date, we have not incurred material ESG-related costs, but we cannot guarantee that we will not incur such costs in the future.</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8"/>
          <w:szCs w:val="18"/>
          <w:b w:val="1"/>
          <w:bCs w:val="1"/>
          <w:i w:val="1"/>
          <w:iCs w:val="1"/>
          <w:color w:val="auto"/>
        </w:rPr>
        <w:t>The taxation of independent producers is subject to change, and changes in tax law could increase our cost of doing business</w:t>
      </w:r>
      <w:r>
        <w:rPr>
          <w:rFonts w:ascii="Times New Roman" w:cs="Times New Roman" w:eastAsia="Times New Roman" w:hAnsi="Times New Roman"/>
          <w:sz w:val="18"/>
          <w:szCs w:val="18"/>
          <w:b w:val="1"/>
          <w:bCs w:val="1"/>
          <w:i w:val="1"/>
          <w:iCs w:val="1"/>
          <w:color w:val="auto"/>
        </w:rPr>
        <w:t>.</w:t>
      </w:r>
    </w:p>
    <w:p>
      <w:pPr>
        <w:spacing w:after="0" w:line="8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subject to taxation by various governmental authorities at the federal, state and local levels in the jurisdictions in which we do business. New legislation could be enacted by any of these governmental authorities making it more costly for us to produce natural gas and oil by increasing our tax burden. The IRA was enacted on August 16, 2022, and included, among other things, a 15% corporate alternative minimum tax (“CAMT”) on adjusted financial statement income. Based on our book income in the past three years, we believe we have become subject to the CAMT in 2024 and should remain subject to the CAMT for the foreseeable future. Additionally, the current Presidential Administration has called for changes to fiscal and tax policies, which could lead to comprehensive tax reform. In addition, state and local authorities could enact new legislation that would increase various taxes such as sales, severance and ad valorem taxes as well as accelerate the collection of such taxes.</w:t>
      </w:r>
    </w:p>
    <w:p>
      <w:pPr>
        <w:spacing w:after="0" w:line="133" w:lineRule="exact"/>
        <w:rPr>
          <w:sz w:val="20"/>
          <w:szCs w:val="20"/>
          <w:color w:val="auto"/>
        </w:rPr>
      </w:pPr>
    </w:p>
    <w:p>
      <w:pPr>
        <w:jc w:val="both"/>
        <w:ind w:firstLine="405"/>
        <w:spacing w:after="0" w:line="265" w:lineRule="auto"/>
        <w:rPr>
          <w:sz w:val="20"/>
          <w:szCs w:val="20"/>
          <w:color w:val="auto"/>
        </w:rPr>
      </w:pPr>
      <w:r>
        <w:rPr>
          <w:rFonts w:ascii="Arial" w:cs="Arial" w:eastAsia="Arial" w:hAnsi="Arial"/>
          <w:sz w:val="18"/>
          <w:szCs w:val="18"/>
          <w:b w:val="1"/>
          <w:bCs w:val="1"/>
          <w:i w:val="1"/>
          <w:iCs w:val="1"/>
          <w:color w:val="auto"/>
        </w:rPr>
        <w:t>The completion of the Southwestern Merger triggered an annual limitation on the utilization of our tax attributes, reducing our ability to offset future taxable income, which may result in an increase to income tax liabilities. In addition, trading in our common stock, additional issuance of common stock, and certain other stock transactions could lead to an additional, potentially more restrictive, annual limitation.</w:t>
      </w:r>
    </w:p>
    <w:p>
      <w:pPr>
        <w:spacing w:after="0" w:line="1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Upon the completion of the Southwestern Merger, we experienced an ownership change under Section 382 of the Internal Revenue Code of 1986, as amended (the “Code” and such change, a “Section 382 Ownership Change”), for purposes of both Southwestern’s tax attributes as well as for our own. We believe that the annual limitation on the utilization of our tax attributes resulting from the Southwestern Merger is less restrictive than the Section 382 Ownership Change we experienced in 2021. As a result, the new limitation would generally only apply to those tax attributes generated subsequent to that first ownership change.</w:t>
      </w:r>
    </w:p>
    <w:p>
      <w:pPr>
        <w:spacing w:after="0" w:line="20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Moreover, trading in our stock, additional issuances, and other stock transactions occurring subsequent to the Southwestern Merger could lead to a further Section 382 Ownership Change. In the event of any additional Section 382 Ownership Change a new annual limitation would be determined at such time that could be more restrictive than the current limitations. Depending on the market conditions and our tax basis, an additional Section 382 Ownership Change may result in a net unrealized built-in loss. The annual limitation in such a case would additionally be applied to certain of our tax items other than just net operating loss (NOL) carryforwards, disallowed business interest carryforwards and tax credits. For example, a portion of tax depreciation, depletion and amortization would also be subject to the annual limitation for a five-year period following the Section 382 Ownership Change but only to the extent of the net unrealized built-in loss existing at the time of the additional Section 382 Ownership Change. Whether the new annual limitation would be more restrictive would depend on the value of our stock and the long-term tax-exempt rate in effect at the time of such Section 382 Ownership Change.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states impose similar limitations on tax attribute utilization upon experiencing an additional Section 382 Ownership Change.</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Judicial decisions can affect our rights and obligations.</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ability to develop natural gas, oil and NGL depends on the leases and other mineral rights we acquire and the rights of owners of nearby properties. We operate in areas where judicial decisions have not yet definitively interpreted various contractual provisions or addressed relevant aspects of property rights, nuisance and other matters that could be the source of claims against us as a developer or operator of properties. Although we plan our activities according to our expectations of these unresolved areas, based on decisions on similar issues in these</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jurisdictions and decisions from courts in other states that have addressed them, courts could resolve issues in ways that increase our liabilities or otherwise restrict or add costs to our operations.</w:t>
      </w:r>
    </w:p>
    <w:p>
      <w:pPr>
        <w:spacing w:after="0" w:line="18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1B.</w:t>
      </w:r>
      <w:r>
        <w:rPr>
          <w:sz w:val="20"/>
          <w:szCs w:val="20"/>
          <w:color w:val="auto"/>
        </w:rPr>
        <w:tab/>
      </w:r>
      <w:r>
        <w:rPr>
          <w:rFonts w:ascii="Arial" w:cs="Arial" w:eastAsia="Arial" w:hAnsi="Arial"/>
          <w:sz w:val="18"/>
          <w:szCs w:val="18"/>
          <w:b w:val="1"/>
          <w:bCs w:val="1"/>
          <w:i w:val="1"/>
          <w:iCs w:val="1"/>
          <w:color w:val="00386C"/>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17780</wp:posOffset>
            </wp:positionV>
            <wp:extent cx="15855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1C.</w:t>
      </w:r>
      <w:r>
        <w:rPr>
          <w:sz w:val="20"/>
          <w:szCs w:val="20"/>
          <w:color w:val="auto"/>
        </w:rPr>
        <w:tab/>
      </w:r>
      <w:r>
        <w:rPr>
          <w:rFonts w:ascii="Arial" w:cs="Arial" w:eastAsia="Arial" w:hAnsi="Arial"/>
          <w:sz w:val="17"/>
          <w:szCs w:val="17"/>
          <w:b w:val="1"/>
          <w:bCs w:val="1"/>
          <w:i w:val="1"/>
          <w:iCs w:val="1"/>
          <w:color w:val="00386C"/>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908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23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design and assess our cybersecurity risk management program guided by the NIST Cybersecurity Framework to help us identify, assess and manage cybersecurity risks relevant to our business.</w:t>
      </w:r>
    </w:p>
    <w:p>
      <w:pPr>
        <w:spacing w:after="0" w:line="18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cybersecurity risk management program includes, but is not limited to, the following key elements:</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assessments designed to help identify and address material cybersecurity risks to our critical systems and information;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security team principally responsible for managing our cybersecurity risk assessment processes, our security controls, and our response to cybersecurity incidents;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systems for protecting information technology systems and monitoring for suspicious events, such as threat protection, firewall and anti-virus software;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cybersecurity awareness training for all of our employees and contractors;</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cybersecurity incident response plan that includes procedures for responding to, escalating, and reporting cybersecurity incidents;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third-party risk management process for service providers, suppliers, software, and vendors who access our data and/or systems.</w:t>
      </w:r>
    </w:p>
    <w:p>
      <w:pPr>
        <w:spacing w:after="0" w:line="252"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certain ongoing risks from cybersecurity threats that, if realized, are reasonably likely to materially affect us, including our operations, business strategy, results of</w:t>
      </w:r>
    </w:p>
    <w:p>
      <w:pPr>
        <w:spacing w:after="0" w:line="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operations, or financial condition. See Item 1A. Risk Factors “</w:t>
      </w:r>
      <w:r>
        <w:rPr>
          <w:rFonts w:ascii="Arial" w:cs="Arial" w:eastAsia="Arial" w:hAnsi="Arial"/>
          <w:sz w:val="18"/>
          <w:szCs w:val="18"/>
          <w:i w:val="1"/>
          <w:iCs w:val="1"/>
          <w:color w:val="auto"/>
        </w:rPr>
        <w:t>Cyber-attacks targeting systems and infrastructure used by the gas and oil</w:t>
      </w:r>
      <w:r>
        <w:rPr>
          <w:rFonts w:ascii="Arial" w:cs="Arial" w:eastAsia="Arial" w:hAnsi="Arial"/>
          <w:sz w:val="18"/>
          <w:szCs w:val="18"/>
          <w:color w:val="auto"/>
        </w:rPr>
        <w:t xml:space="preserve"> </w:t>
      </w:r>
      <w:r>
        <w:rPr>
          <w:rFonts w:ascii="Arial" w:cs="Arial" w:eastAsia="Arial" w:hAnsi="Arial"/>
          <w:sz w:val="18"/>
          <w:szCs w:val="18"/>
          <w:i w:val="1"/>
          <w:iCs w:val="1"/>
          <w:color w:val="auto"/>
        </w:rPr>
        <w:t>industry and related regulations may adversely impact our operations and, if we or our third-party providers are unable to obtain and maintain adequate protection for our key systems and data, our business may be harmed.</w:t>
      </w: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2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Board of Directors considers cybersecurity risk as a critical part of the enterprise and its risk oversight function and has delegated to its Audit Committee oversight of cybersecurity and other information technology risks. Our Audit Committee oversees management’s implementation of our cybersecurity risk management program.</w:t>
      </w:r>
    </w:p>
    <w:p>
      <w:pPr>
        <w:spacing w:after="0" w:line="20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Our Audit Committee receives bi-annual updates from management on our cybersecurity risks. In addition, management updates our Audit Committee, as necessary, regarding any significant cybersecurity incidents.</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Audit Committee reports to the full Board of Directors regarding its activities, including those related to cybersecurity. Our Board of Directors also receives briefings from management on our cybersecurity risk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management program. Board members receive presentations on cybersecurity topics from information security management, internal security staff, our internal audit group and external experts as part of our Board of Director’s continuing education on topics that impact public companies.</w:t>
      </w:r>
    </w:p>
    <w:p>
      <w:pPr>
        <w:spacing w:after="0" w:line="189"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Our Cybersecurity Manager leads our cybersecurity risk management program and supervises both our internal cybersecurity personnel and our retained external cybersecurity consultants. Our Cybersecurity Manager is responsible for assessing and managing risks from cybersecurity threats and reporting significant incidents to our Cybersecurity Committee, which includes our Chief Financial Officer, General Counsel and Corporate Secretary, Chief Information Officer, Cybersecurity Manager and Director of Internal Audit. Our Cybersecurity Manager has over 20 years of experience in information security and incident response and our internal cybersecurity team has over 50 years of combined experience in information security and maintains several cybersecurity certificates including but not limited to CISSP, CISM, SRISC, GSEC, and GCFE. Our Cybersecurity team regularly participates with private energy industry and federal security working groups and organizations.</w:t>
      </w:r>
    </w:p>
    <w:p>
      <w:pPr>
        <w:spacing w:after="0" w:line="22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management team stays informed about and monitors efforts to prevent, detect, mitigate, and remediate cybersecurity risks and incidents through various means, including, as appropriate, briefings from internal security personnel, threat intelligence and other information obtained from governmental, public or private sources, such as external consultants engaged by us, and alerts and reports produced by security tools deployed in the IT environment.</w:t>
      </w:r>
    </w:p>
    <w:p>
      <w:pPr>
        <w:spacing w:after="0" w:line="197"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8"/>
          <w:szCs w:val="18"/>
          <w:b w:val="1"/>
          <w:bCs w:val="1"/>
          <w:i w:val="1"/>
          <w:iCs w:val="1"/>
          <w:color w:val="00386C"/>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17780</wp:posOffset>
            </wp:positionV>
            <wp:extent cx="8229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Information regarding our properties is included in Item 1. Business of Part I of this report and in the Supplementary Information included in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883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consolidated financial statements included in Item 8 of Part II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1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7"/>
          <w:szCs w:val="17"/>
          <w:b w:val="1"/>
          <w:bCs w:val="1"/>
          <w:i w:val="1"/>
          <w:iCs w:val="1"/>
          <w:color w:val="00386C"/>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3716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20" w:right="2180" w:hanging="984"/>
        <w:spacing w:after="0" w:line="247" w:lineRule="auto"/>
        <w:tabs>
          <w:tab w:leader="none" w:pos="1000" w:val="left"/>
        </w:tabs>
        <w:rPr>
          <w:sz w:val="20"/>
          <w:szCs w:val="20"/>
          <w:color w:val="auto"/>
        </w:rPr>
      </w:pPr>
      <w:r>
        <w:rPr>
          <w:rFonts w:ascii="Arial" w:cs="Arial" w:eastAsia="Arial" w:hAnsi="Arial"/>
          <w:sz w:val="18"/>
          <w:szCs w:val="18"/>
          <w:b w:val="1"/>
          <w:bCs w:val="1"/>
          <w:color w:val="00386C"/>
        </w:rPr>
        <w:t>Item 5.</w:t>
      </w:r>
      <w:r>
        <w:rPr>
          <w:sz w:val="20"/>
          <w:szCs w:val="20"/>
          <w:color w:val="auto"/>
        </w:rPr>
        <w:tab/>
      </w:r>
      <w:r>
        <w:rPr>
          <w:rFonts w:ascii="Arial" w:cs="Arial" w:eastAsia="Arial" w:hAnsi="Arial"/>
          <w:sz w:val="18"/>
          <w:szCs w:val="18"/>
          <w:b w:val="1"/>
          <w:bCs w:val="1"/>
          <w:i w:val="1"/>
          <w:iCs w:val="1"/>
          <w:color w:val="00386C"/>
        </w:rPr>
        <w:t>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6985</wp:posOffset>
            </wp:positionV>
            <wp:extent cx="52374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004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Subsequent to the completion of the Southwestern Merger on October 1, 2024, we changed our company name to Expand Energy Corporation and changed the NASDAQ trading symbol for our common stock from “CHK” to “EXE”. Additionally, our Class A Warrants, Class B Warrants and Class C Warrants trading symbols changed from “CHKEW”, “CHKEZ”, and “CHKEL”, respectively, to “EXEEW”, “EXEEZ” and “EXEEL”, respectively, following the completion of the Southwestern Merger. Our common shares and Warrants have been trading under the updated trading symbols on NASDAQ since October 2, 2024. The Warrants are immediately exercisable and will expire on February 9, 2026. More information on our common stock and Warrants can be found in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083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March 2022, we adopted a variable return program that resulted in the payment of an additional variable dividend equal to the sum of Adjusted Free Cash Flow from the prior quarter less the base quarterly dividend, multiplied by 50%. Effective January 1, 2025, we updated our enhanced returns framework which prioritizes paying a base dividend per share and provides for annual net debt reduction prior to additional shareholder returns such as additional dividend payments or share repurchases. The declaration and payment of any future dividend is subject to the approval of our Board of Directors in its discretion. For additional information on our dividends,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Repurchases of Equity Securities;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246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46370" cy="8255"/>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October 22, 2024 our Board of Directors authorized repurchases of up to $1.0 billion, in the aggregate, of the Company’s common stock and/or warrants under a share repurchase program. The repurchase authorization permits repurchases on a discretionary basis subject to market conditions, required internal approvals, applicable legal requirements, available liquidity, compliance with the Company’s debt agreements and other appropriate factors.</w:t>
      </w:r>
    </w:p>
    <w:p>
      <w:pPr>
        <w:spacing w:after="0" w:line="10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We did not repurchase any shares of our common stock during the quarter ended December 31, 2024. As of December 31, 2024, approximately $1.0 billion may yet be purchased under the share repurchase program described above.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969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February 19, 2025, there were approximately 1,226 holders of record of our common stock.</w:t>
      </w:r>
    </w:p>
    <w:p>
      <w:pPr>
        <w:spacing w:after="0" w:line="252"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00386C"/>
        </w:rPr>
        <w:t>Item 6.</w:t>
      </w:r>
      <w:r>
        <w:rPr>
          <w:sz w:val="20"/>
          <w:szCs w:val="20"/>
          <w:color w:val="auto"/>
        </w:rPr>
        <w:tab/>
      </w:r>
      <w:r>
        <w:rPr>
          <w:rFonts w:ascii="Arial" w:cs="Arial" w:eastAsia="Arial" w:hAnsi="Arial"/>
          <w:sz w:val="18"/>
          <w:szCs w:val="18"/>
          <w:b w:val="1"/>
          <w:bCs w:val="1"/>
          <w:i w:val="1"/>
          <w:iCs w:val="1"/>
          <w:color w:val="00386C"/>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17780</wp:posOffset>
            </wp:positionV>
            <wp:extent cx="6172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7.</w:t>
      </w:r>
      <w:r>
        <w:rPr>
          <w:sz w:val="20"/>
          <w:szCs w:val="20"/>
          <w:color w:val="auto"/>
        </w:rPr>
        <w:tab/>
      </w:r>
      <w:r>
        <w:rPr>
          <w:rFonts w:ascii="Arial" w:cs="Arial" w:eastAsia="Arial" w:hAnsi="Arial"/>
          <w:sz w:val="17"/>
          <w:szCs w:val="17"/>
          <w:b w:val="1"/>
          <w:bCs w:val="1"/>
          <w:i w:val="1"/>
          <w:iCs w:val="1"/>
          <w:color w:val="00386C"/>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894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This information is intended to provide investors with an understanding of our past performance, current financial condition and outlook for the future and should be read in conjunction with </w:t>
      </w:r>
      <w:r>
        <w:rPr>
          <w:rFonts w:ascii="Arial" w:cs="Arial" w:eastAsia="Arial" w:hAnsi="Arial"/>
          <w:sz w:val="18"/>
          <w:szCs w:val="18"/>
          <w:u w:val="single" w:color="auto"/>
          <w:color w:val="0000FF"/>
        </w:rPr>
        <w:t>Item 8 of Part II</w:t>
      </w:r>
      <w:r>
        <w:rPr>
          <w:rFonts w:ascii="Arial" w:cs="Arial" w:eastAsia="Arial" w:hAnsi="Arial"/>
          <w:sz w:val="18"/>
          <w:szCs w:val="18"/>
          <w:color w:val="auto"/>
        </w:rPr>
        <w:t xml:space="preserve"> of this report.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October 1, 2024, we completed the Southwestern Merger, creating a premier energy company that we believe is underpinned by a leading natural gas portfolio adjacent to the highest demand markets, premium inventory, a resilient financial foundation and an investment grade balance sheet. We believe that this new company is uniquely positioned to deliver affordable, lower-carbon energy to meet growing domestic and international demand while creating sustainable value for stakeholders. In conjunction with the closing of the Southwestern Merger, Chesapeake Energy Corporation changed its name to Expand Energy Corporation.</w:t>
      </w:r>
    </w:p>
    <w:p>
      <w:pPr>
        <w:spacing w:after="0" w:line="1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Expand Energy is the largest independent natural gas producer in the U.S., based on net daily production, and is focused on responsibly developing an abundant supply of natural gas, oil and NGL to expand energy access for all. Our operations are located in Louisiana in the Haynesville and Bossier Shales (“Haynesville”), in Pennsylvania in the Marcellus Shale (“Northeast Appalachia”) and in West Virginia and Ohio in the Marcellus and Utica Shales (“Southwest Appalachia”).</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strategy is to create shareholder value through the responsible development of our significant resource plays while continuing to be a leading provider of natural gas to markets in need. We continue to focus on improving margins through operating efficiencies and financial discipline and improving our ESG performance. To accomplish these goals, we intend to allocate our human resources and capital expenditures to projects we believe offer the highest cash return on capital invested, to deploy leading drilling and completion technology throughout our portfolio, and to take advantage of acquisition and divestiture opportunities to strengthen our portfolio. We also intend to continue to dedicate capital to projects designed to reduce the environmental impact of our production activities.</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Additionally, we aim to be conscientious in our efforts and how they will shape our approach to sustainability for the future and have established the following goals:</w:t>
      </w:r>
    </w:p>
    <w:p>
      <w:pPr>
        <w:spacing w:after="0" w:line="9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zero (Scope 1 and 2) greenhouse gas emissions by 2035.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 100% responsibly sourced gas (RSG) certification across our portfolio.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98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10, 2024, Chesapeake and Southwestern entered into an all-stock agreement and plan of merger (the “Merger Agreement”). Southwestern was an independent energy company engaged in development, exploration and production activities, including related marketing activities, within its operating areas in the Appalachia and Haynesville shale plays. Our Board of Directors and the Board of Directors of Southwestern both approved the Merger Agreement. At separate special meetings each held on June 18, 2024, Chesapeake’s stockholders approved the issuance of Chesapeake’s common stock to the stockholders of Southwestern in connection with the Southwestern Merger, and Southwestern’s stockholders approved the Merger Agreement.</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October 1, 2024, the Southwestern Merger was completed, and we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such shares of our common stock issued to Southwestern’s shareholders was approximately $7.9 billion.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Grade Rating</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October 1, 2024, we received an investment grade rating from S&amp;P Global Ratings (“S&amp;P”). S&amp;P assigned an issuer-level rating of ‘BBB-’ on our unsecured debt and raised our issuer credit rating to ‘BBB-’, with a stable outlook. Additionally, on October 2, 2024, we received an investment grade rating from Fitch Ratings (“Fitch”). Fitch affirmed our revolver credit rating at ‘BBB-’ and upgraded the rating on our senior notes to ‘BBB-’, with a stable outlook. As a result of these investment grade ratings and the satisfaction of certain other conditions, certain restrictive covenants on our credit facility fell away and became more permissive. The leverage ratio and current ratio financial covenants and PV-9 Coverage Ratio are no longer effective, and the Company is required to maintain compliance with a total indebtedness to capitalization ratio, which is the ratio of the Company’s total indebtedness to the sum of total indebtedness plus stockholders’ equity, not to exceed 65%.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Senior Notes, Senior Notes Tender Offer and Redemption of Debt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December 2024, we completed our underwritten public offering of $750 million aggregate principal amount of our 5.70% Senior Notes due 2035 (the “2035 Notes”). Additionally,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SWN 2028 Notes for approximately $312 million, which included an $8 million premium to call the notes.</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Additionally, on January 23, 2025, the $389 million aggregate principal of the SWN 2025 Notes (as defined below) was repaid and terminated with cash on hand and borrowings on the Credit Facility.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Program and Enhanced Returns Framework</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October 2024, our Board of Directors authorized the Company to repurchase up to $1.0 billion, in aggregate, of the Company’s common stock and/or warrants. Additionally, we also announced our enhanced capital returns framework which is designed to more effectively return cash to shareholders and reduce net debt. The plan became effective January 1, 2025, and prioritizes the base dividend of $2.30 per share and a targeted $500 million of annual net debt reduction in 2025, which target will be redetermined annually. Once both have been funded, it is anticipated that 75% of remaining free cash flow will be distributed as market conditions warrant, between share repurchases and additional dividend payments. The remaining free cash flow would be maintained on the balance sheet.</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Divestitures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January 17, 2023, we entered into an agreement to sell a portion of our Eagle Ford assets to WildFire Energy I LLC for approximately $1.425 billion, subject to post-closing adjustments. This transaction closed on March 20, 2023 (with an effective date of October 1, 2022) and resulted in the recognition of a gain of approximately $337 million.</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February 17, 2023, we entered into an agreement to sell a portion of our remaining Eagle Ford assets to INEOS Energy for approximately $1.4 billion, subject to post-closing adjustments. This transaction closed on April 28, 2023 (with an effective date of October 1, 2022) and resulted in the recognition of a gain of approximately $470 million.</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August 11, 2023, we entered into an agreement to sell the final portion of our remaining Eagle Ford assets to SilverBow Resources, Inc. (“SilverBow”) for approximately $700 million, subject to post-closing adjustments. This transaction closed on November 30, 2023 (with an effective date of February 1, 2023) and resulted in the recognition of a gain of approximately $140 million. Due to the satisfaction of certain commodity price triggers, we received an additional $25 million cash consideration during the fourth quarter of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LNG Agreement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February 13, 2024, we announced our entrance into an LNG export deal that includes executed Sales and Purchase Agreements (“SPA”) for long-term liquefaction offtake. Under the SPAs, we will purchase approximately 0.5 million tonnes of LNG per annum from Delfin LNG LLC at a Henry Hub price with a contract targeted start date in 2028, then deliver to Gunvor Group Ltd on a free on board basis with the sales price linked to the Japan Korea Market for a period of 20 years.</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Investments - Momentum Sustainable Ventures LLC</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fourth quarter of 2022, we entered into an agreement with Momentum Sustainable Ventures LLC to build a new natural gas gathering pipeline and carbon capture project, which will gather and treat natural gas produced in the Haynesville Shale for re-delivery to Gulf Coast markets, including LNG export. The pipeline is expected to have an initial capacity of 1.7 Bcf/d expandable to 2.2 Bcf/d. The carbon capture portion of the project anticipates capturing approximately 1.0 million tons per annum of CO2 and delivering the CO2 to ExxonMobil Low Carbon Solutions Onshore Storage, LLC for additional transportation and storage. The natural gas gathering pipeline is projected for a potential in-service date in the fourth quarter of 2025. Through the end of 2024, we have made total capital contributions of $296 million to the project.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Economic and Market Conditions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Geopolitical risk and policy uncertainty continue to drive volatility in natural gas, oil and NGL prices, while macroeconomic headwinds in key consuming countries could impact global growth prospects, potentially affecting supply and demand for energy commodities. Domestically, the natural gas market balance has tightened, driven by increasing demand from new LNG export facilities, reduced industry activity levels, and a recent period of colder than average temperatures, providing support for prices in 2025 and 2026. Our future estimated cash flow is partially protected from commodity price volatility due to our current hedge positions that provide a floor price on over half of our projected gas volumes through the end of 2025 with significant upside participation via costless collars. For the foreseeable future, we believe our operational flexibility, cost structure and liquidity position will enable us to successfully navigate continued price volatility.</w:t>
      </w:r>
    </w:p>
    <w:p>
      <w:pPr>
        <w:spacing w:after="0" w:line="2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Rig count reductions across the lower 48 states of the United States led to service cost deflation in 2024 resulting in decreased operating and capital cost. Higher commodity prices in 2025 could lead to increased rig activity across the industry resulting in modest levels of inflation. We continue to monitor these situations, including the recently enacted tariff on steel by the current Presidential Administration, and assess their impact on our business, including business partners and customers. As a result of the Southwestern Merger, we assumed Southwestern’s oilfield service business that will allow for some vertical integration of our exploration and production operations, which may help to control costs and secure inputs for our operations. For additional discussion regarding risk associated with price volatility and economic uncertainty, see Item 1A Risk Factors in this report.</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Overview</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primary sources of capital resources and liquidity are internally generated cash flows from operations and borrowings under our Credit Facility, and our primary uses of cash are for the development of our natural gas and oil properties, acquisitions of additional natural gas and oil properties and return of value to stockholders through dividends and equity repurchases. We believe our cash flow from operations, including from the acquired Southwestern business, cash on hand and unused borrowing capacity under the Credit Facility, as discussed below, will provide sufficient liquidity during the next 12 months and the foreseeable future. As of December 31, 2024, we had $2.8 billion of liquidity available, including $ 317 million of cash on hand and $2.5 billion of aggregate unused borrowing capacity available under the Credit Facility. As of December 31, 2024, we had no outstanding borrowings under our Credit Facility.</w:t>
      </w:r>
    </w:p>
    <w:p>
      <w:pPr>
        <w:spacing w:after="0" w:line="1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 of our debt obligations, including principal and carrying amounts of our senior notes.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On February 26, 2025, we declared a base quarterly dividend payable of $ 0.575 per share, which will be paid on March 27, 2025 to stockholders of record at the close of business on March 11, 2025.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declaration and payment of any future dividend, whether fixed or variable, will remain at the full discretion of the Board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governing the Credit Facility and (iv) the terms and provisions of the indentures governing its 5.500% Senior Notes due 2026, 5.875% Senior Notes due 2029, 6.750% Senior Notes due 2029, and 5.70% Senior Notes due 2035 as well as the senior notes assumed from Southwestern, including the 5.375% Senior Notes due 2029, 5.375% Senior Notes due 2030 and 4.750% Senior Notes due 2032.</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and Hedging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See </w:t>
      </w:r>
      <w:r>
        <w:rPr>
          <w:rFonts w:ascii="Arial" w:cs="Arial" w:eastAsia="Arial" w:hAnsi="Arial"/>
          <w:sz w:val="18"/>
          <w:szCs w:val="18"/>
          <w:u w:val="single" w:color="auto"/>
          <w:color w:val="0000FF"/>
        </w:rPr>
        <w:t>Item 7A</w:t>
      </w:r>
      <w:r>
        <w:rPr>
          <w:rFonts w:ascii="Arial" w:cs="Arial" w:eastAsia="Arial" w:hAnsi="Arial"/>
          <w:sz w:val="18"/>
          <w:szCs w:val="18"/>
          <w:color w:val="auto"/>
        </w:rPr>
        <w:t xml:space="preserve"> Quantitative and Qualitative Disclosures About Market Risk included in Part II of this report for further discussion on the impact of commodity price risk on our financial position.</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As of December 31, 2024, our material contractual obligations include repayment of senior notes, derivative obligations, asset retirement obligations, lease obligations,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The estimated gross undiscounted future commitments under these agreements were approximately $9.9 billion as of December 31, 2024. As discussed above, we believe our existing sources of liquidity will be sufficient to fund our near and long-term contractual obligations. See </w:t>
      </w:r>
      <w:r>
        <w:rPr>
          <w:rFonts w:ascii="Arial" w:cs="Arial" w:eastAsia="Arial" w:hAnsi="Arial"/>
          <w:sz w:val="18"/>
          <w:szCs w:val="18"/>
          <w:u w:val="single" w:color="auto"/>
          <w:color w:val="0000FF"/>
        </w:rPr>
        <w:t>Notes 4</w:t>
      </w:r>
      <w:r>
        <w:rPr>
          <w:rFonts w:ascii="Arial" w:cs="Arial" w:eastAsia="Arial" w:hAnsi="Arial"/>
          <w:sz w:val="18"/>
          <w:szCs w:val="18"/>
          <w:color w:val="auto"/>
        </w:rPr>
        <w:t xml:space="preserve">, </w:t>
      </w:r>
      <w:r>
        <w:rPr>
          <w:rFonts w:ascii="Arial" w:cs="Arial" w:eastAsia="Arial" w:hAnsi="Arial"/>
          <w:sz w:val="18"/>
          <w:szCs w:val="18"/>
          <w:u w:val="single" w:color="auto"/>
          <w:color w:val="0000FF"/>
        </w:rPr>
        <w:t>5</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13</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16</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December 9, 2022, we entered into the Credit Agreement, as amended by the Initial Credit Agreement Amendment and the Investment Grade Credit Agreement Amendment, maturing in December 2027. The Credit Facility provides for aggregate commitments of $2.5 billion, with a $ 500 million sublimit available for the issuance of letters of credit and a $50 million sublimit available for swingline loans. As of December 31, 2024, we had approximately $2.5 billion available for borrowings under the Credit Facility.</w:t>
      </w:r>
    </w:p>
    <w:p>
      <w:pPr>
        <w:spacing w:after="0" w:line="2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Borrowings under the Credit Agreement may be alternate base rate loans or term SOFR loans, at the Company’s election. On October 1, 2024, we received an investment grade rating from S&amp;P Global Ratings (“S&amp;P”). S&amp;P assigned an issuer-level rating of ‘BBB-’ on our unsecured debt and raised our issuer credit rating to ‘BBB-’, with a stable outlook. Additionally, on October 2, 2024, we received an investment grade rating from Fitch Ratings (“Fitch”). Fitch affirmed our revolver credit rating at ‘BBB-’ and upgraded the rating on our senior notes to ‘BBB-’, with a stable outlook. As a result of these investment grade ratings and the satisfaction of certain other conditions, (i) the Pre-IG Credit Agreement was automatically amended by the Investment Grade Credit Agreement Amendment, (ii) all liens and guarantees previously provided by the Company and its subsidiaries in connection with the Pre-IG Credit Agreement were released and (iii) all guarantees previously provided in connection with the Company’s senior notes were released. Such Investment Grade Credit Agreement Amendment, among other things, removed the application of the borrowing base provided for in the Pre-IG Credit Agreement and modified the pricing and covenants as discussed in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of Southwestern’s Senior Notes and Southwestern Credit Facility Extinguishment</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October 1, 2024, the Southwestern Merger was completed, and we assumed approximately $3.7 billion of Southwestern’s senior notes. On October 1, 2024, Southwestern’s existing credit facility was terminated, with all loan amounts and other obligations outstanding thereunder repaid in full and all commitments thereunder extinguished, for approximately $585 million, which included all outstanding borrowings, accrued interest and transaction fees.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w:t>
      </w:r>
    </w:p>
    <w:p>
      <w:pPr>
        <w:spacing w:after="0" w:line="2" w:lineRule="exact"/>
        <w:rPr>
          <w:sz w:val="20"/>
          <w:szCs w:val="20"/>
          <w:color w:val="auto"/>
        </w:rPr>
      </w:pPr>
    </w:p>
    <w:p>
      <w:pPr>
        <w:ind w:left="420" w:right="8320" w:hanging="412"/>
        <w:spacing w:after="0" w:line="453" w:lineRule="auto"/>
        <w:tabs>
          <w:tab w:leader="none" w:pos="1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of this report for further discussion. </w:t>
      </w:r>
      <w:r>
        <w:rPr>
          <w:rFonts w:ascii="Arial" w:cs="Arial" w:eastAsia="Arial" w:hAnsi="Arial"/>
          <w:sz w:val="17"/>
          <w:szCs w:val="17"/>
          <w:i w:val="1"/>
          <w:iCs w:val="1"/>
          <w:color w:val="auto"/>
        </w:rPr>
        <w:t>Capital Expenditures</w:t>
      </w:r>
    </w:p>
    <w:p>
      <w:pPr>
        <w:jc w:val="both"/>
        <w:ind w:firstLine="405"/>
        <w:spacing w:after="0" w:line="259" w:lineRule="auto"/>
        <w:rPr>
          <w:sz w:val="20"/>
          <w:szCs w:val="20"/>
          <w:color w:val="auto"/>
        </w:rPr>
      </w:pPr>
      <w:r>
        <w:rPr>
          <w:rFonts w:ascii="Arial" w:cs="Arial" w:eastAsia="Arial" w:hAnsi="Arial"/>
          <w:sz w:val="18"/>
          <w:szCs w:val="18"/>
          <w:color w:val="auto"/>
        </w:rPr>
        <w:t>For the year ending December 31, 2025, we currently expect to complete and turn in line 240 to 270 gross wells utilizing approximately 11 to 15 rigs and plan to invest between approximately $2.9 – $3.1 billion in capital expenditures. We currently plan to fund our 2025 capital program through cash on hand, expected cash flow from our operations and borrowings under our Credit Facility. We may alter or change our plans with respect to our capital program and expected capital expenditures based on developments in our business, our financial position, our industry or any of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6180" w:type="dxa"/>
            <w:vAlign w:val="bottom"/>
          </w:tcPr>
          <w:p>
            <w:pPr>
              <w:ind w:left="200"/>
              <w:spacing w:after="0"/>
              <w:rPr>
                <w:sz w:val="20"/>
                <w:szCs w:val="20"/>
                <w:color w:val="auto"/>
              </w:rPr>
            </w:pPr>
            <w:r>
              <w:rPr>
                <w:rFonts w:ascii="Arial" w:cs="Arial" w:eastAsia="Arial" w:hAnsi="Arial"/>
                <w:sz w:val="18"/>
                <w:szCs w:val="18"/>
                <w:i w:val="1"/>
                <w:iCs w:val="1"/>
                <w:color w:val="auto"/>
              </w:rPr>
              <w:t>Sources and (Uses) of Cash and Cash Equivalents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9400" w:type="dxa"/>
            <w:vAlign w:val="bottom"/>
            <w:gridSpan w:val="7"/>
          </w:tcPr>
          <w:p>
            <w:pPr>
              <w:ind w:left="20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7"/>
        </w:trPr>
        <w:tc>
          <w:tcPr>
            <w:tcW w:w="6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20" w:type="dxa"/>
            <w:vAlign w:val="bottom"/>
            <w:tcBorders>
              <w:bottom w:val="single" w:sz="8" w:color="auto"/>
            </w:tcBorders>
          </w:tcPr>
          <w:p>
            <w:pPr>
              <w:spacing w:after="0"/>
              <w:rPr>
                <w:sz w:val="24"/>
                <w:szCs w:val="24"/>
                <w:color w:val="auto"/>
              </w:rPr>
            </w:pPr>
          </w:p>
        </w:tc>
      </w:tr>
      <w:tr>
        <w:trPr>
          <w:trHeight w:val="223"/>
        </w:trPr>
        <w:tc>
          <w:tcPr>
            <w:tcW w:w="61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223"/>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1,565</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2,380</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4,125</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Proceeds from divestitures of property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Credit Facility, net</w:t>
            </w:r>
          </w:p>
        </w:tc>
        <w:tc>
          <w:tcPr>
            <w:tcW w:w="3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1,050</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Receipts of deferred consideration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issuance of senior notes, net</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Proceeds from warrant exercise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(1,557)</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(1,823)</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Contributions to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Credit Facility, net</w:t>
            </w:r>
          </w:p>
        </w:tc>
        <w:tc>
          <w:tcPr>
            <w:tcW w:w="32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(1,050)</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Payments on Exit Credit Facility, net</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Business combination, net</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(1,967)</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Cash paid to purchase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Debt issuance and other financing costs</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Cash paid to repurchase and retire common stock</w:t>
            </w:r>
          </w:p>
        </w:tc>
        <w:tc>
          <w:tcPr>
            <w:tcW w:w="3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w:t>
            </w:r>
          </w:p>
        </w:tc>
      </w:tr>
      <w:tr>
        <w:trPr>
          <w:trHeight w:val="230"/>
        </w:trPr>
        <w:tc>
          <w:tcPr>
            <w:tcW w:w="6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for common stock dividends</w:t>
            </w:r>
          </w:p>
        </w:tc>
        <w:tc>
          <w:tcPr>
            <w:tcW w:w="3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(388)</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(1,212)</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18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auto"/>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(722)</w:t>
            </w:r>
          </w:p>
        </w:tc>
      </w:tr>
      <w:tr>
        <w:trPr>
          <w:trHeight w:val="20"/>
        </w:trPr>
        <w:tc>
          <w:tcPr>
            <w:tcW w:w="6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Cash provided by operating activities was $1.57 billion, $ 2.38 billion and $4.12 billion during the years ended December 31, 2024, 2023 and 2022, respectively. The decrease in 2024 is primarily due to lower prices for the natural gas, oil and NGL we sold. The decrease in 2023 is primarily due to lower prices for the natural gas, oil and NGL we sold as well as decreased sales volumes related to our Eagle Ford divestitures. Cash flows from operations are largely affected by the same factors that affect our net income,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Divestitures of Property and Equipment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In 2023, we sold our Eagle Ford assets through three separate transactions resulting in total cash proceeds of $2.5 billion after customary post-closing adjustments. In 2022, we sold our Powder River Basin assets to Continental Resources, Inc. for approximately $400 million after customary closing adjustments.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2022, we borrowed a net $ 1.05 billion under the Credit Facility. We utilized these borrowings to terminate the Exit Credit Facility. A portion of the borrowings under the Credit Facility were repaid with internally generated cash provided by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Receipts of Deferred Consideration</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During 2024, we received $166 million in deferred consideration associated with our Eagle Ford divestiture transactions.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Issuance of Senior Notes, net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2024, we completed our underwritten public offering of $750 million aggregate principal amount of our 5.70% Senior Notes due 2035.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capital expenditures during the year ended December 31, 2024 decreased compared to the year ended December 31, 2023, primarily as a result of decreased drilling and completion activity within our Northeast Appalachia and Haynesville operating areas, as well as reduced activity in Eagle Ford due to our Eagle Ford divestitures. Our capital expenditures during the year ended December 31, 2023 were in line with the capital expenditures during the year ended December 31, 2022, primarily as a result of increased drilling and completion activity within our Haynesville operating area, partially offset by reduced activity due to our Eagle Ford divestitures. During the year ended December 31, 2024, our average operated rig count was 9 rigs and 133 spud wells, compared to an average operated rig count of 11 rigs and 193 spud wells in the year ended December 31, 2023 and 14 rigs and 217 spud wells in the year ended December 31, 2022. We completed 81 operated wells in the year ended December 31, 2024 compared to 166 in the year ended December 31, 2023 and 216 in the year ended December 31, 2022.</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Contributions to Investments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the years ended December 31, 2024, 2023 and 2022, contributions to investments primarily consisted of contributions to our investment with Momentum Sustainable Ventures LLC to build a new natural gas gathering pipeline and carbon capture project.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additional information.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Credit Facility, net</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During the year ended December 31, 2023, we made net repayments of $ 1.05 billion on the Credit Facility, utilizing a portion of the proceeds from the Eagle Ford divestitures and internally generated cash provided by operating activities.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Exit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 December 2022, we entered into the Credit Facility and terminated the Exit Credit Facility, repaying all amounts outstanding and extinguishing all commitments thereunder.</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Combination, net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connection with the completion of the Southwestern Merger during 2024, we terminated Southwestern’s existing credit facility, with all loan amounts and other obligations outstanding thereunder repaid in full and all commitments thereunder extinguished, for approximately $585 million utilizing cash on hand as well as the cash assumed from Southwestern. During the year ended December 31, 2022, we completed the Marcellus Acquisition for approximately $2 billion and 9.4 million shares of our common stock.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further discussion of these acquisitions.</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Purchase Debt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2024,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2028 Notes assumed in the Southwestern Merger for approximately $312 million, which included an $ 8 million premium to call the notes.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Issuance and Other Financing Costs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2024, we paid $11 million of one-time fees to lenders related to the changes to our Credit Facility as well as for the issuance of the 2035 Senior Notes. During 2022, we paid $17 million of one-time fees to lenders to establish the Credit Facility.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Repurchase and Retire Common Stock</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We did not repurchase any shares during 2024. During 2023, we repurchased 4.4 million shares of our common stock for an aggregate cost of approximately $355 million. During 2022, we repurchased 11.7 million shares of our common stock for an aggregate cost of $1.1 billion. The repurchased shares of common stock were retired and recorded as a reduction to common stock and retained earnings. See </w:t>
      </w:r>
      <w:r>
        <w:rPr>
          <w:rFonts w:ascii="Arial" w:cs="Arial" w:eastAsia="Arial" w:hAnsi="Arial"/>
          <w:sz w:val="18"/>
          <w:szCs w:val="18"/>
          <w:u w:val="single" w:color="auto"/>
          <w:color w:val="0000FF"/>
        </w:rPr>
        <w:t>Note 10</w:t>
      </w:r>
      <w:r>
        <w:rPr>
          <w:rFonts w:ascii="Arial" w:cs="Arial" w:eastAsia="Arial" w:hAnsi="Arial"/>
          <w:sz w:val="18"/>
          <w:szCs w:val="18"/>
          <w:color w:val="0000FF"/>
        </w:rPr>
        <w:t xml:space="preserve"> </w:t>
      </w:r>
      <w:r>
        <w:rPr>
          <w:rFonts w:ascii="Arial" w:cs="Arial" w:eastAsia="Arial" w:hAnsi="Arial"/>
          <w:sz w:val="18"/>
          <w:szCs w:val="18"/>
          <w:color w:val="000000"/>
        </w:rPr>
        <w:t>of the notes to our consolidated financial statements included in Item 8 of Part II of this report for further discussion.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for Common Stock Dividends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As part of our dividend program, we paid common stock dividends of $388 million, $487 million and $ 1.2 billion during the years ended December 31, 2024, 2023 and 2022, respectively.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notes to our consolidated financial statements included in Item 8 of Part II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76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 ended December 31, 2024 compared to the year ended December 31, 2023</w:t>
      </w:r>
    </w:p>
    <w:p>
      <w:pPr>
        <w:spacing w:after="0" w:line="169" w:lineRule="exact"/>
        <w:rPr>
          <w:sz w:val="20"/>
          <w:szCs w:val="20"/>
          <w:color w:val="auto"/>
        </w:rPr>
      </w:pPr>
    </w:p>
    <w:p>
      <w:pPr>
        <w:jc w:val="both"/>
        <w:ind w:firstLine="405"/>
        <w:spacing w:after="0" w:line="259" w:lineRule="auto"/>
        <w:rPr>
          <w:rFonts w:ascii="Arial" w:cs="Arial" w:eastAsia="Arial" w:hAnsi="Arial"/>
          <w:sz w:val="18"/>
          <w:szCs w:val="18"/>
          <w:i w:val="1"/>
          <w:iCs w:val="1"/>
          <w:color w:val="0000FF"/>
        </w:rPr>
      </w:pPr>
      <w:r>
        <w:rPr>
          <w:rFonts w:ascii="Arial" w:cs="Arial" w:eastAsia="Arial" w:hAnsi="Arial"/>
          <w:sz w:val="18"/>
          <w:szCs w:val="18"/>
          <w:color w:val="auto"/>
        </w:rPr>
        <w:t xml:space="preserve">Below is a discussion of changes in our results of operations for 2024 compared to 2023. The results of operations discussed below include amounts pertaining to Southwestern after the merger closed on October 1, 2024. A discussion of changes in our results of operations </w:t>
      </w:r>
      <w:hyperlink r:id="rId126">
        <w:r>
          <w:rPr>
            <w:rFonts w:ascii="Arial" w:cs="Arial" w:eastAsia="Arial" w:hAnsi="Arial"/>
            <w:sz w:val="18"/>
            <w:szCs w:val="18"/>
            <w:color w:val="auto"/>
          </w:rPr>
          <w:t xml:space="preserve">for 2023 compared to 2022 has been omitted from this Form 10-K, but may be found in </w:t>
        </w:r>
        <w:r>
          <w:rPr>
            <w:rFonts w:ascii="Arial" w:cs="Arial" w:eastAsia="Arial" w:hAnsi="Arial"/>
            <w:sz w:val="18"/>
            <w:szCs w:val="18"/>
            <w:i w:val="1"/>
            <w:iCs w:val="1"/>
            <w:u w:val="single" w:color="auto"/>
            <w:color w:val="0000FF"/>
          </w:rPr>
          <w:t>Part II, Item 7. Management’s Discussion and</w:t>
        </w:r>
      </w:hyperlink>
      <w:r>
        <w:rPr>
          <w:rFonts w:ascii="Arial" w:cs="Arial" w:eastAsia="Arial" w:hAnsi="Arial"/>
          <w:sz w:val="18"/>
          <w:szCs w:val="18"/>
          <w:color w:val="auto"/>
        </w:rPr>
        <w:t xml:space="preserve"> </w:t>
      </w:r>
      <w:hyperlink r:id="rId126">
        <w:r>
          <w:rPr>
            <w:rFonts w:ascii="Arial" w:cs="Arial" w:eastAsia="Arial" w:hAnsi="Arial"/>
            <w:sz w:val="18"/>
            <w:szCs w:val="18"/>
            <w:i w:val="1"/>
            <w:iCs w:val="1"/>
            <w:u w:val="single" w:color="auto"/>
            <w:color w:val="0000FF"/>
          </w:rPr>
          <w:t>Analysis of Financial Condition and Results of Operations</w:t>
        </w:r>
        <w:r>
          <w:rPr>
            <w:rFonts w:ascii="Arial" w:cs="Arial" w:eastAsia="Arial" w:hAnsi="Arial"/>
            <w:sz w:val="18"/>
            <w:szCs w:val="18"/>
            <w:i w:val="1"/>
            <w:iCs w:val="1"/>
            <w:color w:val="0000FF"/>
          </w:rPr>
          <w:t xml:space="preserve"> </w:t>
        </w:r>
        <w:r>
          <w:rPr>
            <w:rFonts w:ascii="Arial" w:cs="Arial" w:eastAsia="Arial" w:hAnsi="Arial"/>
            <w:sz w:val="18"/>
            <w:szCs w:val="18"/>
            <w:color w:val="000000"/>
          </w:rPr>
          <w:t>of our Form 10-K for the year ended December 31, 2023 as filed with the SEC on</w:t>
        </w:r>
      </w:hyperlink>
      <w:r>
        <w:rPr>
          <w:rFonts w:ascii="Arial" w:cs="Arial" w:eastAsia="Arial" w:hAnsi="Arial"/>
          <w:sz w:val="18"/>
          <w:szCs w:val="18"/>
          <w:i w:val="1"/>
          <w:iCs w:val="1"/>
          <w:color w:val="0000FF"/>
        </w:rPr>
        <w:t xml:space="preserve"> </w:t>
      </w:r>
      <w:r>
        <w:rPr>
          <w:rFonts w:ascii="Arial" w:cs="Arial" w:eastAsia="Arial" w:hAnsi="Arial"/>
          <w:sz w:val="18"/>
          <w:szCs w:val="18"/>
          <w:color w:val="000000"/>
        </w:rPr>
        <w:t>February 21, 2024.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rPr>
              <w:t>Year Ended December 31, 2024</w:t>
            </w: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20" w:type="dxa"/>
            <w:vAlign w:val="bottom"/>
          </w:tcPr>
          <w:p>
            <w:pPr>
              <w:jc w:val="right"/>
              <w:spacing w:after="0"/>
              <w:rPr>
                <w:sz w:val="20"/>
                <w:szCs w:val="20"/>
                <w:color w:val="auto"/>
              </w:rPr>
            </w:pPr>
            <w:r>
              <w:rPr>
                <w:rFonts w:ascii="Arial" w:cs="Arial" w:eastAsia="Arial" w:hAnsi="Arial"/>
                <w:sz w:val="18"/>
                <w:szCs w:val="18"/>
                <w:color w:val="auto"/>
              </w:rPr>
              <w:t>1,809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270</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60.41</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417</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60.41</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75.72</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61.04</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4"/>
        </w:trPr>
        <w:tc>
          <w:tcPr>
            <w:tcW w:w="3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ind w:left="560"/>
              <w:spacing w:after="0"/>
              <w:rPr>
                <w:sz w:val="20"/>
                <w:szCs w:val="20"/>
                <w:color w:val="auto"/>
              </w:rPr>
            </w:pPr>
            <w:r>
              <w:rPr>
                <w:rFonts w:ascii="Arial" w:cs="Arial" w:eastAsia="Arial" w:hAnsi="Arial"/>
                <w:sz w:val="18"/>
                <w:szCs w:val="18"/>
                <w:b w:val="1"/>
                <w:bCs w:val="1"/>
                <w:color w:val="auto"/>
              </w:rPr>
              <w:t>Year Ended December 31, 2023</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7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8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w:t>
            </w:r>
          </w:p>
        </w:tc>
        <w:tc>
          <w:tcPr>
            <w:tcW w:w="10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00" w:type="dxa"/>
            <w:vAlign w:val="bottom"/>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8"/>
              </w:rPr>
              <w:t>MBbl per</w:t>
            </w: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rPr>
              <w:t>MBbl per</w:t>
            </w:r>
          </w:p>
        </w:tc>
        <w:tc>
          <w:tcPr>
            <w:tcW w:w="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$/Bbl</w:t>
            </w:r>
          </w:p>
        </w:tc>
        <w:tc>
          <w:tcPr>
            <w:tcW w:w="8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MMcfe</w:t>
            </w:r>
          </w:p>
        </w:tc>
        <w:tc>
          <w:tcPr>
            <w:tcW w:w="100" w:type="dxa"/>
            <w:vAlign w:val="bottom"/>
          </w:tcPr>
          <w:p>
            <w:pPr>
              <w:spacing w:after="0"/>
              <w:rPr>
                <w:sz w:val="14"/>
                <w:szCs w:val="14"/>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rPr>
              <w:t>day</w:t>
            </w:r>
          </w:p>
        </w:tc>
        <w:tc>
          <w:tcPr>
            <w:tcW w:w="840" w:type="dxa"/>
            <w:vAlign w:val="bottom"/>
            <w:gridSpan w:val="2"/>
            <w:vMerge w:val="continue"/>
          </w:tcPr>
          <w:p>
            <w:pPr>
              <w:spacing w:after="0"/>
              <w:rPr>
                <w:sz w:val="21"/>
                <w:szCs w:val="21"/>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6"/>
              </w:rPr>
              <w:t>day</w:t>
            </w:r>
          </w:p>
        </w:tc>
        <w:tc>
          <w:tcPr>
            <w:tcW w:w="780" w:type="dxa"/>
            <w:vAlign w:val="bottom"/>
            <w:gridSpan w:val="2"/>
            <w:vMerge w:val="continue"/>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10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DBDBDB"/>
            </w:tcBorders>
            <w:shd w:val="clear" w:color="auto" w:fill="DBDBDB"/>
          </w:tcPr>
          <w:p>
            <w:pPr>
              <w:spacing w:after="0"/>
              <w:rPr>
                <w:sz w:val="19"/>
                <w:szCs w:val="19"/>
                <w:color w:val="auto"/>
              </w:rPr>
            </w:pP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20" w:type="dxa"/>
            <w:vAlign w:val="bottom"/>
          </w:tcPr>
          <w:p>
            <w:pPr>
              <w:jc w:val="right"/>
              <w:spacing w:after="0"/>
              <w:rPr>
                <w:sz w:val="20"/>
                <w:szCs w:val="20"/>
                <w:color w:val="auto"/>
              </w:rPr>
            </w:pPr>
            <w:r>
              <w:rPr>
                <w:rFonts w:ascii="Arial" w:cs="Arial" w:eastAsia="Arial" w:hAnsi="Arial"/>
                <w:sz w:val="18"/>
                <w:szCs w:val="18"/>
                <w:color w:val="auto"/>
              </w:rPr>
              <w:t>1,834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77.80</w:t>
            </w:r>
          </w:p>
        </w:tc>
        <w:tc>
          <w:tcPr>
            <w:tcW w:w="120" w:type="dxa"/>
            <w:vAlign w:val="bottom"/>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DBDBDB"/>
          </w:tcPr>
          <w:p>
            <w:pPr>
              <w:spacing w:after="0"/>
              <w:rPr>
                <w:sz w:val="19"/>
                <w:szCs w:val="19"/>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9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3"/>
        </w:trPr>
        <w:tc>
          <w:tcPr>
            <w:tcW w:w="3780" w:type="dxa"/>
            <w:vAlign w:val="bottom"/>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77.80</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77.63</w:t>
            </w:r>
          </w:p>
        </w:tc>
        <w:tc>
          <w:tcPr>
            <w:tcW w:w="120" w:type="dxa"/>
            <w:vAlign w:val="bottom"/>
            <w:shd w:val="clear" w:color="auto" w:fill="DBDBDB"/>
          </w:tcPr>
          <w:p>
            <w:pPr>
              <w:spacing w:after="0"/>
              <w:rPr>
                <w:sz w:val="19"/>
                <w:szCs w:val="19"/>
                <w:color w:val="auto"/>
              </w:rPr>
            </w:pPr>
          </w:p>
        </w:tc>
        <w:tc>
          <w:tcPr>
            <w:tcW w:w="8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8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 realized</w:t>
            </w:r>
          </w:p>
        </w:tc>
        <w:tc>
          <w:tcPr>
            <w:tcW w:w="820" w:type="dxa"/>
            <w:vAlign w:val="bottom"/>
          </w:tcPr>
          <w:p>
            <w:pPr>
              <w:spacing w:after="0"/>
              <w:rPr>
                <w:sz w:val="15"/>
                <w:szCs w:val="15"/>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72.89</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7"/>
        </w:trPr>
        <w:tc>
          <w:tcPr>
            <w:tcW w:w="378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82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60" w:type="dxa"/>
            <w:vAlign w:val="bottom"/>
          </w:tcPr>
          <w:p>
            <w:pPr>
              <w:jc w:val="center"/>
              <w:ind w:right="1790"/>
              <w:spacing w:after="0"/>
              <w:rPr>
                <w:sz w:val="20"/>
                <w:szCs w:val="20"/>
                <w:color w:val="auto"/>
              </w:rPr>
            </w:pPr>
            <w:r>
              <w:rPr>
                <w:rFonts w:ascii="Arial" w:cs="Arial" w:eastAsia="Arial" w:hAnsi="Arial"/>
                <w:sz w:val="18"/>
                <w:szCs w:val="18"/>
                <w:i w:val="1"/>
                <w:iCs w:val="1"/>
                <w:color w:val="auto"/>
                <w:w w:val="99"/>
              </w:rPr>
              <w:t>Natural Gas, Oil and NGL Sales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 2024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5260" w:type="dxa"/>
            <w:vAlign w:val="bottom"/>
          </w:tcPr>
          <w:p>
            <w:pPr>
              <w:jc w:val="center"/>
              <w:ind w:right="1850"/>
              <w:spacing w:after="0"/>
              <w:rPr>
                <w:sz w:val="20"/>
                <w:szCs w:val="20"/>
                <w:color w:val="auto"/>
              </w:rPr>
            </w:pPr>
            <w:r>
              <w:rPr>
                <w:rFonts w:ascii="Arial" w:cs="Arial" w:eastAsia="Arial" w:hAnsi="Arial"/>
                <w:sz w:val="18"/>
                <w:szCs w:val="18"/>
                <w:color w:val="auto"/>
                <w:w w:val="99"/>
              </w:rPr>
              <w:t>Total natural gas, oil and NGL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r>
      <w:tr>
        <w:trPr>
          <w:trHeight w:val="21"/>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Year Ended December 31, 2023</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NGL</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2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1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526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1"/>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20" w:firstLine="405"/>
        <w:spacing w:after="0" w:line="245" w:lineRule="auto"/>
        <w:rPr>
          <w:sz w:val="20"/>
          <w:szCs w:val="20"/>
          <w:color w:val="auto"/>
        </w:rPr>
      </w:pPr>
      <w:r>
        <w:rPr>
          <w:rFonts w:ascii="Arial" w:cs="Arial" w:eastAsia="Arial" w:hAnsi="Arial"/>
          <w:sz w:val="18"/>
          <w:szCs w:val="18"/>
          <w:color w:val="auto"/>
        </w:rPr>
        <w:t>Natural gas, oil and NGL sales in 2024 decreased $ 578 million compared to 2023. Lower average prices, which were consistent with the downward trend in index prices for gas and oil, drove a $426 million decrease in 2024. The Eagle Ford divestitures resulted in a $764</w:t>
      </w:r>
    </w:p>
    <w:p>
      <w:pPr>
        <w:jc w:val="both"/>
        <w:spacing w:after="0" w:line="226" w:lineRule="auto"/>
        <w:rPr>
          <w:sz w:val="20"/>
          <w:szCs w:val="20"/>
          <w:color w:val="auto"/>
        </w:rPr>
      </w:pPr>
      <w:r>
        <w:rPr>
          <w:rFonts w:ascii="Arial" w:cs="Arial" w:eastAsia="Arial" w:hAnsi="Arial"/>
          <w:sz w:val="18"/>
          <w:szCs w:val="18"/>
          <w:color w:val="auto"/>
        </w:rPr>
        <w:t>million decrease. Additionally, planned curtailments and activity deferrals led to lower sales volumes in Haynesville and Northeast Appalachia for decreases of $243 million and $167 million, respectively. These decreases were partially offset by a $1.0 billion increase due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Southwestern Merger.</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80" w:type="dxa"/>
            <w:vAlign w:val="bottom"/>
          </w:tcPr>
          <w:p>
            <w:pPr>
              <w:ind w:left="420"/>
              <w:spacing w:after="0"/>
              <w:rPr>
                <w:sz w:val="20"/>
                <w:szCs w:val="20"/>
                <w:color w:val="auto"/>
              </w:rPr>
            </w:pPr>
            <w:r>
              <w:rPr>
                <w:rFonts w:ascii="Arial" w:cs="Arial" w:eastAsia="Arial" w:hAnsi="Arial"/>
                <w:sz w:val="18"/>
                <w:szCs w:val="18"/>
                <w:i w:val="1"/>
                <w:iCs w:val="1"/>
                <w:color w:val="auto"/>
              </w:rPr>
              <w:t>Production Expenses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5"/>
        </w:trPr>
        <w:tc>
          <w:tcPr>
            <w:tcW w:w="37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2024</w:t>
            </w:r>
          </w:p>
        </w:tc>
        <w:tc>
          <w:tcPr>
            <w:tcW w:w="13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400" w:type="dxa"/>
            <w:vAlign w:val="bottom"/>
            <w:tcBorders>
              <w:bottom w:val="single" w:sz="8" w:color="auto"/>
            </w:tcBorders>
          </w:tcPr>
          <w:p>
            <w:pPr>
              <w:spacing w:after="0"/>
              <w:rPr>
                <w:sz w:val="19"/>
                <w:szCs w:val="19"/>
                <w:color w:val="auto"/>
              </w:rPr>
            </w:pPr>
          </w:p>
        </w:tc>
      </w:tr>
      <w:tr>
        <w:trPr>
          <w:trHeight w:val="223"/>
        </w:trPr>
        <w:tc>
          <w:tcPr>
            <w:tcW w:w="3780" w:type="dxa"/>
            <w:vAlign w:val="bottom"/>
            <w:tcBorders>
              <w:bottom w:val="single" w:sz="8" w:color="DBDBDB"/>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c>
          <w:tcPr>
            <w:tcW w:w="160" w:type="dxa"/>
            <w:vAlign w:val="bottom"/>
            <w:tcBorders>
              <w:bottom w:val="single" w:sz="8" w:color="DBDBDB"/>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740" w:type="dxa"/>
            <w:vAlign w:val="bottom"/>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30"/>
        </w:trPr>
        <w:tc>
          <w:tcPr>
            <w:tcW w:w="3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74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40" w:type="dxa"/>
            <w:vAlign w:val="bottom"/>
            <w:gridSpan w:val="3"/>
            <w:shd w:val="clear" w:color="auto" w:fill="DBDBDB"/>
          </w:tcPr>
          <w:p>
            <w:pPr>
              <w:jc w:val="right"/>
              <w:ind w:right="6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740" w:type="dxa"/>
            <w:vAlign w:val="bottom"/>
          </w:tcPr>
          <w:p>
            <w:pPr>
              <w:spacing w:after="0"/>
              <w:rPr>
                <w:sz w:val="19"/>
                <w:szCs w:val="19"/>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0.91</w:t>
            </w:r>
          </w:p>
        </w:tc>
      </w:tr>
      <w:tr>
        <w:trPr>
          <w:trHeight w:val="248"/>
        </w:trPr>
        <w:tc>
          <w:tcPr>
            <w:tcW w:w="378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production expenses</w:t>
            </w:r>
          </w:p>
        </w:tc>
        <w:tc>
          <w:tcPr>
            <w:tcW w:w="740" w:type="dxa"/>
            <w:vAlign w:val="bottom"/>
            <w:tcBorders>
              <w:top w:val="single" w:sz="8" w:color="auto"/>
              <w:bottom w:val="single" w:sz="8" w:color="auto"/>
            </w:tcBorders>
            <w:shd w:val="clear" w:color="auto" w:fill="DBDBDB"/>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360" w:type="dxa"/>
            <w:vAlign w:val="bottom"/>
            <w:tcBorders>
              <w:top w:val="single" w:sz="8" w:color="DBDBDB"/>
              <w:bottom w:val="single" w:sz="8" w:color="DBDBDB"/>
            </w:tcBorders>
            <w:shd w:val="clear" w:color="auto" w:fill="DBDBDB"/>
          </w:tcPr>
          <w:p>
            <w:pPr>
              <w:spacing w:after="0"/>
              <w:rPr>
                <w:sz w:val="21"/>
                <w:szCs w:val="21"/>
                <w:color w:val="auto"/>
              </w:rPr>
            </w:pPr>
          </w:p>
        </w:tc>
        <w:tc>
          <w:tcPr>
            <w:tcW w:w="14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37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Production expenses in 2024 decreased $40 million compared to 2023. The decrease was primarily due to a $90 million decrease due to the Eagle Ford divestitures, which was partially offset by a $49 million increase in Southwest Appalachia due to the Southwestern Merger. Haynesville had a net decrease of $15 million due to a $ 51 million decrease in workover activity, saltwater disposal expenses and treating expenses, partially offset by a $36 million increase related to the Southwestern Merger. Northeast Appalachia increased $16 million due to an additional $22 million of expense related to the Southwestern Merger, partially offset by a $6 million decrease related to lower workover expense, saltwater disposal and repairs and maintenance.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gridSpan w:val="5"/>
          </w:tcPr>
          <w:p>
            <w:pPr>
              <w:ind w:left="420"/>
              <w:spacing w:after="0"/>
              <w:rPr>
                <w:sz w:val="20"/>
                <w:szCs w:val="20"/>
                <w:color w:val="auto"/>
              </w:rPr>
            </w:pPr>
            <w:r>
              <w:rPr>
                <w:rFonts w:ascii="Arial" w:cs="Arial" w:eastAsia="Arial" w:hAnsi="Arial"/>
                <w:sz w:val="18"/>
                <w:szCs w:val="18"/>
                <w:i w:val="1"/>
                <w:iCs w:val="1"/>
                <w:color w:val="auto"/>
              </w:rPr>
              <w:t>Gathering, Processing and Transportation Expenses (“GP&amp;T”)</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9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660" w:type="dxa"/>
            <w:vAlign w:val="bottom"/>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0.46</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6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980" w:type="dxa"/>
            <w:vAlign w:val="bottom"/>
            <w:gridSpan w:val="3"/>
            <w:shd w:val="clear" w:color="auto" w:fill="DBDBDB"/>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660" w:type="dxa"/>
            <w:vAlign w:val="bottom"/>
          </w:tcPr>
          <w:p>
            <w:pPr>
              <w:spacing w:after="0"/>
              <w:rPr>
                <w:sz w:val="19"/>
                <w:szCs w:val="19"/>
                <w:color w:val="auto"/>
              </w:rPr>
            </w:pP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48"/>
        </w:trPr>
        <w:tc>
          <w:tcPr>
            <w:tcW w:w="396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GP&amp;T</w:t>
            </w:r>
          </w:p>
        </w:tc>
        <w:tc>
          <w:tcPr>
            <w:tcW w:w="660" w:type="dxa"/>
            <w:vAlign w:val="bottom"/>
            <w:tcBorders>
              <w:top w:val="single" w:sz="8" w:color="auto"/>
              <w:bottom w:val="single" w:sz="8" w:color="auto"/>
            </w:tcBorders>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6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40" w:type="dxa"/>
            <w:vAlign w:val="bottom"/>
            <w:tcBorders>
              <w:top w:val="single" w:sz="8" w:color="auto"/>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0.64</w:t>
            </w: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Gathering, processing and transportation expenses in 2024 increased $182 million compared to 2023. The increase was primarily due to a $404 million increase related to the Southwestern Merger. The increase was partially offset by a $157 million decrease due to the Eagle Ford divestitures. Additionally, curtailments led to decreased volumes resulting in decreases of $58 million and $66 million in Haynesville and Northeast Appalachia, respectively. These decreases were partially offset by increases of $11 million and $48 million related to rate increases in Haynesville and Northeast Appalachia, respectively.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60" w:type="dxa"/>
            <w:vAlign w:val="bottom"/>
          </w:tcPr>
          <w:p>
            <w:pPr>
              <w:ind w:left="420"/>
              <w:spacing w:after="0"/>
              <w:rPr>
                <w:sz w:val="20"/>
                <w:szCs w:val="20"/>
                <w:color w:val="auto"/>
              </w:rPr>
            </w:pPr>
            <w:r>
              <w:rPr>
                <w:rFonts w:ascii="Arial" w:cs="Arial" w:eastAsia="Arial" w:hAnsi="Arial"/>
                <w:sz w:val="18"/>
                <w:szCs w:val="18"/>
                <w:i w:val="1"/>
                <w:iCs w:val="1"/>
                <w:color w:val="auto"/>
              </w:rPr>
              <w:t>Severance and Ad Valorem Taxes</w:t>
            </w: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14"/>
        </w:trPr>
        <w:tc>
          <w:tcPr>
            <w:tcW w:w="39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3"/>
        </w:trPr>
        <w:tc>
          <w:tcPr>
            <w:tcW w:w="39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2024</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2023</w:t>
            </w:r>
          </w:p>
        </w:tc>
        <w:tc>
          <w:tcPr>
            <w:tcW w:w="1380" w:type="dxa"/>
            <w:vAlign w:val="bottom"/>
            <w:tcBorders>
              <w:bottom w:val="single" w:sz="8" w:color="auto"/>
            </w:tcBorders>
          </w:tcPr>
          <w:p>
            <w:pPr>
              <w:spacing w:after="0"/>
              <w:rPr>
                <w:sz w:val="19"/>
                <w:szCs w:val="19"/>
                <w:color w:val="auto"/>
              </w:rPr>
            </w:pPr>
          </w:p>
        </w:tc>
      </w:tr>
      <w:tr>
        <w:trPr>
          <w:trHeight w:val="223"/>
        </w:trPr>
        <w:tc>
          <w:tcPr>
            <w:tcW w:w="3960" w:type="dxa"/>
            <w:vAlign w:val="bottom"/>
            <w:tcBorders>
              <w:bottom w:val="single" w:sz="8" w:color="DBDBDB"/>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$/Mcfe</w:t>
            </w:r>
          </w:p>
        </w:tc>
        <w:tc>
          <w:tcPr>
            <w:tcW w:w="10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$/Mcfe</w:t>
            </w:r>
          </w:p>
        </w:tc>
      </w:tr>
      <w:tr>
        <w:trPr>
          <w:trHeight w:val="223"/>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00" w:type="dxa"/>
            <w:vAlign w:val="bottom"/>
            <w:shd w:val="clear" w:color="auto" w:fill="DBDBDB"/>
          </w:tcPr>
          <w:p>
            <w:pPr>
              <w:jc w:val="right"/>
              <w:ind w:right="5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DBDBDB"/>
          </w:tcPr>
          <w:p>
            <w:pPr>
              <w:spacing w:after="0"/>
              <w:rPr>
                <w:sz w:val="19"/>
                <w:szCs w:val="19"/>
                <w:color w:val="auto"/>
              </w:rPr>
            </w:pPr>
          </w:p>
        </w:tc>
        <w:tc>
          <w:tcPr>
            <w:tcW w:w="1240" w:type="dxa"/>
            <w:vAlign w:val="bottom"/>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0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980" w:type="dxa"/>
            <w:vAlign w:val="bottom"/>
            <w:gridSpan w:val="3"/>
            <w:shd w:val="clear" w:color="auto" w:fill="DBDBDB"/>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Eagle Ford</w:t>
            </w:r>
          </w:p>
        </w:tc>
        <w:tc>
          <w:tcPr>
            <w:tcW w:w="800" w:type="dxa"/>
            <w:vAlign w:val="bottom"/>
          </w:tcPr>
          <w:p>
            <w:pPr>
              <w:spacing w:after="0"/>
              <w:rPr>
                <w:sz w:val="19"/>
                <w:szCs w:val="19"/>
                <w:color w:val="auto"/>
              </w:rPr>
            </w:pPr>
          </w:p>
        </w:tc>
        <w:tc>
          <w:tcPr>
            <w:tcW w:w="14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48"/>
        </w:trPr>
        <w:tc>
          <w:tcPr>
            <w:tcW w:w="3960" w:type="dxa"/>
            <w:vAlign w:val="bottom"/>
            <w:tcBorders>
              <w:top w:val="single" w:sz="8" w:color="DBDBDB"/>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severance and ad valorem taxes</w:t>
            </w:r>
          </w:p>
        </w:tc>
        <w:tc>
          <w:tcPr>
            <w:tcW w:w="800" w:type="dxa"/>
            <w:vAlign w:val="bottom"/>
            <w:tcBorders>
              <w:top w:val="single" w:sz="8" w:color="auto"/>
              <w:bottom w:val="single" w:sz="8" w:color="auto"/>
            </w:tcBorders>
            <w:shd w:val="clear" w:color="auto" w:fill="DBDBDB"/>
          </w:tcPr>
          <w:p>
            <w:pPr>
              <w:jc w:val="right"/>
              <w:ind w:right="5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6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1240" w:type="dxa"/>
            <w:vAlign w:val="bottom"/>
            <w:tcBorders>
              <w:top w:val="single" w:sz="8" w:color="auto"/>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80" w:type="dxa"/>
            <w:vAlign w:val="bottom"/>
            <w:tcBorders>
              <w:top w:val="single" w:sz="8" w:color="DBDBDB"/>
              <w:bottom w:val="single" w:sz="8" w:color="DBDBDB"/>
            </w:tcBorders>
            <w:shd w:val="clear" w:color="auto" w:fill="DBDBDB"/>
          </w:tcPr>
          <w:p>
            <w:pPr>
              <w:spacing w:after="0"/>
              <w:rPr>
                <w:sz w:val="21"/>
                <w:szCs w:val="21"/>
                <w:color w:val="auto"/>
              </w:rPr>
            </w:pPr>
          </w:p>
        </w:tc>
        <w:tc>
          <w:tcPr>
            <w:tcW w:w="138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0.13</w:t>
            </w: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tcPr>
          <w:p>
            <w:pPr>
              <w:spacing w:after="0" w:line="20" w:lineRule="exact"/>
              <w:rPr>
                <w:sz w:val="1"/>
                <w:szCs w:val="1"/>
                <w:color w:val="auto"/>
              </w:rPr>
            </w:pPr>
          </w:p>
        </w:tc>
        <w:tc>
          <w:tcPr>
            <w:tcW w:w="1380" w:type="dxa"/>
            <w:vAlign w:val="bottom"/>
            <w:tcBorders>
              <w:top w:val="single" w:sz="8" w:color="DBDBDB"/>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Severance and ad valorem taxes in 2024 decreased $70 million compared to 2023. The decrease was primarily related to a $ 48 million decrease due to the Eagle Ford divestitures and a $ 50 million decrease in Haynesville, which was driven by a decrease in the statutory severance tax rates. These decreases were partially offset by an increase of $5 million in Haynesville and an increase of $22 million in Southwest Appalachia due to the Southwestern Merger.</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60" w:type="dxa"/>
            <w:vAlign w:val="bottom"/>
          </w:tcPr>
          <w:p>
            <w:pPr>
              <w:ind w:left="420"/>
              <w:spacing w:after="0"/>
              <w:rPr>
                <w:sz w:val="20"/>
                <w:szCs w:val="20"/>
                <w:color w:val="auto"/>
              </w:rPr>
            </w:pPr>
            <w:r>
              <w:rPr>
                <w:rFonts w:ascii="Arial" w:cs="Arial" w:eastAsia="Arial" w:hAnsi="Arial"/>
                <w:sz w:val="18"/>
                <w:szCs w:val="18"/>
                <w:i w:val="1"/>
                <w:iCs w:val="1"/>
                <w:color w:val="auto"/>
              </w:rPr>
              <w:t>Natural Gas, Oil and NGL Derivatives</w:t>
            </w: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3"/>
        </w:trPr>
        <w:tc>
          <w:tcPr>
            <w:tcW w:w="6160" w:type="dxa"/>
            <w:vAlign w:val="bottom"/>
          </w:tcPr>
          <w:p>
            <w:pPr>
              <w:spacing w:after="0"/>
              <w:rPr>
                <w:sz w:val="21"/>
                <w:szCs w:val="21"/>
                <w:color w:val="auto"/>
              </w:rPr>
            </w:pPr>
          </w:p>
        </w:tc>
        <w:tc>
          <w:tcPr>
            <w:tcW w:w="43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Borders>
              <w:bottom w:val="single" w:sz="8" w:color="auto"/>
            </w:tcBorders>
          </w:tcPr>
          <w:p>
            <w:pPr>
              <w:spacing w:after="0"/>
              <w:rPr>
                <w:sz w:val="21"/>
                <w:szCs w:val="21"/>
                <w:color w:val="auto"/>
              </w:rPr>
            </w:pPr>
          </w:p>
        </w:tc>
      </w:tr>
      <w:tr>
        <w:trPr>
          <w:trHeight w:val="223"/>
        </w:trPr>
        <w:tc>
          <w:tcPr>
            <w:tcW w:w="616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23"/>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gains</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488</w:t>
            </w:r>
          </w:p>
        </w:tc>
      </w:tr>
      <w:tr>
        <w:trPr>
          <w:trHeight w:val="229"/>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 (losses)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natural gas derivatives</w:t>
            </w: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1,687</w:t>
            </w:r>
          </w:p>
        </w:tc>
      </w:tr>
      <w:tr>
        <w:trPr>
          <w:trHeight w:val="74"/>
        </w:trPr>
        <w:tc>
          <w:tcPr>
            <w:tcW w:w="61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gains (losses)</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gains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oil derivatives</w:t>
            </w: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w:t>
            </w:r>
          </w:p>
        </w:tc>
      </w:tr>
      <w:tr>
        <w:trPr>
          <w:trHeight w:val="75"/>
        </w:trPr>
        <w:tc>
          <w:tcPr>
            <w:tcW w:w="61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NGL derivatives - realized losses</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NGL derivatives - unrealized losses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losses on NGL derivatives</w:t>
            </w: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75"/>
        </w:trPr>
        <w:tc>
          <w:tcPr>
            <w:tcW w:w="61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29"/>
        </w:trPr>
        <w:tc>
          <w:tcPr>
            <w:tcW w:w="6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Contingent consideration - realized gains</w:t>
            </w:r>
          </w:p>
        </w:tc>
        <w:tc>
          <w:tcPr>
            <w:tcW w:w="1720" w:type="dxa"/>
            <w:vAlign w:val="bottom"/>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DBDBDB"/>
          </w:tcPr>
          <w:p>
            <w:pPr>
              <w:spacing w:after="0"/>
              <w:rPr>
                <w:sz w:val="19"/>
                <w:szCs w:val="19"/>
                <w:color w:val="auto"/>
              </w:rPr>
            </w:pPr>
          </w:p>
        </w:tc>
        <w:tc>
          <w:tcPr>
            <w:tcW w:w="1680" w:type="dxa"/>
            <w:vAlign w:val="bottom"/>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Contingent consideration - unrealized losses</w:t>
            </w:r>
          </w:p>
        </w:tc>
        <w:tc>
          <w:tcPr>
            <w:tcW w:w="1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DBDBDB"/>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contingent consideration</w:t>
            </w:r>
          </w:p>
        </w:tc>
        <w:tc>
          <w:tcPr>
            <w:tcW w:w="1720" w:type="dxa"/>
            <w:vAlign w:val="bottom"/>
            <w:tcBorders>
              <w:bottom w:val="single" w:sz="8" w:color="auto"/>
            </w:tcBorders>
            <w:shd w:val="clear" w:color="auto" w:fill="DBDBDB"/>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DBDBDB"/>
          </w:tcPr>
          <w:p>
            <w:pPr>
              <w:spacing w:after="0"/>
              <w:rPr>
                <w:sz w:val="19"/>
                <w:szCs w:val="19"/>
                <w:color w:val="auto"/>
              </w:rPr>
            </w:pPr>
          </w:p>
        </w:tc>
        <w:tc>
          <w:tcPr>
            <w:tcW w:w="1680" w:type="dxa"/>
            <w:vAlign w:val="bottom"/>
            <w:tcBorders>
              <w:bottom w:val="single" w:sz="8" w:color="auto"/>
            </w:tcBorders>
            <w:shd w:val="clear" w:color="auto" w:fill="DBDBDB"/>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160" w:type="dxa"/>
            <w:vAlign w:val="bottom"/>
          </w:tcPr>
          <w:p>
            <w:pPr>
              <w:ind w:left="240"/>
              <w:spacing w:after="0"/>
              <w:rPr>
                <w:sz w:val="20"/>
                <w:szCs w:val="20"/>
                <w:color w:val="auto"/>
              </w:rPr>
            </w:pPr>
            <w:r>
              <w:rPr>
                <w:rFonts w:ascii="Arial" w:cs="Arial" w:eastAsia="Arial" w:hAnsi="Arial"/>
                <w:sz w:val="18"/>
                <w:szCs w:val="18"/>
                <w:color w:val="auto"/>
              </w:rPr>
              <w:t>Total gains (losses) on natural gas, oil and NGL derivatives</w:t>
            </w:r>
          </w:p>
        </w:tc>
        <w:tc>
          <w:tcPr>
            <w:tcW w:w="172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168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r>
      <w:tr>
        <w:trPr>
          <w:trHeight w:val="21"/>
        </w:trPr>
        <w:tc>
          <w:tcPr>
            <w:tcW w:w="61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a complete discussion of our derivative activity.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jc w:val="right"/>
              <w:ind w:right="690"/>
              <w:spacing w:after="0"/>
              <w:rPr>
                <w:sz w:val="20"/>
                <w:szCs w:val="20"/>
                <w:color w:val="auto"/>
              </w:rPr>
            </w:pPr>
            <w:r>
              <w:rPr>
                <w:rFonts w:ascii="Arial" w:cs="Arial" w:eastAsia="Arial" w:hAnsi="Arial"/>
                <w:sz w:val="18"/>
                <w:szCs w:val="18"/>
                <w:i w:val="1"/>
                <w:iCs w:val="1"/>
                <w:color w:val="auto"/>
              </w:rPr>
              <w:t>Marketing Revenues and Expenses</w:t>
            </w:r>
          </w:p>
        </w:tc>
        <w:tc>
          <w:tcPr>
            <w:tcW w:w="2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15"/>
        </w:trPr>
        <w:tc>
          <w:tcPr>
            <w:tcW w:w="4040" w:type="dxa"/>
            <w:vAlign w:val="bottom"/>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2200" w:type="dxa"/>
            <w:vAlign w:val="bottom"/>
            <w:tcBorders>
              <w:bottom w:val="single" w:sz="8" w:color="auto"/>
            </w:tcBorders>
          </w:tcPr>
          <w:p>
            <w:pPr>
              <w:spacing w:after="0"/>
              <w:rPr>
                <w:sz w:val="24"/>
                <w:szCs w:val="24"/>
                <w:color w:val="auto"/>
              </w:rPr>
            </w:pPr>
          </w:p>
        </w:tc>
      </w:tr>
      <w:tr>
        <w:trPr>
          <w:trHeight w:val="223"/>
        </w:trPr>
        <w:tc>
          <w:tcPr>
            <w:tcW w:w="4040" w:type="dxa"/>
            <w:vAlign w:val="bottom"/>
            <w:tcBorders>
              <w:bottom w:val="single" w:sz="8" w:color="DBDBDB"/>
            </w:tcBorders>
          </w:tcPr>
          <w:p>
            <w:pPr>
              <w:spacing w:after="0"/>
              <w:rPr>
                <w:sz w:val="19"/>
                <w:szCs w:val="19"/>
                <w:color w:val="auto"/>
              </w:rPr>
            </w:pPr>
          </w:p>
        </w:tc>
        <w:tc>
          <w:tcPr>
            <w:tcW w:w="2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2023</w:t>
            </w:r>
          </w:p>
        </w:tc>
      </w:tr>
      <w:tr>
        <w:trPr>
          <w:trHeight w:val="223"/>
        </w:trPr>
        <w:tc>
          <w:tcPr>
            <w:tcW w:w="4040" w:type="dxa"/>
            <w:vAlign w:val="bottom"/>
            <w:shd w:val="clear" w:color="auto" w:fill="DBDBDB"/>
          </w:tcPr>
          <w:p>
            <w:pPr>
              <w:jc w:val="right"/>
              <w:ind w:right="2350"/>
              <w:spacing w:after="0"/>
              <w:rPr>
                <w:sz w:val="20"/>
                <w:szCs w:val="20"/>
                <w:color w:val="auto"/>
              </w:rPr>
            </w:pPr>
            <w:r>
              <w:rPr>
                <w:rFonts w:ascii="Arial" w:cs="Arial" w:eastAsia="Arial" w:hAnsi="Arial"/>
                <w:sz w:val="18"/>
                <w:szCs w:val="18"/>
                <w:color w:val="auto"/>
                <w:w w:val="99"/>
              </w:rPr>
              <w:t>Marketing revenues</w:t>
            </w:r>
          </w:p>
        </w:tc>
        <w:tc>
          <w:tcPr>
            <w:tcW w:w="2200" w:type="dxa"/>
            <w:vAlign w:val="bottom"/>
            <w:shd w:val="clear" w:color="auto" w:fill="DBDBDB"/>
          </w:tcPr>
          <w:p>
            <w:pPr>
              <w:jc w:val="right"/>
              <w:ind w:right="19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4040" w:type="dxa"/>
            <w:vAlign w:val="bottom"/>
            <w:tcBorders>
              <w:bottom w:val="single" w:sz="8" w:color="DBDBDB"/>
            </w:tcBorders>
          </w:tcPr>
          <w:p>
            <w:pPr>
              <w:jc w:val="right"/>
              <w:ind w:right="2310"/>
              <w:spacing w:after="0"/>
              <w:rPr>
                <w:sz w:val="20"/>
                <w:szCs w:val="20"/>
                <w:color w:val="auto"/>
              </w:rPr>
            </w:pPr>
            <w:r>
              <w:rPr>
                <w:rFonts w:ascii="Arial" w:cs="Arial" w:eastAsia="Arial" w:hAnsi="Arial"/>
                <w:sz w:val="18"/>
                <w:szCs w:val="18"/>
                <w:color w:val="auto"/>
              </w:rPr>
              <w:t>Marketing expenses</w:t>
            </w:r>
          </w:p>
        </w:tc>
        <w:tc>
          <w:tcPr>
            <w:tcW w:w="2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2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r>
      <w:tr>
        <w:trPr>
          <w:trHeight w:val="248"/>
        </w:trPr>
        <w:tc>
          <w:tcPr>
            <w:tcW w:w="4040" w:type="dxa"/>
            <w:vAlign w:val="bottom"/>
            <w:tcBorders>
              <w:bottom w:val="single" w:sz="8" w:color="DBDBDB"/>
            </w:tcBorders>
            <w:shd w:val="clear" w:color="auto" w:fill="DBDBDB"/>
          </w:tcPr>
          <w:p>
            <w:pPr>
              <w:jc w:val="right"/>
              <w:ind w:right="2310"/>
              <w:spacing w:after="0"/>
              <w:rPr>
                <w:sz w:val="20"/>
                <w:szCs w:val="20"/>
                <w:color w:val="auto"/>
              </w:rPr>
            </w:pPr>
            <w:r>
              <w:rPr>
                <w:rFonts w:ascii="Arial" w:cs="Arial" w:eastAsia="Arial" w:hAnsi="Arial"/>
                <w:sz w:val="18"/>
                <w:szCs w:val="18"/>
                <w:color w:val="auto"/>
              </w:rPr>
              <w:t>Marketing margin</w:t>
            </w:r>
          </w:p>
        </w:tc>
        <w:tc>
          <w:tcPr>
            <w:tcW w:w="2200" w:type="dxa"/>
            <w:vAlign w:val="bottom"/>
            <w:tcBorders>
              <w:bottom w:val="single" w:sz="8" w:color="auto"/>
            </w:tcBorders>
            <w:shd w:val="clear" w:color="auto" w:fill="DBDBDB"/>
          </w:tcPr>
          <w:p>
            <w:pPr>
              <w:jc w:val="right"/>
              <w:ind w:right="19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ind w:right="107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Marketing revenues and expenses decreased in 2024 compared to 2023 as a result of decreased oil marketing activities, primarily as a result of the Eagle Ford divestitures in 2023.</w:t>
      </w:r>
    </w:p>
    <w:p>
      <w:pPr>
        <w:spacing w:after="0" w:line="3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Exploration Expenses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2024, exploration expense of $10 million was primarily the result of $6 million of non-cash impairment charges on unproved properties and $3 million of geological and geophysical expense. During 2023, exploration expense of $27 million was primarily the result of $12 million of non-cash impairment charges on unproved properties and $11 million of geological and geophysical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340" w:type="dxa"/>
            <w:vAlign w:val="bottom"/>
          </w:tcPr>
          <w:p>
            <w:pPr>
              <w:ind w:left="460"/>
              <w:spacing w:after="0"/>
              <w:rPr>
                <w:sz w:val="20"/>
                <w:szCs w:val="20"/>
                <w:color w:val="auto"/>
              </w:rPr>
            </w:pPr>
            <w:r>
              <w:rPr>
                <w:rFonts w:ascii="Arial" w:cs="Arial" w:eastAsia="Arial" w:hAnsi="Arial"/>
                <w:sz w:val="18"/>
                <w:szCs w:val="18"/>
                <w:i w:val="1"/>
                <w:iCs w:val="1"/>
                <w:color w:val="auto"/>
              </w:rPr>
              <w:t>General and Administrative Expenses</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14"/>
        </w:trPr>
        <w:tc>
          <w:tcPr>
            <w:tcW w:w="434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100" w:type="dxa"/>
            <w:vAlign w:val="bottom"/>
            <w:tcBorders>
              <w:bottom w:val="single" w:sz="8" w:color="auto"/>
            </w:tcBorders>
          </w:tcPr>
          <w:p>
            <w:pPr>
              <w:spacing w:after="0"/>
              <w:rPr>
                <w:sz w:val="24"/>
                <w:szCs w:val="24"/>
                <w:color w:val="auto"/>
              </w:rPr>
            </w:pPr>
          </w:p>
        </w:tc>
      </w:tr>
      <w:tr>
        <w:trPr>
          <w:trHeight w:val="223"/>
        </w:trPr>
        <w:tc>
          <w:tcPr>
            <w:tcW w:w="4340" w:type="dxa"/>
            <w:vAlign w:val="bottom"/>
            <w:tcBorders>
              <w:bottom w:val="single" w:sz="8" w:color="DBDBDB"/>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2023</w:t>
            </w:r>
          </w:p>
        </w:tc>
      </w:tr>
      <w:tr>
        <w:trPr>
          <w:trHeight w:val="223"/>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r>
      <w:tr>
        <w:trPr>
          <w:trHeight w:val="239"/>
        </w:trPr>
        <w:tc>
          <w:tcPr>
            <w:tcW w:w="434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2100" w:type="dxa"/>
            <w:vAlign w:val="bottom"/>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0.14</w:t>
            </w:r>
          </w:p>
        </w:tc>
        <w:tc>
          <w:tcPr>
            <w:tcW w:w="180" w:type="dxa"/>
            <w:vAlign w:val="bottom"/>
          </w:tcPr>
          <w:p>
            <w:pPr>
              <w:spacing w:after="0"/>
              <w:rPr>
                <w:sz w:val="20"/>
                <w:szCs w:val="20"/>
                <w:color w:val="auto"/>
              </w:rPr>
            </w:pPr>
          </w:p>
        </w:tc>
        <w:tc>
          <w:tcPr>
            <w:tcW w:w="1260" w:type="dxa"/>
            <w:vAlign w:val="bottom"/>
          </w:tcPr>
          <w:p>
            <w:pPr>
              <w:jc w:val="right"/>
              <w:ind w:right="105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0.09</w:t>
            </w:r>
          </w:p>
        </w:tc>
      </w:tr>
    </w:tbl>
    <w:p>
      <w:pPr>
        <w:spacing w:after="0" w:line="228" w:lineRule="exact"/>
        <w:rPr>
          <w:sz w:val="20"/>
          <w:szCs w:val="20"/>
          <w:color w:val="auto"/>
        </w:rPr>
      </w:pPr>
    </w:p>
    <w:p>
      <w:pPr>
        <w:jc w:val="both"/>
        <w:ind w:left="80" w:firstLine="445"/>
        <w:spacing w:after="0" w:line="268" w:lineRule="auto"/>
        <w:rPr>
          <w:sz w:val="20"/>
          <w:szCs w:val="20"/>
          <w:color w:val="auto"/>
        </w:rPr>
      </w:pPr>
      <w:r>
        <w:rPr>
          <w:rFonts w:ascii="Arial" w:cs="Arial" w:eastAsia="Arial" w:hAnsi="Arial"/>
          <w:sz w:val="18"/>
          <w:szCs w:val="18"/>
          <w:color w:val="auto"/>
        </w:rPr>
        <w:t>Total general and administrative expenses, net during 2024 increased $59 million compared to 2023, primarily due to a decrease in our producing well count following the Eagle Ford divestitures, which reduced our allocations and reimbursements of G&amp;A. Additionally, compensation and other corporate expenses increased following the Southwestern Merger.</w:t>
      </w:r>
    </w:p>
    <w:p>
      <w:pPr>
        <w:spacing w:after="0" w:line="3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left="80" w:firstLine="445"/>
        <w:spacing w:after="0" w:line="287" w:lineRule="auto"/>
        <w:rPr>
          <w:sz w:val="20"/>
          <w:szCs w:val="20"/>
          <w:color w:val="auto"/>
        </w:rPr>
      </w:pPr>
      <w:r>
        <w:rPr>
          <w:rFonts w:ascii="Arial" w:cs="Arial" w:eastAsia="Arial" w:hAnsi="Arial"/>
          <w:sz w:val="18"/>
          <w:szCs w:val="18"/>
          <w:color w:val="auto"/>
        </w:rPr>
        <w:t>During 2024 and 2023, we recognized $23 million and $5 million, respectively, of separation and other termination costs related to one-time termination benefits for certain employees.</w:t>
      </w:r>
    </w:p>
    <w:p>
      <w:pPr>
        <w:spacing w:after="0" w:line="101"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380" w:type="dxa"/>
            <w:vAlign w:val="bottom"/>
          </w:tcPr>
          <w:p>
            <w:pPr>
              <w:ind w:left="460"/>
              <w:spacing w:after="0"/>
              <w:rPr>
                <w:sz w:val="20"/>
                <w:szCs w:val="20"/>
                <w:color w:val="auto"/>
              </w:rPr>
            </w:pPr>
            <w:r>
              <w:rPr>
                <w:rFonts w:ascii="Arial" w:cs="Arial" w:eastAsia="Arial" w:hAnsi="Arial"/>
                <w:sz w:val="18"/>
                <w:szCs w:val="18"/>
                <w:i w:val="1"/>
                <w:iCs w:val="1"/>
                <w:color w:val="auto"/>
              </w:rPr>
              <w:t>Depreciation, Depletion and Amortization</w:t>
            </w:r>
          </w:p>
        </w:tc>
        <w:tc>
          <w:tcPr>
            <w:tcW w:w="2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4380" w:type="dxa"/>
            <w:vAlign w:val="bottom"/>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4"/>
                <w:szCs w:val="24"/>
                <w:color w:val="auto"/>
              </w:rPr>
            </w:pPr>
          </w:p>
        </w:tc>
      </w:tr>
      <w:tr>
        <w:trPr>
          <w:trHeight w:val="223"/>
        </w:trPr>
        <w:tc>
          <w:tcPr>
            <w:tcW w:w="4380" w:type="dxa"/>
            <w:vAlign w:val="bottom"/>
            <w:tcBorders>
              <w:bottom w:val="single" w:sz="8" w:color="DBDBDB"/>
            </w:tcBorders>
          </w:tcPr>
          <w:p>
            <w:pPr>
              <w:spacing w:after="0"/>
              <w:rPr>
                <w:sz w:val="19"/>
                <w:szCs w:val="19"/>
                <w:color w:val="auto"/>
              </w:rPr>
            </w:pPr>
          </w:p>
        </w:tc>
        <w:tc>
          <w:tcPr>
            <w:tcW w:w="2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12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2023</w:t>
            </w:r>
          </w:p>
        </w:tc>
      </w:tr>
      <w:tr>
        <w:trPr>
          <w:trHeight w:val="223"/>
        </w:trPr>
        <w:tc>
          <w:tcPr>
            <w:tcW w:w="4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2080" w:type="dxa"/>
            <w:vAlign w:val="bottom"/>
            <w:shd w:val="clear" w:color="auto" w:fill="DBDBDB"/>
          </w:tcPr>
          <w:p>
            <w:pPr>
              <w:jc w:val="right"/>
              <w:ind w:right="18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1,729</w:t>
            </w: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1,527</w:t>
            </w: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2080" w:type="dxa"/>
            <w:vAlign w:val="bottom"/>
          </w:tcPr>
          <w:p>
            <w:pPr>
              <w:jc w:val="right"/>
              <w:ind w:right="18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0"/>
                <w:szCs w:val="20"/>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15" w:lineRule="exact"/>
        <w:rPr>
          <w:sz w:val="20"/>
          <w:szCs w:val="20"/>
          <w:color w:val="auto"/>
        </w:rPr>
      </w:pPr>
    </w:p>
    <w:p>
      <w:pPr>
        <w:jc w:val="both"/>
        <w:ind w:left="80" w:right="20" w:firstLine="405"/>
        <w:spacing w:after="0" w:line="268" w:lineRule="auto"/>
        <w:rPr>
          <w:sz w:val="20"/>
          <w:szCs w:val="20"/>
          <w:color w:val="auto"/>
        </w:rPr>
      </w:pPr>
      <w:r>
        <w:rPr>
          <w:rFonts w:ascii="Arial" w:cs="Arial" w:eastAsia="Arial" w:hAnsi="Arial"/>
          <w:sz w:val="18"/>
          <w:szCs w:val="18"/>
          <w:color w:val="auto"/>
        </w:rPr>
        <w:t>The absolute increase in depreciation, depletion and amortization for 2024 compared to 2023 is primarily related to the Southwestern Merger. Depreciation, depletion and amortization per Mcfe increased for 2024 compared to 2023 primarily related to production curtailments during 2024.</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280" w:type="dxa"/>
            <w:vAlign w:val="bottom"/>
          </w:tcPr>
          <w:p>
            <w:pPr>
              <w:ind w:left="420"/>
              <w:spacing w:after="0"/>
              <w:rPr>
                <w:sz w:val="20"/>
                <w:szCs w:val="20"/>
                <w:color w:val="auto"/>
              </w:rPr>
            </w:pPr>
            <w:r>
              <w:rPr>
                <w:rFonts w:ascii="Arial" w:cs="Arial" w:eastAsia="Arial" w:hAnsi="Arial"/>
                <w:sz w:val="18"/>
                <w:szCs w:val="18"/>
                <w:i w:val="1"/>
                <w:iCs w:val="1"/>
                <w:color w:val="auto"/>
              </w:rPr>
              <w:t>Other Operating Expense, Net</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5"/>
        </w:trPr>
        <w:tc>
          <w:tcPr>
            <w:tcW w:w="428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4"/>
                <w:szCs w:val="24"/>
                <w:color w:val="auto"/>
              </w:rPr>
            </w:pPr>
          </w:p>
        </w:tc>
      </w:tr>
      <w:tr>
        <w:trPr>
          <w:trHeight w:val="223"/>
        </w:trPr>
        <w:tc>
          <w:tcPr>
            <w:tcW w:w="4280" w:type="dxa"/>
            <w:vAlign w:val="bottom"/>
            <w:tcBorders>
              <w:bottom w:val="single" w:sz="8" w:color="DBDBDB"/>
            </w:tcBorders>
          </w:tcPr>
          <w:p>
            <w:pPr>
              <w:spacing w:after="0"/>
              <w:rPr>
                <w:sz w:val="19"/>
                <w:szCs w:val="19"/>
                <w:color w:val="auto"/>
              </w:rPr>
            </w:pPr>
          </w:p>
        </w:tc>
        <w:tc>
          <w:tcPr>
            <w:tcW w:w="2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2023</w:t>
            </w:r>
          </w:p>
        </w:tc>
      </w:tr>
      <w:tr>
        <w:trPr>
          <w:trHeight w:val="223"/>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 expense, net</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DBDBDB"/>
          </w:tcPr>
          <w:p>
            <w:pPr>
              <w:spacing w:after="0"/>
              <w:rPr>
                <w:sz w:val="19"/>
                <w:szCs w:val="19"/>
                <w:color w:val="auto"/>
              </w:rPr>
            </w:pPr>
          </w:p>
        </w:tc>
        <w:tc>
          <w:tcPr>
            <w:tcW w:w="1280" w:type="dxa"/>
            <w:vAlign w:val="bottom"/>
            <w:shd w:val="clear" w:color="auto" w:fill="DBDBDB"/>
          </w:tcPr>
          <w:p>
            <w:pPr>
              <w:jc w:val="right"/>
              <w:ind w:right="107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bl>
    <w:p>
      <w:pPr>
        <w:spacing w:after="0" w:line="238" w:lineRule="exact"/>
        <w:rPr>
          <w:sz w:val="20"/>
          <w:szCs w:val="20"/>
          <w:color w:val="auto"/>
        </w:rPr>
      </w:pPr>
    </w:p>
    <w:p>
      <w:pPr>
        <w:jc w:val="both"/>
        <w:ind w:left="80" w:firstLine="405"/>
        <w:spacing w:after="0" w:line="268" w:lineRule="auto"/>
        <w:rPr>
          <w:sz w:val="20"/>
          <w:szCs w:val="20"/>
          <w:color w:val="auto"/>
        </w:rPr>
      </w:pPr>
      <w:r>
        <w:rPr>
          <w:rFonts w:ascii="Arial" w:cs="Arial" w:eastAsia="Arial" w:hAnsi="Arial"/>
          <w:sz w:val="18"/>
          <w:szCs w:val="18"/>
          <w:color w:val="auto"/>
        </w:rPr>
        <w:t>During 2024, we recognized approximately $312 million of costs related to the Southwestern Merger, which included $148 million related to employee expenses and the remainder of the costs relating to transaction fees, consulting and legal fees and other fees related to the transaction.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ind w:left="500"/>
              <w:spacing w:after="0"/>
              <w:rPr>
                <w:sz w:val="20"/>
                <w:szCs w:val="20"/>
                <w:color w:val="auto"/>
              </w:rPr>
            </w:pPr>
            <w:r>
              <w:rPr>
                <w:rFonts w:ascii="Arial" w:cs="Arial" w:eastAsia="Arial" w:hAnsi="Arial"/>
                <w:sz w:val="18"/>
                <w:szCs w:val="18"/>
                <w:i w:val="1"/>
                <w:iCs w:val="1"/>
                <w:color w:val="auto"/>
              </w:rPr>
              <w:t>Interest Expense</w:t>
            </w:r>
          </w:p>
        </w:tc>
        <w:tc>
          <w:tcPr>
            <w:tcW w:w="2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00" w:type="dxa"/>
            <w:vAlign w:val="bottom"/>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20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DBDBDB"/>
            </w:tcBorders>
          </w:tcPr>
          <w:p>
            <w:pPr>
              <w:spacing w:after="0"/>
              <w:rPr>
                <w:sz w:val="19"/>
                <w:szCs w:val="19"/>
                <w:color w:val="auto"/>
              </w:rPr>
            </w:pP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2060" w:type="dxa"/>
            <w:vAlign w:val="bottom"/>
            <w:shd w:val="clear" w:color="auto" w:fill="DBDBDB"/>
          </w:tcPr>
          <w:p>
            <w:pPr>
              <w:jc w:val="right"/>
              <w:ind w:right="18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Amortization of premium, discount, issuance costs</w:t>
            </w:r>
          </w:p>
        </w:tc>
        <w:tc>
          <w:tcPr>
            <w:tcW w:w="20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and other</w:t>
            </w:r>
          </w:p>
        </w:tc>
        <w:tc>
          <w:tcPr>
            <w:tcW w:w="206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interest</w:t>
            </w:r>
          </w:p>
        </w:tc>
        <w:tc>
          <w:tcPr>
            <w:tcW w:w="20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spacing w:after="0"/>
              <w:rPr>
                <w:sz w:val="19"/>
                <w:szCs w:val="19"/>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206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80" w:firstLine="405"/>
        <w:spacing w:after="0" w:line="259" w:lineRule="auto"/>
        <w:rPr>
          <w:sz w:val="20"/>
          <w:szCs w:val="20"/>
          <w:color w:val="auto"/>
        </w:rPr>
      </w:pPr>
      <w:r>
        <w:rPr>
          <w:rFonts w:ascii="Arial" w:cs="Arial" w:eastAsia="Arial" w:hAnsi="Arial"/>
          <w:sz w:val="18"/>
          <w:szCs w:val="18"/>
          <w:color w:val="auto"/>
        </w:rPr>
        <w:t xml:space="preserve">The increase in total interest expense 2024 compared to 2023, was primarily due to our assumption of Southwestern’s Senior Notes as a result of the Southwestern Merger, which resulted in an increase in interest expense on debt. Additionally, our capitalized interest increased in 2024 compared to 2023 primarily as a result of the capitalized interest related to our investment with Momentum Sustainable Ventures LLC.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of the notes to our consolidated financial statements included in Item 8 of Part II of this report for additional discussion.</w:t>
      </w:r>
    </w:p>
    <w:p>
      <w:pPr>
        <w:sectPr>
          <w:pgSz w:w="11900" w:h="16838" w:orient="portrait"/>
          <w:cols w:equalWidth="0" w:num="1">
            <w:col w:w="11320"/>
          </w:cols>
          <w:pgMar w:left="240" w:top="122"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80645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40" w:type="dxa"/>
            <w:vAlign w:val="bottom"/>
          </w:tcPr>
          <w:p>
            <w:pPr>
              <w:ind w:left="420"/>
              <w:spacing w:after="0"/>
              <w:rPr>
                <w:sz w:val="20"/>
                <w:szCs w:val="20"/>
                <w:color w:val="auto"/>
              </w:rPr>
            </w:pPr>
            <w:r>
              <w:rPr>
                <w:rFonts w:ascii="Arial" w:cs="Arial" w:eastAsia="Arial" w:hAnsi="Arial"/>
                <w:sz w:val="18"/>
                <w:szCs w:val="18"/>
                <w:i w:val="1"/>
                <w:iCs w:val="1"/>
                <w:color w:val="auto"/>
              </w:rPr>
              <w:t>Other Income, net</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14"/>
        </w:trPr>
        <w:tc>
          <w:tcPr>
            <w:tcW w:w="45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2020" w:type="dxa"/>
            <w:vAlign w:val="bottom"/>
            <w:tcBorders>
              <w:bottom w:val="single" w:sz="8" w:color="auto"/>
            </w:tcBorders>
          </w:tcPr>
          <w:p>
            <w:pPr>
              <w:spacing w:after="0"/>
              <w:rPr>
                <w:sz w:val="24"/>
                <w:szCs w:val="24"/>
                <w:color w:val="auto"/>
              </w:rPr>
            </w:pPr>
          </w:p>
        </w:tc>
      </w:tr>
      <w:tr>
        <w:trPr>
          <w:trHeight w:val="223"/>
        </w:trPr>
        <w:tc>
          <w:tcPr>
            <w:tcW w:w="4540" w:type="dxa"/>
            <w:vAlign w:val="bottom"/>
            <w:tcBorders>
              <w:bottom w:val="single" w:sz="8" w:color="DBDBDB"/>
            </w:tcBorders>
          </w:tcPr>
          <w:p>
            <w:pPr>
              <w:spacing w:after="0"/>
              <w:rPr>
                <w:sz w:val="19"/>
                <w:szCs w:val="19"/>
                <w:color w:val="auto"/>
              </w:rPr>
            </w:pPr>
          </w:p>
        </w:tc>
        <w:tc>
          <w:tcPr>
            <w:tcW w:w="2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2023</w:t>
            </w:r>
          </w:p>
        </w:tc>
      </w:tr>
      <w:tr>
        <w:trPr>
          <w:trHeight w:val="223"/>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income, net</w:t>
            </w:r>
          </w:p>
        </w:tc>
        <w:tc>
          <w:tcPr>
            <w:tcW w:w="2020" w:type="dxa"/>
            <w:vAlign w:val="bottom"/>
            <w:shd w:val="clear" w:color="auto" w:fill="DBDBDB"/>
          </w:tcPr>
          <w:p>
            <w:pPr>
              <w:jc w:val="right"/>
              <w:ind w:right="18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140" w:type="dxa"/>
            <w:vAlign w:val="bottom"/>
            <w:shd w:val="clear" w:color="auto" w:fill="DBDBDB"/>
          </w:tcPr>
          <w:p>
            <w:pPr>
              <w:spacing w:after="0"/>
              <w:rPr>
                <w:sz w:val="19"/>
                <w:szCs w:val="19"/>
                <w:color w:val="auto"/>
              </w:rPr>
            </w:pPr>
          </w:p>
        </w:tc>
        <w:tc>
          <w:tcPr>
            <w:tcW w:w="1260" w:type="dxa"/>
            <w:vAlign w:val="bottom"/>
            <w:shd w:val="clear" w:color="auto" w:fill="DBDBDB"/>
          </w:tcPr>
          <w:p>
            <w:pPr>
              <w:jc w:val="right"/>
              <w:ind w:right="105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r>
    </w:tbl>
    <w:p>
      <w:pPr>
        <w:spacing w:after="0" w:line="3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during the time periods presented above primarily consists of interest income and deferred consideration amortization.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2024 compared to 2023 was primarily due to increased interest income related to our higher average cash balance in 2024.</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 Expense (Benefit)</w:t>
      </w:r>
    </w:p>
    <w:p>
      <w:pPr>
        <w:spacing w:after="0" w:line="25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recorded an income tax benefit of $127 million in 2024. Of this amount, $4 million is related to current federal and state income tax benefit, and the remainder is related to deferred federal and state income taxes. We recorded income tax expense of $698 million in 2023. Of this amount, $270 million is related to current federal and state income taxes, and the remainder is related to deferred federal and state income taxes.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consolidated financial statements included in Item 8 of Part II of this report for a discussion of income tax expense (benefit).</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80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 us to make estimates and assumptions. The accounting estimates and assumptions that involve a significant level of estimation uncertainty and have or are reasonably likely to have a material impact on our financial condition or results of operations are discussed below. Our management has discussed each critical accounting estimate with the Audit Committee of our Board of Directors.</w:t>
      </w:r>
    </w:p>
    <w:p>
      <w:pPr>
        <w:spacing w:after="0" w:line="12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Natural Gas and Oil Reserves. </w:t>
      </w:r>
      <w:r>
        <w:rPr>
          <w:rFonts w:ascii="Arial" w:cs="Arial" w:eastAsia="Arial" w:hAnsi="Arial"/>
          <w:sz w:val="18"/>
          <w:szCs w:val="18"/>
          <w:color w:val="auto"/>
        </w:rPr>
        <w:t>Estimates of natural gas and oil reserves and their values, future production rates, future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costs and commodity pricing differentials are the most significant of our estimates. The accuracy of any reserve estimate is a function of the quality of data available and of engineering and geological interpretation and judgment. In addition, estimates of reserves may be revised based on actual production, results of subsequent exploration and development activities, recent commodity prices, operating costs and other factors. These revisions could materially affect our financial statements. The volatility of commodity prices results in increased uncertainty inherent in these estimates and assumptions. Changes in natural gas, oil or NGL prices could result in actual results differing significantly from our estimates. See </w:t>
      </w:r>
      <w:r>
        <w:rPr>
          <w:rFonts w:ascii="Arial" w:cs="Arial" w:eastAsia="Arial" w:hAnsi="Arial"/>
          <w:sz w:val="18"/>
          <w:szCs w:val="18"/>
          <w:i w:val="1"/>
          <w:iCs w:val="1"/>
          <w:color w:val="auto"/>
        </w:rPr>
        <w:t>Supplemental Disclosures About Natural Gas, Oil and NGL Producing Activities</w:t>
      </w:r>
      <w:r>
        <w:rPr>
          <w:rFonts w:ascii="Arial" w:cs="Arial" w:eastAsia="Arial" w:hAnsi="Arial"/>
          <w:sz w:val="18"/>
          <w:szCs w:val="18"/>
          <w:color w:val="auto"/>
        </w:rPr>
        <w:t xml:space="preserve"> included in </w:t>
      </w:r>
      <w:r>
        <w:rPr>
          <w:rFonts w:ascii="Arial" w:cs="Arial" w:eastAsia="Arial" w:hAnsi="Arial"/>
          <w:sz w:val="18"/>
          <w:szCs w:val="18"/>
          <w:u w:val="single" w:color="auto"/>
          <w:color w:val="0000FF"/>
        </w:rPr>
        <w:t>Item 8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Part II</w:t>
      </w:r>
      <w:r>
        <w:rPr>
          <w:rFonts w:ascii="Arial" w:cs="Arial" w:eastAsia="Arial" w:hAnsi="Arial"/>
          <w:sz w:val="18"/>
          <w:szCs w:val="18"/>
          <w:color w:val="0000FF"/>
        </w:rPr>
        <w:t xml:space="preserve"> </w:t>
      </w:r>
      <w:r>
        <w:rPr>
          <w:rFonts w:ascii="Arial" w:cs="Arial" w:eastAsia="Arial" w:hAnsi="Arial"/>
          <w:sz w:val="18"/>
          <w:szCs w:val="18"/>
          <w:color w:val="000000"/>
        </w:rPr>
        <w:t>of this report for further information.</w:t>
      </w:r>
    </w:p>
    <w:p>
      <w:pPr>
        <w:spacing w:after="0" w:line="1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i w:val="1"/>
          <w:iCs w:val="1"/>
          <w:color w:val="auto"/>
        </w:rPr>
        <w:t xml:space="preserve">Accounting for Business Combinations. </w:t>
      </w:r>
      <w:r>
        <w:rPr>
          <w:rFonts w:ascii="Arial" w:cs="Arial" w:eastAsia="Arial" w:hAnsi="Arial"/>
          <w:sz w:val="18"/>
          <w:szCs w:val="18"/>
          <w:color w:val="auto"/>
        </w:rPr>
        <w:t>We account for business combinations using the acquisition method, which is the only method</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under FASB ASC Topic 805 – Business Combinations and involves the use of significant judgment. Under the acquisition method of accounting, a business combination is accounted for at a purchase price based on the fair value of the consideration given. The assets and liabilities acquired are measured at their fair values, and the purchase price is allocated to the assets and liabilities based upon these fair values. The excess, if any, of the consideration given to acquire an entity over the net amounts assigned to its assets acquired and liabilities assumed is recognized as goodwill. The excess, if any, of the fair value of assets acquired and liabilities assumed over the cost of an acquired entity is recognized immediately to earnings as a gain from bargain purchase.</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principal assets are its natural gas and oil properties, which are accounted for under the successful efforts accounting method. The Company determines the fair value of acquired natural gas and oil properties based on the discounted future net cash flows expected to be generated from these assets. Discounted cash flow models by operating area are prepared using the estimated future revenues and operating costs for all proved developed properties and undeveloped properties comprising the proved and unproved reserves. Significant inputs associated with the calculation of discounted future net cash flows include estimates of (i) future production volumes based on estimated reserves, (ii) future operating and development costs, (iii) future commodity prices escalated by an inflationary rate after three years, adjusted for differentials, and (iv) a market-based weighted average cost of capital by operating area. The Company utilizes NYMEX strip pricing, adjusted for differentials, to value the reserves. The NYMEX strip pricing inputs used are classified as Level 1 fair value assumptions and all other inputs are classified as Level 3 fair value assumptions. The discount rates utilized are derived using a weighted average cost of capital computation, which includes an estimated cost of debt and equity for market participants with similar geographies and asset development type by operating area.</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consolidated financial statements included in Item 8 of Part II of this report for additional information on our business combinations, including the Southwestern Merger, which was completed on October 1, 2024.</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are accounted for using the asset and liability method as required by GAAP. Deferred tax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arise from temporary differences between the tax basis of assets and liabilities and their reported amounts in the financial statements. Deferred tax assets for tax attributes such as NOL carryforwards and disallowed business interest carryforwards are also recognized. Deferred tax assets represent potential future tax benefits and are reduced by a valuation allowance if it is more likely than not that such benefits will not be realized.</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assessing the need for a valuation allowance or adjustments to existing valuation allowances, one source of evidence is a projection of income exclusive of existing timing differences. Our judgement regarding the realizability of deferred tax assets is thus partially affected by estimates of future financial condition.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routinely assess potential uncertain tax positions and, if required, establish accruals for such positions. Accounting guidance for recognizing and measuring uncertain tax positions requires that a more likely than not threshold condition be met on a tax position, based solely on its technical merits of being sustained, before any benefit of the uncertain tax position can be recognized in the financial statements. If it is more likely than not a tax position will be sustained, we measure and recognize the position following a cumulative probability estimate.</w:t>
      </w:r>
    </w:p>
    <w:p>
      <w:pPr>
        <w:spacing w:after="0" w:line="1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Impairments</w:t>
      </w:r>
      <w:r>
        <w:rPr>
          <w:rFonts w:ascii="Arial" w:cs="Arial" w:eastAsia="Arial" w:hAnsi="Arial"/>
          <w:sz w:val="18"/>
          <w:szCs w:val="18"/>
          <w:color w:val="auto"/>
        </w:rPr>
        <w:t>. Long-lived assets used in operations, including proved gas and oil properties, are assessed for impairment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facts and circumstances indicate a possible significant deterioration in future cash flows expected to be generated by an asset group. Individual assets are grouped for impairment purposes based on a judgmental assessment of the lowest level for which there are identifiable cash flows that are largely independent of the cash flows of other groups of assets. If there is an indication the carrying amount of an asset may not be recovered, the asset is assessed by management through an established process in which changes to significant assumptions such as prices, volumes, and future development plans are reviewed. If, upon review, the sum of the undiscounted pre-tax cash flows is less than the carrying value of the asset group, the carrying value is written down to estimated fair value by discounting using a weighted average cost of capital. Because there usually is a lack of quoted market prices for long-lived assets, the fair value of impaired assets is assessed by management using the income approach. Level 3 inputs associated with the calculation of discounted cash flows used in the impairment analysis include our estimate of future natural gas and crude oil prices, production costs, development expenditures, anticipated production of proved reserves and other relevant data. Additionally, we utilize NYMEX strip pricing, adjusted for differentials, to value the reserves.</w:t>
      </w:r>
    </w:p>
    <w:p>
      <w:pPr>
        <w:spacing w:after="0" w:line="200" w:lineRule="exact"/>
        <w:rPr>
          <w:sz w:val="20"/>
          <w:szCs w:val="20"/>
          <w:color w:val="auto"/>
        </w:rPr>
      </w:pPr>
    </w:p>
    <w:p>
      <w:pPr>
        <w:spacing w:after="0" w:line="36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7A.</w:t>
      </w:r>
      <w:r>
        <w:rPr>
          <w:sz w:val="20"/>
          <w:szCs w:val="20"/>
          <w:color w:val="auto"/>
        </w:rPr>
        <w:tab/>
      </w:r>
      <w:r>
        <w:rPr>
          <w:rFonts w:ascii="Arial" w:cs="Arial" w:eastAsia="Arial" w:hAnsi="Arial"/>
          <w:sz w:val="17"/>
          <w:szCs w:val="17"/>
          <w:b w:val="1"/>
          <w:bCs w:val="1"/>
          <w:i w:val="1"/>
          <w:iCs w:val="1"/>
          <w:color w:val="00386C"/>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265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primary objective of the following information is to provide forward-looking quantitative and qualitative information about our exposure to market risk. The term market risk relates to our risk of loss arising from adverse changes in natural gas, oil and NGL prices and interest rates. These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 Risk</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highly effective in achieving our risk management objectives.</w:t>
      </w:r>
    </w:p>
    <w:p>
      <w:pPr>
        <w:spacing w:after="0" w:line="122"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further discussion of the fair value measurements associated with our derivatives.</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For the year ended December 31, 2024, natural gas, oil and NGL revenues, excluding any effect of our derivative instruments, were $2,686 million, $69 million, and $214 million, respectively. Based on production, natural gas, oil and NGL revenue for the year ended December 31, 2024 would have increased or decreased by approximately $269 million, $7 million, and $21 million, respectively, for each 10% increase or decrease in prices. As of December 31, 2024, the fair value of our natural gas and NGL derivatives were net liabilities of $49 million and $9 million, respectively. As of December 31, 2024, the fair value of our oil derivatives was a net asset of $ 4 million. A 10% increase in forward gas prices would decrease the valuation of natural gas derivatives by approximately $493 million, while a 10% decrease would increase the valuation by approximately $482 million. A 10% fluctuation in forward oil prices would impact the valuation of oil derivatives by approximately $4 million. A 10% fluctuation in forward NGL prices would impact the valuation of NGL derivatives by $ 18 million. This fair value change assumes volatility based on prevailing market parameters at December 31, 2024.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Item 8 of Part II of this report for further information on our open derivative positions.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Our exposure to interest rate changes relates primarily to borrowings under our Credit Facility. Interest is payable on borrowings under the Credit Facility based on floating rates.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consolidated financial statements included in Item 8 of Part II of this report for additional information. As of December 31, 2024, we did not have any outstanding borrowings under our Credit Facility.</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b w:val="1"/>
                <w:bCs w:val="1"/>
                <w:color w:val="00386C"/>
              </w:rPr>
              <w:t>Item 8.</w:t>
            </w:r>
          </w:p>
        </w:tc>
        <w:tc>
          <w:tcPr>
            <w:tcW w:w="4020" w:type="dxa"/>
            <w:vAlign w:val="bottom"/>
            <w:tcBorders>
              <w:bottom w:val="single" w:sz="8" w:color="33A3DC"/>
            </w:tcBorders>
            <w:gridSpan w:val="20"/>
          </w:tcPr>
          <w:p>
            <w:pPr>
              <w:ind w:left="20"/>
              <w:spacing w:after="0"/>
              <w:rPr>
                <w:sz w:val="20"/>
                <w:szCs w:val="20"/>
                <w:color w:val="auto"/>
              </w:rPr>
            </w:pPr>
            <w:r>
              <w:rPr>
                <w:rFonts w:ascii="Arial" w:cs="Arial" w:eastAsia="Arial" w:hAnsi="Arial"/>
                <w:sz w:val="18"/>
                <w:szCs w:val="18"/>
                <w:b w:val="1"/>
                <w:bCs w:val="1"/>
                <w:i w:val="1"/>
                <w:iCs w:val="1"/>
                <w:color w:val="00386C"/>
              </w:rPr>
              <w:t>Financial Statements and Supplementary Data</w:t>
            </w:r>
          </w:p>
        </w:tc>
        <w:tc>
          <w:tcPr>
            <w:tcW w:w="4560" w:type="dxa"/>
            <w:vAlign w:val="bottom"/>
            <w:gridSpan w:val="7"/>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15"/>
          </w:tcPr>
          <w:p>
            <w:pPr>
              <w:jc w:val="center"/>
              <w:ind w:right="2460"/>
              <w:spacing w:after="0"/>
              <w:rPr>
                <w:sz w:val="20"/>
                <w:szCs w:val="20"/>
                <w:color w:val="auto"/>
              </w:rPr>
            </w:pPr>
            <w:r>
              <w:rPr>
                <w:rFonts w:ascii="Arial" w:cs="Arial" w:eastAsia="Arial" w:hAnsi="Arial"/>
                <w:sz w:val="18"/>
                <w:szCs w:val="18"/>
                <w:b w:val="1"/>
                <w:bCs w:val="1"/>
                <w:color w:val="auto"/>
                <w:w w:val="98"/>
              </w:rPr>
              <w:t>INDEX TO FINANCIAL STATEMENTS</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80" w:type="dxa"/>
            <w:vAlign w:val="bottom"/>
            <w:gridSpan w:val="21"/>
          </w:tcPr>
          <w:p>
            <w:pPr>
              <w:jc w:val="center"/>
              <w:ind w:right="1420"/>
              <w:spacing w:after="0"/>
              <w:rPr>
                <w:sz w:val="20"/>
                <w:szCs w:val="20"/>
                <w:color w:val="auto"/>
              </w:rPr>
            </w:pPr>
            <w:r>
              <w:rPr>
                <w:rFonts w:ascii="Arial" w:cs="Arial" w:eastAsia="Arial" w:hAnsi="Arial"/>
                <w:sz w:val="18"/>
                <w:szCs w:val="18"/>
                <w:b w:val="1"/>
                <w:bCs w:val="1"/>
                <w:color w:val="auto"/>
                <w:w w:val="99"/>
              </w:rPr>
              <w:t>EXPAND ENERGY CORPORATION AND SUBSIDIARIES</w:t>
            </w:r>
          </w:p>
        </w:tc>
        <w:tc>
          <w:tcPr>
            <w:tcW w:w="1680" w:type="dxa"/>
            <w:vAlign w:val="bottom"/>
            <w:gridSpan w:val="7"/>
            <w:vMerge w:val="restart"/>
          </w:tcPr>
          <w:p>
            <w:pPr>
              <w:ind w:left="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540" w:type="dxa"/>
            <w:vAlign w:val="bottom"/>
            <w:gridSpan w:val="28"/>
            <w:shd w:val="clear" w:color="auto" w:fill="DBDBDB"/>
          </w:tcPr>
          <w:p>
            <w:pPr>
              <w:spacing w:after="0" w:line="189" w:lineRule="exact"/>
              <w:rPr>
                <w:sz w:val="20"/>
                <w:szCs w:val="20"/>
                <w:color w:val="auto"/>
              </w:rPr>
            </w:pPr>
            <w:r>
              <w:rPr>
                <w:rFonts w:ascii="Arial" w:cs="Arial" w:eastAsia="Arial" w:hAnsi="Arial"/>
                <w:sz w:val="18"/>
                <w:szCs w:val="18"/>
                <w:color w:val="0000FF"/>
              </w:rPr>
              <w:t xml:space="preserve">Report of Independent Registered Public Accounting Firm (PCAOB ID </w:t>
            </w:r>
            <w:r>
              <w:rPr>
                <w:rFonts w:ascii="Arial" w:cs="Arial" w:eastAsia="Arial" w:hAnsi="Arial"/>
                <w:sz w:val="18"/>
                <w:szCs w:val="18"/>
                <w:color w:val="000000"/>
              </w:rPr>
              <w:t>238</w:t>
            </w:r>
            <w:r>
              <w:rPr>
                <w:rFonts w:ascii="Arial" w:cs="Arial" w:eastAsia="Arial" w:hAnsi="Arial"/>
                <w:sz w:val="18"/>
                <w:szCs w:val="18"/>
                <w:u w:val="single" w:color="auto"/>
                <w:color w:val="0000FF"/>
              </w:rPr>
              <w:t>)</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72</w:t>
            </w:r>
          </w:p>
        </w:tc>
        <w:tc>
          <w:tcPr>
            <w:tcW w:w="2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DBDBDB"/>
            </w:tcBorders>
          </w:tcPr>
          <w:p>
            <w:pPr>
              <w:spacing w:after="0"/>
              <w:rPr>
                <w:sz w:val="19"/>
                <w:szCs w:val="19"/>
                <w:color w:val="auto"/>
              </w:rPr>
            </w:pPr>
          </w:p>
        </w:tc>
        <w:tc>
          <w:tcPr>
            <w:tcW w:w="562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auto"/>
              </w:rPr>
              <w:t>Consolidated Financial Statements:</w:t>
            </w:r>
          </w:p>
        </w:tc>
        <w:tc>
          <w:tcPr>
            <w:tcW w:w="3920" w:type="dxa"/>
            <w:vAlign w:val="bottom"/>
            <w:tcBorders>
              <w:top w:val="single" w:sz="8" w:color="DBDBDB"/>
            </w:tcBorders>
            <w:gridSpan w:val="3"/>
          </w:tcPr>
          <w:p>
            <w:pPr>
              <w:spacing w:after="0"/>
              <w:rPr>
                <w:sz w:val="19"/>
                <w:szCs w:val="19"/>
                <w:color w:val="auto"/>
              </w:rPr>
            </w:pPr>
          </w:p>
        </w:tc>
        <w:tc>
          <w:tcPr>
            <w:tcW w:w="840" w:type="dxa"/>
            <w:vAlign w:val="bottom"/>
            <w:tcBorders>
              <w:top w:val="single" w:sz="8" w:color="DBDBDB"/>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DBDBDB"/>
            </w:tcBorders>
          </w:tcPr>
          <w:p>
            <w:pPr>
              <w:spacing w:after="0"/>
              <w:rPr>
                <w:sz w:val="19"/>
                <w:szCs w:val="19"/>
                <w:color w:val="auto"/>
              </w:rPr>
            </w:pPr>
          </w:p>
        </w:tc>
        <w:tc>
          <w:tcPr>
            <w:tcW w:w="20" w:type="dxa"/>
            <w:vAlign w:val="bottom"/>
            <w:tcBorders>
              <w:top w:val="single" w:sz="8" w:color="DBDBDB"/>
            </w:tcBorders>
          </w:tcPr>
          <w:p>
            <w:pPr>
              <w:spacing w:after="0"/>
              <w:rPr>
                <w:sz w:val="19"/>
                <w:szCs w:val="19"/>
                <w:color w:val="auto"/>
              </w:rPr>
            </w:pPr>
          </w:p>
        </w:tc>
        <w:tc>
          <w:tcPr>
            <w:tcW w:w="480" w:type="dxa"/>
            <w:vAlign w:val="bottom"/>
            <w:tcBorders>
              <w:top w:val="single" w:sz="8" w:color="DBDBDB"/>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26"/>
            <w:shd w:val="clear" w:color="auto" w:fill="DBDBDB"/>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75</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spacing w:after="0" w:line="189" w:lineRule="exact"/>
              <w:rPr>
                <w:sz w:val="20"/>
                <w:szCs w:val="20"/>
                <w:color w:val="auto"/>
              </w:rPr>
            </w:pPr>
            <w:r>
              <w:rPr>
                <w:rFonts w:ascii="Arial" w:cs="Arial" w:eastAsia="Arial" w:hAnsi="Arial"/>
                <w:sz w:val="18"/>
                <w:szCs w:val="18"/>
                <w:color w:val="0000FF"/>
              </w:rPr>
              <w:t>Consolidated Statements of Operations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120" w:type="dxa"/>
            <w:vAlign w:val="bottom"/>
            <w:gridSpan w:val="26"/>
            <w:shd w:val="clear" w:color="auto" w:fill="DBDBDB"/>
          </w:tcPr>
          <w:p>
            <w:pPr>
              <w:spacing w:after="0" w:line="189" w:lineRule="exact"/>
              <w:rPr>
                <w:sz w:val="20"/>
                <w:szCs w:val="20"/>
                <w:color w:val="auto"/>
              </w:rPr>
            </w:pPr>
            <w:r>
              <w:rPr>
                <w:rFonts w:ascii="Arial" w:cs="Arial" w:eastAsia="Arial" w:hAnsi="Arial"/>
                <w:sz w:val="18"/>
                <w:szCs w:val="18"/>
                <w:color w:val="0000FF"/>
              </w:rPr>
              <w:t>Consolidated Statements of Cash Flows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9"/>
              </w:rPr>
              <w:t>77</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spacing w:after="0" w:line="189" w:lineRule="exact"/>
              <w:rPr>
                <w:sz w:val="20"/>
                <w:szCs w:val="20"/>
                <w:color w:val="auto"/>
              </w:rPr>
            </w:pPr>
            <w:r>
              <w:rPr>
                <w:rFonts w:ascii="Arial" w:cs="Arial" w:eastAsia="Arial" w:hAnsi="Arial"/>
                <w:sz w:val="18"/>
                <w:szCs w:val="18"/>
                <w:color w:val="0000FF"/>
              </w:rPr>
              <w:t>Consolidated Statements of Stockholders’ Equity</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9540" w:type="dxa"/>
            <w:vAlign w:val="bottom"/>
            <w:gridSpan w:val="28"/>
            <w:shd w:val="clear" w:color="auto" w:fill="DBDBDB"/>
          </w:tcPr>
          <w:p>
            <w:pPr>
              <w:spacing w:after="0"/>
              <w:rPr>
                <w:sz w:val="20"/>
                <w:szCs w:val="20"/>
                <w:color w:val="auto"/>
              </w:rPr>
            </w:pPr>
            <w:r>
              <w:rPr>
                <w:rFonts w:ascii="Arial" w:cs="Arial" w:eastAsia="Arial" w:hAnsi="Arial"/>
                <w:sz w:val="18"/>
                <w:szCs w:val="18"/>
                <w:color w:val="auto"/>
              </w:rPr>
              <w:t>Notes to the Consolidated Financial Statements:</w:t>
            </w:r>
          </w:p>
        </w:tc>
        <w:tc>
          <w:tcPr>
            <w:tcW w:w="8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120" w:type="dxa"/>
            <w:vAlign w:val="bottom"/>
            <w:gridSpan w:val="26"/>
          </w:tcPr>
          <w:p>
            <w:pPr>
              <w:ind w:left="80"/>
              <w:spacing w:after="0" w:line="189" w:lineRule="exact"/>
              <w:rPr>
                <w:sz w:val="20"/>
                <w:szCs w:val="20"/>
                <w:color w:val="auto"/>
              </w:rPr>
            </w:pPr>
            <w:r>
              <w:rPr>
                <w:rFonts w:ascii="Arial" w:cs="Arial" w:eastAsia="Arial" w:hAnsi="Arial"/>
                <w:sz w:val="18"/>
                <w:szCs w:val="18"/>
                <w:color w:val="0000FF"/>
              </w:rPr>
              <w:t>Note 1. Basis of Presentation and Summary of Significant Accounting Policies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79</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20" w:type="dxa"/>
            <w:vAlign w:val="bottom"/>
            <w:gridSpan w:val="21"/>
            <w:shd w:val="clear" w:color="auto" w:fill="DBDBDB"/>
          </w:tcPr>
          <w:p>
            <w:pPr>
              <w:spacing w:after="0" w:line="189" w:lineRule="exact"/>
              <w:rPr>
                <w:sz w:val="20"/>
                <w:szCs w:val="20"/>
                <w:color w:val="auto"/>
              </w:rPr>
            </w:pPr>
            <w:r>
              <w:rPr>
                <w:rFonts w:ascii="Arial" w:cs="Arial" w:eastAsia="Arial" w:hAnsi="Arial"/>
                <w:sz w:val="18"/>
                <w:szCs w:val="18"/>
                <w:color w:val="0000FF"/>
                <w:w w:val="99"/>
              </w:rPr>
              <w:t>Note 2. Natural Gas and Oil Property Transactions</w:t>
            </w:r>
          </w:p>
        </w:tc>
        <w:tc>
          <w:tcPr>
            <w:tcW w:w="4020" w:type="dxa"/>
            <w:vAlign w:val="bottom"/>
            <w:gridSpan w:val="4"/>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85</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gridSpan w:val="21"/>
          </w:tcPr>
          <w:p>
            <w:pPr>
              <w:spacing w:after="0" w:line="189" w:lineRule="exact"/>
              <w:rPr>
                <w:sz w:val="20"/>
                <w:szCs w:val="20"/>
                <w:color w:val="auto"/>
              </w:rPr>
            </w:pPr>
            <w:r>
              <w:rPr>
                <w:rFonts w:ascii="Arial" w:cs="Arial" w:eastAsia="Arial" w:hAnsi="Arial"/>
                <w:sz w:val="18"/>
                <w:szCs w:val="18"/>
                <w:color w:val="0000FF"/>
              </w:rPr>
              <w:t>Note 3. Earnings Per Share</w:t>
            </w:r>
          </w:p>
        </w:tc>
        <w:tc>
          <w:tcPr>
            <w:tcW w:w="4020" w:type="dxa"/>
            <w:vAlign w:val="bottom"/>
            <w:gridSpan w:val="4"/>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90</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line="189" w:lineRule="exact"/>
              <w:rPr>
                <w:sz w:val="20"/>
                <w:szCs w:val="20"/>
                <w:color w:val="auto"/>
              </w:rPr>
            </w:pPr>
            <w:r>
              <w:rPr>
                <w:rFonts w:ascii="Arial" w:cs="Arial" w:eastAsia="Arial" w:hAnsi="Arial"/>
                <w:sz w:val="18"/>
                <w:szCs w:val="18"/>
                <w:color w:val="0000FF"/>
                <w:w w:val="98"/>
              </w:rPr>
              <w:t>Note 4. Debt</w:t>
            </w:r>
          </w:p>
        </w:tc>
        <w:tc>
          <w:tcPr>
            <w:tcW w:w="7020" w:type="dxa"/>
            <w:vAlign w:val="bottom"/>
            <w:gridSpan w:val="24"/>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91</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5. Contingencies and Commitments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9"/>
              </w:rPr>
              <w:t>96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80" w:type="dxa"/>
            <w:vAlign w:val="bottom"/>
            <w:gridSpan w:val="7"/>
            <w:shd w:val="clear" w:color="auto" w:fill="DBDBDB"/>
          </w:tcPr>
          <w:p>
            <w:pPr>
              <w:spacing w:after="0" w:line="189" w:lineRule="exact"/>
              <w:rPr>
                <w:sz w:val="20"/>
                <w:szCs w:val="20"/>
                <w:color w:val="auto"/>
              </w:rPr>
            </w:pPr>
            <w:r>
              <w:rPr>
                <w:rFonts w:ascii="Arial" w:cs="Arial" w:eastAsia="Arial" w:hAnsi="Arial"/>
                <w:sz w:val="18"/>
                <w:szCs w:val="18"/>
                <w:color w:val="0000FF"/>
                <w:w w:val="99"/>
              </w:rPr>
              <w:t>Note 6. Other Liabilities</w:t>
            </w:r>
          </w:p>
        </w:tc>
        <w:tc>
          <w:tcPr>
            <w:tcW w:w="6160" w:type="dxa"/>
            <w:vAlign w:val="bottom"/>
            <w:gridSpan w:val="18"/>
            <w:shd w:val="clear" w:color="auto" w:fill="DBDBDB"/>
          </w:tcPr>
          <w:p>
            <w:pPr>
              <w:spacing w:after="0"/>
              <w:rPr>
                <w:sz w:val="16"/>
                <w:szCs w:val="16"/>
                <w:color w:val="auto"/>
              </w:rPr>
            </w:pPr>
          </w:p>
        </w:tc>
        <w:tc>
          <w:tcPr>
            <w:tcW w:w="880" w:type="dxa"/>
            <w:vAlign w:val="bottom"/>
            <w:gridSpan w:val="2"/>
            <w:shd w:val="clear" w:color="auto" w:fill="DBDBDB"/>
          </w:tcPr>
          <w:p>
            <w:pPr>
              <w:spacing w:after="0"/>
              <w:rPr>
                <w:sz w:val="16"/>
                <w:szCs w:val="16"/>
                <w:color w:val="auto"/>
              </w:rPr>
            </w:pPr>
          </w:p>
        </w:tc>
        <w:tc>
          <w:tcPr>
            <w:tcW w:w="2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98</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7"/>
          </w:tcPr>
          <w:p>
            <w:pPr>
              <w:spacing w:after="0" w:line="189" w:lineRule="exact"/>
              <w:rPr>
                <w:sz w:val="20"/>
                <w:szCs w:val="20"/>
                <w:color w:val="auto"/>
              </w:rPr>
            </w:pPr>
            <w:r>
              <w:rPr>
                <w:rFonts w:ascii="Arial" w:cs="Arial" w:eastAsia="Arial" w:hAnsi="Arial"/>
                <w:sz w:val="18"/>
                <w:szCs w:val="18"/>
                <w:color w:val="0000FF"/>
              </w:rPr>
              <w:t>Note 7. Leases</w:t>
            </w:r>
          </w:p>
        </w:tc>
        <w:tc>
          <w:tcPr>
            <w:tcW w:w="6160" w:type="dxa"/>
            <w:vAlign w:val="bottom"/>
            <w:gridSpan w:val="18"/>
          </w:tcPr>
          <w:p>
            <w:pPr>
              <w:spacing w:after="0"/>
              <w:rPr>
                <w:sz w:val="16"/>
                <w:szCs w:val="16"/>
                <w:color w:val="auto"/>
              </w:rPr>
            </w:pPr>
          </w:p>
        </w:tc>
        <w:tc>
          <w:tcPr>
            <w:tcW w:w="880" w:type="dxa"/>
            <w:vAlign w:val="bottom"/>
            <w:gridSpan w:val="2"/>
          </w:tcPr>
          <w:p>
            <w:pPr>
              <w:spacing w:after="0"/>
              <w:rPr>
                <w:sz w:val="16"/>
                <w:szCs w:val="16"/>
                <w:color w:val="auto"/>
              </w:rPr>
            </w:pPr>
          </w:p>
        </w:tc>
        <w:tc>
          <w:tcPr>
            <w:tcW w:w="24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0000FF"/>
                <w:w w:val="99"/>
              </w:rPr>
              <w:t>98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36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0000FF"/>
                <w:w w:val="99"/>
              </w:rPr>
              <w:t>Note 8. Revenue</w:t>
            </w:r>
          </w:p>
        </w:tc>
        <w:tc>
          <w:tcPr>
            <w:tcW w:w="6680" w:type="dxa"/>
            <w:vAlign w:val="bottom"/>
            <w:gridSpan w:val="21"/>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9. Income Taxes</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40" w:type="dxa"/>
            <w:vAlign w:val="bottom"/>
            <w:gridSpan w:val="3"/>
            <w:shd w:val="clear" w:color="auto" w:fill="DBDBDB"/>
          </w:tcPr>
          <w:p>
            <w:pPr>
              <w:spacing w:after="0" w:line="189" w:lineRule="exact"/>
              <w:rPr>
                <w:sz w:val="20"/>
                <w:szCs w:val="20"/>
                <w:color w:val="auto"/>
              </w:rPr>
            </w:pPr>
            <w:r>
              <w:rPr>
                <w:rFonts w:ascii="Arial" w:cs="Arial" w:eastAsia="Arial" w:hAnsi="Arial"/>
                <w:sz w:val="18"/>
                <w:szCs w:val="18"/>
                <w:color w:val="0000FF"/>
                <w:w w:val="99"/>
              </w:rPr>
              <w:t>Note 10. Equity</w:t>
            </w:r>
          </w:p>
        </w:tc>
        <w:tc>
          <w:tcPr>
            <w:tcW w:w="6800" w:type="dxa"/>
            <w:vAlign w:val="bottom"/>
            <w:gridSpan w:val="22"/>
            <w:shd w:val="clear" w:color="auto" w:fill="DBDBDB"/>
          </w:tcPr>
          <w:p>
            <w:pPr>
              <w:spacing w:after="0"/>
              <w:rPr>
                <w:sz w:val="16"/>
                <w:szCs w:val="16"/>
                <w:color w:val="auto"/>
              </w:rPr>
            </w:pPr>
          </w:p>
        </w:tc>
        <w:tc>
          <w:tcPr>
            <w:tcW w:w="1620" w:type="dxa"/>
            <w:vAlign w:val="bottom"/>
            <w:gridSpan w:val="6"/>
            <w:shd w:val="clear" w:color="auto" w:fill="DBDBDB"/>
          </w:tcPr>
          <w:p>
            <w:pPr>
              <w:jc w:val="center"/>
              <w:ind w:left="270"/>
              <w:spacing w:after="0" w:line="189" w:lineRule="exact"/>
              <w:rPr>
                <w:sz w:val="20"/>
                <w:szCs w:val="20"/>
                <w:color w:val="auto"/>
              </w:rPr>
            </w:pPr>
            <w:r>
              <w:rPr>
                <w:rFonts w:ascii="Arial" w:cs="Arial" w:eastAsia="Arial" w:hAnsi="Arial"/>
                <w:sz w:val="18"/>
                <w:szCs w:val="18"/>
                <w:color w:val="0000FF"/>
                <w:w w:val="99"/>
              </w:rPr>
              <w:t>106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11. Share-Based Compensation</w:t>
            </w:r>
          </w:p>
        </w:tc>
        <w:tc>
          <w:tcPr>
            <w:tcW w:w="1620" w:type="dxa"/>
            <w:vAlign w:val="bottom"/>
            <w:gridSpan w:val="6"/>
          </w:tcPr>
          <w:p>
            <w:pPr>
              <w:jc w:val="center"/>
              <w:ind w:left="270"/>
              <w:spacing w:after="0" w:line="189" w:lineRule="exact"/>
              <w:rPr>
                <w:sz w:val="20"/>
                <w:szCs w:val="20"/>
                <w:color w:val="auto"/>
              </w:rPr>
            </w:pPr>
            <w:r>
              <w:rPr>
                <w:rFonts w:ascii="Arial" w:cs="Arial" w:eastAsia="Arial" w:hAnsi="Arial"/>
                <w:sz w:val="18"/>
                <w:szCs w:val="18"/>
                <w:color w:val="0000FF"/>
                <w:w w:val="99"/>
              </w:rPr>
              <w:t>109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rPr>
              <w:t>Note 12. Employee Benefit Plans</w:t>
            </w:r>
          </w:p>
        </w:tc>
        <w:tc>
          <w:tcPr>
            <w:tcW w:w="1120" w:type="dxa"/>
            <w:vAlign w:val="bottom"/>
            <w:gridSpan w:val="4"/>
            <w:shd w:val="clear" w:color="auto" w:fill="DBDBDB"/>
          </w:tcPr>
          <w:p>
            <w:pPr>
              <w:jc w:val="center"/>
              <w:ind w:left="750"/>
              <w:spacing w:after="0" w:line="189" w:lineRule="exact"/>
              <w:rPr>
                <w:sz w:val="20"/>
                <w:szCs w:val="20"/>
                <w:color w:val="auto"/>
              </w:rPr>
            </w:pPr>
            <w:r>
              <w:rPr>
                <w:rFonts w:ascii="Arial" w:cs="Arial" w:eastAsia="Arial" w:hAnsi="Arial"/>
                <w:sz w:val="18"/>
                <w:szCs w:val="18"/>
                <w:color w:val="0000FF"/>
                <w:w w:val="93"/>
              </w:rPr>
              <w:t>111</w:t>
            </w:r>
          </w:p>
        </w:tc>
        <w:tc>
          <w:tcPr>
            <w:tcW w:w="2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13. Derivative and Hedging Activities</w:t>
            </w:r>
          </w:p>
        </w:tc>
        <w:tc>
          <w:tcPr>
            <w:tcW w:w="1120" w:type="dxa"/>
            <w:vAlign w:val="bottom"/>
            <w:gridSpan w:val="4"/>
          </w:tcPr>
          <w:p>
            <w:pPr>
              <w:jc w:val="center"/>
              <w:ind w:left="750"/>
              <w:spacing w:after="0" w:line="189" w:lineRule="exact"/>
              <w:rPr>
                <w:sz w:val="20"/>
                <w:szCs w:val="20"/>
                <w:color w:val="auto"/>
              </w:rPr>
            </w:pPr>
            <w:r>
              <w:rPr>
                <w:rFonts w:ascii="Arial" w:cs="Arial" w:eastAsia="Arial" w:hAnsi="Arial"/>
                <w:sz w:val="18"/>
                <w:szCs w:val="18"/>
                <w:color w:val="0000FF"/>
                <w:w w:val="93"/>
              </w:rPr>
              <w:t>111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180" w:type="dxa"/>
            <w:vAlign w:val="bottom"/>
            <w:gridSpan w:val="15"/>
            <w:shd w:val="clear" w:color="auto" w:fill="DBDBDB"/>
          </w:tcPr>
          <w:p>
            <w:pPr>
              <w:spacing w:after="0" w:line="189" w:lineRule="exact"/>
              <w:rPr>
                <w:sz w:val="20"/>
                <w:szCs w:val="20"/>
                <w:color w:val="auto"/>
              </w:rPr>
            </w:pPr>
            <w:r>
              <w:rPr>
                <w:rFonts w:ascii="Arial" w:cs="Arial" w:eastAsia="Arial" w:hAnsi="Arial"/>
                <w:sz w:val="18"/>
                <w:szCs w:val="18"/>
                <w:color w:val="0000FF"/>
                <w:w w:val="99"/>
              </w:rPr>
              <w:t>Note 14. Other Property and Equipment</w:t>
            </w:r>
          </w:p>
        </w:tc>
        <w:tc>
          <w:tcPr>
            <w:tcW w:w="4860" w:type="dxa"/>
            <w:vAlign w:val="bottom"/>
            <w:gridSpan w:val="10"/>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300" w:type="dxa"/>
            <w:vAlign w:val="bottom"/>
            <w:gridSpan w:val="4"/>
            <w:shd w:val="clear" w:color="auto" w:fill="DBDBDB"/>
          </w:tcPr>
          <w:p>
            <w:pPr>
              <w:jc w:val="center"/>
              <w:ind w:right="20"/>
              <w:spacing w:after="0" w:line="189" w:lineRule="exact"/>
              <w:rPr>
                <w:sz w:val="20"/>
                <w:szCs w:val="20"/>
                <w:color w:val="auto"/>
              </w:rPr>
            </w:pPr>
            <w:r>
              <w:rPr>
                <w:rFonts w:ascii="Arial" w:cs="Arial" w:eastAsia="Arial" w:hAnsi="Arial"/>
                <w:sz w:val="18"/>
                <w:szCs w:val="18"/>
                <w:color w:val="0000FF"/>
                <w:w w:val="93"/>
              </w:rPr>
              <w:t>114</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gridSpan w:val="15"/>
          </w:tcPr>
          <w:p>
            <w:pPr>
              <w:spacing w:after="0" w:line="189" w:lineRule="exact"/>
              <w:rPr>
                <w:sz w:val="20"/>
                <w:szCs w:val="20"/>
                <w:color w:val="auto"/>
              </w:rPr>
            </w:pPr>
            <w:r>
              <w:rPr>
                <w:rFonts w:ascii="Arial" w:cs="Arial" w:eastAsia="Arial" w:hAnsi="Arial"/>
                <w:sz w:val="18"/>
                <w:szCs w:val="18"/>
                <w:color w:val="0000FF"/>
              </w:rPr>
              <w:t>Note 15. Investments</w:t>
            </w:r>
          </w:p>
        </w:tc>
        <w:tc>
          <w:tcPr>
            <w:tcW w:w="4860" w:type="dxa"/>
            <w:vAlign w:val="bottom"/>
            <w:gridSpan w:val="10"/>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4"/>
          </w:tcPr>
          <w:p>
            <w:pPr>
              <w:jc w:val="center"/>
              <w:ind w:right="20"/>
              <w:spacing w:after="0" w:line="189" w:lineRule="exact"/>
              <w:rPr>
                <w:sz w:val="20"/>
                <w:szCs w:val="20"/>
                <w:color w:val="auto"/>
              </w:rPr>
            </w:pPr>
            <w:r>
              <w:rPr>
                <w:rFonts w:ascii="Arial" w:cs="Arial" w:eastAsia="Arial" w:hAnsi="Arial"/>
                <w:sz w:val="18"/>
                <w:szCs w:val="18"/>
                <w:color w:val="0000FF"/>
                <w:w w:val="93"/>
              </w:rPr>
              <w:t>114</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4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rPr>
              <w:t>Note 16. Asset Retirement Obligations</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115</w:t>
            </w:r>
          </w:p>
        </w:tc>
        <w:tc>
          <w:tcPr>
            <w:tcW w:w="480" w:type="dxa"/>
            <w:vAlign w:val="bottom"/>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9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02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24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80" w:type="dxa"/>
            <w:vAlign w:val="bottom"/>
            <w:tcBorders>
              <w:top w:val="single" w:sz="8" w:color="DBDBDB"/>
            </w:tcBorders>
            <w:shd w:val="clear" w:color="auto" w:fill="DBDBDB"/>
          </w:tcPr>
          <w:p>
            <w:pPr>
              <w:spacing w:after="0" w:line="20" w:lineRule="exact"/>
              <w:rPr>
                <w:sz w:val="1"/>
                <w:szCs w:val="1"/>
                <w:color w:val="auto"/>
              </w:rPr>
            </w:pPr>
          </w:p>
        </w:tc>
        <w:tc>
          <w:tcPr>
            <w:tcW w:w="1080" w:type="dxa"/>
            <w:vAlign w:val="bottom"/>
            <w:tcBorders>
              <w:top w:val="single" w:sz="8" w:color="DBDBDB"/>
            </w:tcBorders>
            <w:shd w:val="clear" w:color="auto" w:fill="DBDBDB"/>
          </w:tcPr>
          <w:p>
            <w:pPr>
              <w:spacing w:after="0" w:line="20" w:lineRule="exact"/>
              <w:rPr>
                <w:sz w:val="1"/>
                <w:szCs w:val="1"/>
                <w:color w:val="auto"/>
              </w:rPr>
            </w:pPr>
          </w:p>
        </w:tc>
        <w:tc>
          <w:tcPr>
            <w:tcW w:w="76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Note 17. Supplemental Cash Flow Information</w:t>
            </w:r>
          </w:p>
        </w:tc>
        <w:tc>
          <w:tcPr>
            <w:tcW w:w="1140" w:type="dxa"/>
            <w:vAlign w:val="bottom"/>
            <w:gridSpan w:val="5"/>
          </w:tcPr>
          <w:p>
            <w:pPr>
              <w:jc w:val="center"/>
              <w:ind w:left="730"/>
              <w:spacing w:after="0" w:line="189" w:lineRule="exact"/>
              <w:rPr>
                <w:sz w:val="20"/>
                <w:szCs w:val="20"/>
                <w:color w:val="auto"/>
              </w:rPr>
            </w:pPr>
            <w:r>
              <w:rPr>
                <w:rFonts w:ascii="Arial" w:cs="Arial" w:eastAsia="Arial" w:hAnsi="Arial"/>
                <w:sz w:val="18"/>
                <w:szCs w:val="18"/>
                <w:color w:val="0000FF"/>
                <w:w w:val="93"/>
              </w:rPr>
              <w:t>115</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8120" w:type="dxa"/>
            <w:vAlign w:val="bottom"/>
            <w:gridSpan w:val="26"/>
            <w:shd w:val="clear" w:color="auto" w:fill="DBDBDB"/>
          </w:tcPr>
          <w:p>
            <w:pPr>
              <w:ind w:left="80"/>
              <w:spacing w:after="0" w:line="189" w:lineRule="exact"/>
              <w:rPr>
                <w:sz w:val="20"/>
                <w:szCs w:val="20"/>
                <w:color w:val="auto"/>
              </w:rPr>
            </w:pPr>
            <w:r>
              <w:rPr>
                <w:rFonts w:ascii="Arial" w:cs="Arial" w:eastAsia="Arial" w:hAnsi="Arial"/>
                <w:sz w:val="18"/>
                <w:szCs w:val="18"/>
                <w:color w:val="0000FF"/>
              </w:rPr>
              <w:t>Note 18. Segment Information</w:t>
            </w:r>
          </w:p>
        </w:tc>
        <w:tc>
          <w:tcPr>
            <w:tcW w:w="1140" w:type="dxa"/>
            <w:vAlign w:val="bottom"/>
            <w:gridSpan w:val="5"/>
            <w:shd w:val="clear" w:color="auto" w:fill="DBDBDB"/>
          </w:tcPr>
          <w:p>
            <w:pPr>
              <w:jc w:val="center"/>
              <w:ind w:left="730"/>
              <w:spacing w:after="0" w:line="189" w:lineRule="exact"/>
              <w:rPr>
                <w:sz w:val="20"/>
                <w:szCs w:val="20"/>
                <w:color w:val="auto"/>
              </w:rPr>
            </w:pPr>
            <w:r>
              <w:rPr>
                <w:rFonts w:ascii="Arial" w:cs="Arial" w:eastAsia="Arial" w:hAnsi="Arial"/>
                <w:sz w:val="18"/>
                <w:szCs w:val="18"/>
                <w:color w:val="0000FF"/>
                <w:w w:val="93"/>
              </w:rPr>
              <w:t>116</w:t>
            </w:r>
          </w:p>
        </w:tc>
        <w:tc>
          <w:tcPr>
            <w:tcW w:w="480" w:type="dxa"/>
            <w:vAlign w:val="bottom"/>
            <w:shd w:val="clear" w:color="auto" w:fill="DBDBDB"/>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DBDBDB"/>
            </w:tcBorders>
          </w:tcPr>
          <w:p>
            <w:pPr>
              <w:spacing w:after="0"/>
              <w:rPr>
                <w:sz w:val="23"/>
                <w:szCs w:val="23"/>
                <w:color w:val="auto"/>
              </w:rPr>
            </w:pPr>
          </w:p>
        </w:tc>
        <w:tc>
          <w:tcPr>
            <w:tcW w:w="1420" w:type="dxa"/>
            <w:vAlign w:val="bottom"/>
            <w:tcBorders>
              <w:top w:val="single" w:sz="8" w:color="DBDBDB"/>
            </w:tcBorders>
            <w:gridSpan w:val="2"/>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10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40" w:type="dxa"/>
            <w:vAlign w:val="bottom"/>
            <w:tcBorders>
              <w:top w:val="single" w:sz="8" w:color="DBDBDB"/>
            </w:tcBorders>
          </w:tcPr>
          <w:p>
            <w:pPr>
              <w:spacing w:after="0"/>
              <w:rPr>
                <w:sz w:val="23"/>
                <w:szCs w:val="23"/>
                <w:color w:val="auto"/>
              </w:rPr>
            </w:pPr>
          </w:p>
        </w:tc>
        <w:tc>
          <w:tcPr>
            <w:tcW w:w="3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60" w:type="dxa"/>
            <w:vAlign w:val="bottom"/>
            <w:tcBorders>
              <w:top w:val="single" w:sz="8" w:color="DBDBDB"/>
            </w:tcBorders>
          </w:tcPr>
          <w:p>
            <w:pPr>
              <w:spacing w:after="0"/>
              <w:rPr>
                <w:sz w:val="23"/>
                <w:szCs w:val="23"/>
                <w:color w:val="auto"/>
              </w:rPr>
            </w:pPr>
          </w:p>
        </w:tc>
        <w:tc>
          <w:tcPr>
            <w:tcW w:w="100" w:type="dxa"/>
            <w:vAlign w:val="bottom"/>
            <w:tcBorders>
              <w:top w:val="single" w:sz="8" w:color="DBDBDB"/>
            </w:tcBorders>
          </w:tcPr>
          <w:p>
            <w:pPr>
              <w:spacing w:after="0"/>
              <w:rPr>
                <w:sz w:val="23"/>
                <w:szCs w:val="23"/>
                <w:color w:val="auto"/>
              </w:rPr>
            </w:pPr>
          </w:p>
        </w:tc>
        <w:tc>
          <w:tcPr>
            <w:tcW w:w="80" w:type="dxa"/>
            <w:vAlign w:val="bottom"/>
            <w:tcBorders>
              <w:top w:val="single" w:sz="8" w:color="DBDBDB"/>
            </w:tcBorders>
          </w:tcPr>
          <w:p>
            <w:pPr>
              <w:spacing w:after="0"/>
              <w:rPr>
                <w:sz w:val="23"/>
                <w:szCs w:val="23"/>
                <w:color w:val="auto"/>
              </w:rPr>
            </w:pPr>
          </w:p>
        </w:tc>
        <w:tc>
          <w:tcPr>
            <w:tcW w:w="320" w:type="dxa"/>
            <w:vAlign w:val="bottom"/>
            <w:tcBorders>
              <w:top w:val="single" w:sz="8" w:color="DBDBDB"/>
            </w:tcBorders>
            <w:gridSpan w:val="2"/>
          </w:tcPr>
          <w:p>
            <w:pPr>
              <w:spacing w:after="0"/>
              <w:rPr>
                <w:sz w:val="23"/>
                <w:szCs w:val="23"/>
                <w:color w:val="auto"/>
              </w:rPr>
            </w:pPr>
          </w:p>
        </w:tc>
        <w:tc>
          <w:tcPr>
            <w:tcW w:w="140" w:type="dxa"/>
            <w:vAlign w:val="bottom"/>
            <w:tcBorders>
              <w:top w:val="single" w:sz="8" w:color="DBDBDB"/>
            </w:tcBorders>
          </w:tcPr>
          <w:p>
            <w:pPr>
              <w:spacing w:after="0"/>
              <w:rPr>
                <w:sz w:val="23"/>
                <w:szCs w:val="23"/>
                <w:color w:val="auto"/>
              </w:rPr>
            </w:pPr>
          </w:p>
        </w:tc>
        <w:tc>
          <w:tcPr>
            <w:tcW w:w="200" w:type="dxa"/>
            <w:vAlign w:val="bottom"/>
            <w:tcBorders>
              <w:top w:val="single" w:sz="8" w:color="DBDBDB"/>
            </w:tcBorders>
          </w:tcPr>
          <w:p>
            <w:pPr>
              <w:spacing w:after="0"/>
              <w:rPr>
                <w:sz w:val="23"/>
                <w:szCs w:val="23"/>
                <w:color w:val="auto"/>
              </w:rPr>
            </w:pPr>
          </w:p>
        </w:tc>
        <w:tc>
          <w:tcPr>
            <w:tcW w:w="100" w:type="dxa"/>
            <w:vAlign w:val="bottom"/>
            <w:tcBorders>
              <w:top w:val="single" w:sz="8" w:color="DBDBDB"/>
            </w:tcBorders>
          </w:tcPr>
          <w:p>
            <w:pPr>
              <w:spacing w:after="0"/>
              <w:rPr>
                <w:sz w:val="23"/>
                <w:szCs w:val="23"/>
                <w:color w:val="auto"/>
              </w:rPr>
            </w:pPr>
          </w:p>
        </w:tc>
        <w:tc>
          <w:tcPr>
            <w:tcW w:w="2080" w:type="dxa"/>
            <w:vAlign w:val="bottom"/>
            <w:tcBorders>
              <w:top w:val="single" w:sz="8" w:color="DBDBDB"/>
            </w:tcBorders>
          </w:tcPr>
          <w:p>
            <w:pPr>
              <w:spacing w:after="0"/>
              <w:rPr>
                <w:sz w:val="23"/>
                <w:szCs w:val="23"/>
                <w:color w:val="auto"/>
              </w:rPr>
            </w:pPr>
          </w:p>
        </w:tc>
        <w:tc>
          <w:tcPr>
            <w:tcW w:w="1080" w:type="dxa"/>
            <w:vAlign w:val="bottom"/>
            <w:tcBorders>
              <w:top w:val="single" w:sz="8" w:color="DBDBDB"/>
            </w:tcBorders>
          </w:tcPr>
          <w:p>
            <w:pPr>
              <w:spacing w:after="0"/>
              <w:rPr>
                <w:sz w:val="23"/>
                <w:szCs w:val="23"/>
                <w:color w:val="auto"/>
              </w:rPr>
            </w:pPr>
          </w:p>
        </w:tc>
        <w:tc>
          <w:tcPr>
            <w:tcW w:w="760" w:type="dxa"/>
            <w:vAlign w:val="bottom"/>
            <w:tcBorders>
              <w:top w:val="single" w:sz="8" w:color="DBDBDB"/>
            </w:tcBorders>
          </w:tcPr>
          <w:p>
            <w:pPr>
              <w:spacing w:after="0"/>
              <w:rPr>
                <w:sz w:val="23"/>
                <w:szCs w:val="23"/>
                <w:color w:val="auto"/>
              </w:rPr>
            </w:pPr>
          </w:p>
        </w:tc>
        <w:tc>
          <w:tcPr>
            <w:tcW w:w="840" w:type="dxa"/>
            <w:vAlign w:val="bottom"/>
            <w:tcBorders>
              <w:top w:val="single" w:sz="8" w:color="DBDBDB"/>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 w:type="dxa"/>
            <w:vAlign w:val="bottom"/>
            <w:tcBorders>
              <w:top w:val="single" w:sz="8" w:color="DBDBDB"/>
            </w:tcBorders>
          </w:tcPr>
          <w:p>
            <w:pPr>
              <w:spacing w:after="0"/>
              <w:rPr>
                <w:sz w:val="23"/>
                <w:szCs w:val="23"/>
                <w:color w:val="auto"/>
              </w:rPr>
            </w:pPr>
          </w:p>
        </w:tc>
        <w:tc>
          <w:tcPr>
            <w:tcW w:w="480" w:type="dxa"/>
            <w:vAlign w:val="bottom"/>
            <w:tcBorders>
              <w:top w:val="single" w:sz="8" w:color="DBDBDB"/>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DBDBDB"/>
          </w:tcPr>
          <w:p>
            <w:pPr>
              <w:spacing w:after="0"/>
              <w:rPr>
                <w:sz w:val="19"/>
                <w:szCs w:val="19"/>
                <w:color w:val="auto"/>
              </w:rPr>
            </w:pPr>
          </w:p>
        </w:tc>
        <w:tc>
          <w:tcPr>
            <w:tcW w:w="9540" w:type="dxa"/>
            <w:vAlign w:val="bottom"/>
            <w:gridSpan w:val="28"/>
            <w:shd w:val="clear" w:color="auto" w:fill="DBDBDB"/>
          </w:tcPr>
          <w:p>
            <w:pPr>
              <w:spacing w:after="0"/>
              <w:rPr>
                <w:sz w:val="20"/>
                <w:szCs w:val="20"/>
                <w:color w:val="auto"/>
              </w:rPr>
            </w:pPr>
            <w:r>
              <w:rPr>
                <w:rFonts w:ascii="Arial" w:cs="Arial" w:eastAsia="Arial" w:hAnsi="Arial"/>
                <w:sz w:val="18"/>
                <w:szCs w:val="18"/>
                <w:color w:val="auto"/>
              </w:rPr>
              <w:t>Supplementary Information:</w:t>
            </w:r>
          </w:p>
        </w:tc>
        <w:tc>
          <w:tcPr>
            <w:tcW w:w="8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40" w:type="dxa"/>
            <w:vAlign w:val="bottom"/>
            <w:gridSpan w:val="25"/>
          </w:tcPr>
          <w:p>
            <w:pPr>
              <w:spacing w:after="0" w:line="189" w:lineRule="exact"/>
              <w:rPr>
                <w:sz w:val="20"/>
                <w:szCs w:val="20"/>
                <w:color w:val="auto"/>
              </w:rPr>
            </w:pPr>
            <w:r>
              <w:rPr>
                <w:rFonts w:ascii="Arial" w:cs="Arial" w:eastAsia="Arial" w:hAnsi="Arial"/>
                <w:sz w:val="18"/>
                <w:szCs w:val="18"/>
                <w:color w:val="0000FF"/>
              </w:rPr>
              <w:t>Supplemental Disclosures About Natural Gas, Oil and NGL Producing Activities (unaudited)</w:t>
            </w:r>
          </w:p>
        </w:tc>
        <w:tc>
          <w:tcPr>
            <w:tcW w:w="1140" w:type="dxa"/>
            <w:vAlign w:val="bottom"/>
            <w:gridSpan w:val="5"/>
          </w:tcPr>
          <w:p>
            <w:pPr>
              <w:jc w:val="center"/>
              <w:ind w:left="730"/>
              <w:spacing w:after="0" w:line="189" w:lineRule="exact"/>
              <w:rPr>
                <w:sz w:val="20"/>
                <w:szCs w:val="20"/>
                <w:color w:val="auto"/>
              </w:rPr>
            </w:pPr>
            <w:r>
              <w:rPr>
                <w:rFonts w:ascii="Arial" w:cs="Arial" w:eastAsia="Arial" w:hAnsi="Arial"/>
                <w:sz w:val="18"/>
                <w:szCs w:val="18"/>
                <w:color w:val="0000FF"/>
                <w:w w:val="93"/>
              </w:rPr>
              <w:t>117</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5"/>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6200" w:type="dxa"/>
            <w:vAlign w:val="bottom"/>
            <w:tcBorders>
              <w:top w:val="single" w:sz="8" w:color="0000FF"/>
            </w:tcBorders>
            <w:gridSpan w:val="23"/>
          </w:tcPr>
          <w:p>
            <w:pPr>
              <w:ind w:left="4200"/>
              <w:spacing w:after="0"/>
              <w:rPr>
                <w:sz w:val="20"/>
                <w:szCs w:val="20"/>
                <w:color w:val="auto"/>
              </w:rPr>
            </w:pPr>
            <w:r>
              <w:rPr>
                <w:rFonts w:ascii="Arial" w:cs="Arial" w:eastAsia="Arial" w:hAnsi="Arial"/>
                <w:sz w:val="18"/>
                <w:szCs w:val="18"/>
                <w:color w:val="auto"/>
              </w:rPr>
              <w:t>71</w:t>
            </w:r>
          </w:p>
        </w:tc>
        <w:tc>
          <w:tcPr>
            <w:tcW w:w="10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Expand Energy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Expand Energy Corporation and its subsidiaries (the "Company") as of December 31, 2024 and 2023, and the related consolidated statements of operations,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Southwestern Energy from its assessment of internal control over financial reporting as of December 31, 2024, because it was acquired by the Company in a purchase business combination during 2024. We have also excluded Southwestern Energy from our audit of internal control over financial reporting. Southwestern Energy is a wholly-owned subsidiary whose total assets and total revenues excluded from management’s assessment and our audit of internal control over financial reporting represent 56% and 35%, respectively, of the related consolidated financial statement amounts as of and for the year ended December 31, 2024.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Impact of Proved Developed Natural Gas and Oil Reserves on Proved Natural Gas and Oil Properties, Net</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described in Note 1 to the consolidated financial statements, the Company's property and equipment, net balance was $24.3 billion as of December 31, 2024, and the related depreciation, depletion and amortization expense for the year ended December 31, 2024 was $1.7 billion, both of which substantially related to proved natural gas and oil properties. The Company follows the successful efforts method to account for its natural gas and oil properties. Under this method, all capitalized well costs and leasehold costs of proved natural gas and oil properties are depreciated using the unit-of-production depreciation method based on total estimated proved developed natural gas and oil reserves. As disclosed by management, estimates of natural gas and oil reserves and their values, future production rates, future development costs and commodity pricing differentials are the most significant of management’s estimates. The accuracy of any reserve estimate is a function of the quality of data available and of engineering and geological interpretation and judgment. In addition, estimates of reserves may be revised based on actual production, results of subsequent exploration and development activities, recent commodity prices, operating costs and other factors. The estimates of proved natural gas and oil reserves have been developed by specialists, specifically the Company’s reservoir engineers, and assessed by independent petroleum engineers (together “management’s specialists”).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impact of proved developed natural gas and oil reserves on proved natural gas and oil properties, net is a critical audit matter are (i) the significant judgment by management, including the use of management’s specialists, when developing the estimates of proved developed natural gas and oil reserves and (ii) a high degree of auditor judgment, subjectivity, and effort in performing procedures and evaluating audit evidence related to the data, methods, and assumptions used by management and its specialists in developing the estimates of proved developed natural gas and oil reserves.</w:t>
      </w:r>
    </w:p>
    <w:p>
      <w:pPr>
        <w:spacing w:after="0" w:line="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developed natural gas and oil reserves. The work of management’s specialists was used in performing the procedures to evaluate the reasonableness of the estimates of proved developed natural gas and oil reserves. As a basis for using this work, the specialists’ qualifications were understood and the Company’s relationship with the specialists was assessed. The procedures performed also included</w:t>
      </w:r>
    </w:p>
    <w:p>
      <w:pPr>
        <w:spacing w:after="0" w:line="3" w:lineRule="exact"/>
        <w:rPr>
          <w:sz w:val="20"/>
          <w:szCs w:val="20"/>
          <w:color w:val="auto"/>
        </w:rPr>
      </w:pPr>
    </w:p>
    <w:p>
      <w:pPr>
        <w:jc w:val="both"/>
        <w:ind w:firstLine="8"/>
        <w:spacing w:after="0" w:line="258"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methods and assumptions used by the specialists; (ii) testing the completeness and accuracy of the underlying data used by the specialists related to historical production volumes; and (iii) evaluating the specialists’ findings related to future production volumes by comparing the future production volumes to relevant historical and current period production volumes, as applicable.</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Southwestern Merger </w:t>
      </w:r>
      <w:r>
        <w:rPr>
          <w:rFonts w:ascii="Arial" w:cs="Arial" w:eastAsia="Arial" w:hAnsi="Arial"/>
          <w:sz w:val="18"/>
          <w:szCs w:val="18"/>
          <w:color w:val="auto"/>
        </w:rPr>
        <w:t>–</w:t>
      </w:r>
      <w:r>
        <w:rPr>
          <w:rFonts w:ascii="Arial" w:cs="Arial" w:eastAsia="Arial" w:hAnsi="Arial"/>
          <w:sz w:val="18"/>
          <w:szCs w:val="18"/>
          <w:i w:val="1"/>
          <w:iCs w:val="1"/>
          <w:color w:val="auto"/>
        </w:rPr>
        <w:t xml:space="preserve"> Valuation of Proved Natural Gas and Oil Properties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described in Note 2 to the consolidated financial statements, on October 1, 2024, the Company completed the merger with Southwestern (“Southwestern Merger”) and recorded estimated fair values of the acquired proved natural gas and oil properties of approximately $10.0 billion. As disclosed by management, management determines the fair value of acquired natural gas and oil properties based on the discounted future net cash flows expected to be generated from these assets. Discounted cash flow models by operating area are prepared using the estimated future revenues and operating costs for all proved developed properties. Significant inputs associated with the calculation of discounted future net cash flows include estimates of (i) future production volumes based on estimated reserves, (ii) future operating and development costs, (iii) future commodity prices escalated by an inflationary rate after three years, adjusted for differentials, and (iv) a market-based weighted average cost of capital by operating area.</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proved natural gas and oil properties acquired in the Southwestern Merger is a critical audit matter are (i) the significant judgment by management, including the use of management’s specialists, when developing the fair value estimate of the proved natural gas and oil properties acquired; (ii) a high degree of auditor judgment, subjectivity, and effort in performing procedures and evaluating management’s significant assumptions related to future production volumes based on estimated reserves, future operating costs; future commodity prices escalated by an inflationary rate after three years, adjusted for differentials, and a market-based weighted average cost of capital by operating area; and (iii) the audit effort involved the use of professionals with specialized skill and knowledge.</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controls over the valuation of proved natural gas and oil properties acquired. These procedures also included, among others (i) reading the merger agreement; (ii) testing management’s process for developing the fair value estimate of proved natural gas and oil properties acquired; (iii) evaluating the appropriateness of the discounted cash flow model; (iv) testing the completeness and accuracy of underlying data used in the discounted cash flow model; and (v) evaluating the reasonableness of the significant assumptions used by management related to future production volumes based on estimated reserves, future operating costs, future commodity prices escalated by an inflationary rate after three years, adjusted for differentials, and a market-based weighted average cost of capital by operating area. Evaluating the reasonableness of management’s assumption related to future operating costs involved considering the reasonableness of the costs as compared to the past performance of the acquired business. Evaluating the reasonableness of management’s assumption related to future commodity prices, adjusted for differentials, involved comparing the prices against observable market data and evaluating the reasonableness of the differentials as compared to the past performance of the acquired business. Professionals with specialized skill and knowledge were used to assist in evaluating (i) the appropriateness of the discounted cash flow model; (ii) the reasonableness of the market-based weighted average cost of capital by operating area assumption; and (iii) the reasonableness of the inflationary rate after three years used to escalate commodity prices. The work of management’s specialists was used in performing procedures to evaluate the reasonableness of the future production volumes based on estimated reserves used in the discounted cash flow model. As a basis for using this work, the specialists’ qualifications were understood and the Company’s relationship with the specialists was assessed. The procedures performed also included evaluating the methods and assumptions used by the specialists, testing the completeness and accuracy of the data used by the specialists related to historical production volumes, and evaluating the specialists’ findings related to future production volumes by comparing the future production volumes to relevant historical and current period production volumes, as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64"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180" w:type="dxa"/>
            <w:vAlign w:val="bottom"/>
          </w:tcPr>
          <w:p>
            <w:pPr>
              <w:spacing w:after="0"/>
              <w:rPr>
                <w:sz w:val="20"/>
                <w:szCs w:val="20"/>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0"/>
                <w:szCs w:val="20"/>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672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Derivative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3"/>
        </w:trPr>
        <w:tc>
          <w:tcPr>
            <w:tcW w:w="6720" w:type="dxa"/>
            <w:vAlign w:val="bottom"/>
            <w:gridSpan w:val="3"/>
          </w:tcPr>
          <w:p>
            <w:pPr>
              <w:ind w:left="5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Natural gas and oil properties, successful efforts method</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Proved natural gas and oil properties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23,093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30"/>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Unproved properties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460"/>
              <w:spacing w:after="0"/>
              <w:rPr>
                <w:sz w:val="20"/>
                <w:szCs w:val="20"/>
                <w:color w:val="auto"/>
              </w:rPr>
            </w:pPr>
            <w:r>
              <w:rPr>
                <w:rFonts w:ascii="Arial" w:cs="Arial" w:eastAsia="Arial" w:hAnsi="Arial"/>
                <w:sz w:val="18"/>
                <w:szCs w:val="18"/>
                <w:color w:val="auto"/>
              </w:rPr>
              <w:t>Other property and equipment</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560"/>
              <w:spacing w:after="0"/>
              <w:rPr>
                <w:sz w:val="20"/>
                <w:szCs w:val="20"/>
                <w:color w:val="auto"/>
              </w:rPr>
            </w:pPr>
            <w:r>
              <w:rPr>
                <w:rFonts w:ascii="Arial" w:cs="Arial" w:eastAsia="Arial" w:hAnsi="Arial"/>
                <w:sz w:val="18"/>
                <w:szCs w:val="18"/>
                <w:color w:val="auto"/>
              </w:rPr>
              <w:t>Total property and equipment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29,644</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Less: accumulated depreciation, depletion and amortization</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5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24,282</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22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Long-term derivative assets</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Deferred income tax assets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67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27,894</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gridSpan w:val="3"/>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777</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Current maturities of long-term debt, net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1,786</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6720" w:type="dxa"/>
            <w:vAlign w:val="bottom"/>
            <w:gridSpan w:val="3"/>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3,123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5,291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derivative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Asset retirement obligations, net of current portion</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Long-term contract liabilities</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190"/>
        </w:trPr>
        <w:tc>
          <w:tcPr>
            <w:tcW w:w="6720" w:type="dxa"/>
            <w:vAlign w:val="bottom"/>
            <w:gridSpan w:val="3"/>
            <w:shd w:val="clear" w:color="auto" w:fill="DBDBDB"/>
          </w:tcPr>
          <w:p>
            <w:pPr>
              <w:ind w:left="20"/>
              <w:spacing w:after="0" w:line="169" w:lineRule="exact"/>
              <w:rPr>
                <w:sz w:val="20"/>
                <w:szCs w:val="20"/>
                <w:color w:val="auto"/>
              </w:rPr>
            </w:pPr>
            <w:r>
              <w:rPr>
                <w:rFonts w:ascii="Arial" w:cs="Arial" w:eastAsia="Arial" w:hAnsi="Arial"/>
                <w:sz w:val="18"/>
                <w:szCs w:val="18"/>
                <w:color w:val="auto"/>
              </w:rPr>
              <w:t>Contingencies and commitments (</w:t>
            </w:r>
            <w:r>
              <w:rPr>
                <w:rFonts w:ascii="Arial" w:cs="Arial" w:eastAsia="Arial" w:hAnsi="Arial"/>
                <w:sz w:val="18"/>
                <w:szCs w:val="18"/>
                <w:color w:val="0000FF"/>
              </w:rPr>
              <w:t>Note 5</w:t>
            </w:r>
            <w:r>
              <w:rPr>
                <w:rFonts w:ascii="Arial" w:cs="Arial" w:eastAsia="Arial" w:hAnsi="Arial"/>
                <w:sz w:val="18"/>
                <w:szCs w:val="18"/>
                <w:color w:val="auto"/>
              </w:rPr>
              <w:t>)</w:t>
            </w: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9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40" w:type="dxa"/>
            <w:vAlign w:val="bottom"/>
            <w:tcBorders>
              <w:top w:val="single" w:sz="8" w:color="DBDBDB"/>
            </w:tcBorders>
          </w:tcPr>
          <w:p>
            <w:pPr>
              <w:ind w:left="20"/>
              <w:spacing w:after="0"/>
              <w:rPr>
                <w:sz w:val="20"/>
                <w:szCs w:val="20"/>
                <w:color w:val="auto"/>
              </w:rPr>
            </w:pPr>
            <w:r>
              <w:rPr>
                <w:rFonts w:ascii="Arial" w:cs="Arial" w:eastAsia="Arial" w:hAnsi="Arial"/>
                <w:sz w:val="18"/>
                <w:szCs w:val="18"/>
                <w:color w:val="auto"/>
              </w:rPr>
              <w:t>Stockholders' equity:</w:t>
            </w:r>
          </w:p>
        </w:tc>
        <w:tc>
          <w:tcPr>
            <w:tcW w:w="520" w:type="dxa"/>
            <w:vAlign w:val="bottom"/>
            <w:tcBorders>
              <w:top w:val="single" w:sz="8" w:color="0000FF"/>
            </w:tcBorders>
          </w:tcPr>
          <w:p>
            <w:pPr>
              <w:spacing w:after="0"/>
              <w:rPr>
                <w:sz w:val="19"/>
                <w:szCs w:val="19"/>
                <w:color w:val="auto"/>
              </w:rPr>
            </w:pPr>
          </w:p>
        </w:tc>
        <w:tc>
          <w:tcPr>
            <w:tcW w:w="346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200" w:type="dxa"/>
            <w:vAlign w:val="bottom"/>
            <w:tcBorders>
              <w:top w:val="single" w:sz="8" w:color="DBDBDB"/>
            </w:tcBorders>
          </w:tcPr>
          <w:p>
            <w:pPr>
              <w:spacing w:after="0"/>
              <w:rPr>
                <w:sz w:val="19"/>
                <w:szCs w:val="19"/>
                <w:color w:val="auto"/>
              </w:rPr>
            </w:pPr>
          </w:p>
        </w:tc>
        <w:tc>
          <w:tcPr>
            <w:tcW w:w="180" w:type="dxa"/>
            <w:vAlign w:val="bottom"/>
            <w:tcBorders>
              <w:top w:val="single" w:sz="8" w:color="DBDBDB"/>
            </w:tcBorders>
          </w:tcPr>
          <w:p>
            <w:pPr>
              <w:spacing w:after="0"/>
              <w:rPr>
                <w:sz w:val="19"/>
                <w:szCs w:val="19"/>
                <w:color w:val="auto"/>
              </w:rPr>
            </w:pPr>
          </w:p>
        </w:tc>
        <w:tc>
          <w:tcPr>
            <w:tcW w:w="1920" w:type="dxa"/>
            <w:vAlign w:val="bottom"/>
            <w:tcBorders>
              <w:top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DBDBDB"/>
          </w:tcPr>
          <w:p>
            <w:pPr>
              <w:ind w:left="240"/>
              <w:spacing w:after="0" w:line="176" w:lineRule="exact"/>
              <w:rPr>
                <w:sz w:val="20"/>
                <w:szCs w:val="20"/>
                <w:color w:val="auto"/>
              </w:rPr>
            </w:pPr>
            <w:r>
              <w:rPr>
                <w:rFonts w:ascii="Arial" w:cs="Arial" w:eastAsia="Arial" w:hAnsi="Arial"/>
                <w:sz w:val="18"/>
                <w:szCs w:val="18"/>
                <w:color w:val="auto"/>
              </w:rPr>
              <w:t>Common stock, $0.01 par value, 450,000,000 shares authorized: 231,769,886</w:t>
            </w: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and 130,789,936 shares issued</w:t>
            </w: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9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13,687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29"/>
        </w:trPr>
        <w:tc>
          <w:tcPr>
            <w:tcW w:w="672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3,876</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DBDBDB"/>
            </w:tcBorders>
            <w:gridSpan w:val="3"/>
          </w:tcPr>
          <w:p>
            <w:pPr>
              <w:ind w:left="4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27,894</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14,376</w:t>
            </w:r>
          </w:p>
        </w:tc>
        <w:tc>
          <w:tcPr>
            <w:tcW w:w="0" w:type="dxa"/>
            <w:vAlign w:val="bottom"/>
          </w:tcPr>
          <w:p>
            <w:pPr>
              <w:spacing w:after="0"/>
              <w:rPr>
                <w:sz w:val="1"/>
                <w:szCs w:val="1"/>
                <w:color w:val="auto"/>
              </w:rPr>
            </w:pPr>
          </w:p>
        </w:tc>
      </w:tr>
      <w:tr>
        <w:trPr>
          <w:trHeight w:val="20"/>
        </w:trPr>
        <w:tc>
          <w:tcPr>
            <w:tcW w:w="274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tcBorders>
          </w:tcPr>
          <w:p>
            <w:pPr>
              <w:spacing w:after="0" w:line="20" w:lineRule="exact"/>
              <w:rPr>
                <w:sz w:val="1"/>
                <w:szCs w:val="1"/>
                <w:color w:val="auto"/>
              </w:rPr>
            </w:pPr>
          </w:p>
        </w:tc>
        <w:tc>
          <w:tcPr>
            <w:tcW w:w="34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5" w:name="page76"/>
    <w:bookmarkEnd w:id="7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22" w:lineRule="exact"/>
        <w:rPr>
          <w:sz w:val="20"/>
          <w:szCs w:val="20"/>
          <w:color w:val="auto"/>
        </w:rPr>
      </w:pPr>
    </w:p>
    <w:tbl>
      <w:tblPr>
        <w:tblLayout w:type="fixed"/>
        <w:tblInd w:w="16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09"/>
        </w:trPr>
        <w:tc>
          <w:tcPr>
            <w:tcW w:w="6320" w:type="dxa"/>
            <w:vAlign w:val="bottom"/>
            <w:tcBorders>
              <w:bottom w:val="single" w:sz="8" w:color="DBDBDB"/>
            </w:tcBorders>
          </w:tcPr>
          <w:p>
            <w:pPr>
              <w:ind w:left="40"/>
              <w:spacing w:after="0"/>
              <w:rPr>
                <w:sz w:val="20"/>
                <w:szCs w:val="20"/>
                <w:color w:val="auto"/>
              </w:rPr>
            </w:pPr>
            <w:r>
              <w:rPr>
                <w:rFonts w:ascii="Arial" w:cs="Arial" w:eastAsia="Arial" w:hAnsi="Arial"/>
                <w:sz w:val="14"/>
                <w:szCs w:val="14"/>
                <w:i w:val="1"/>
                <w:iCs w:val="1"/>
                <w:color w:val="auto"/>
              </w:rPr>
              <w:t>($ in millions, except per share data)</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6"/>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Revenues and other:</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Natural gas, oil and NGL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2,969</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3,547</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9,892</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Marketing</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1,290</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4,231</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Natural gas, oil and NGL derivatives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on sales of assets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946</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300</w:t>
            </w:r>
          </w:p>
        </w:tc>
      </w:tr>
      <w:tr>
        <w:trPr>
          <w:trHeight w:val="209"/>
        </w:trPr>
        <w:tc>
          <w:tcPr>
            <w:tcW w:w="6320" w:type="dxa"/>
            <w:vAlign w:val="bottom"/>
            <w:tcBorders>
              <w:bottom w:val="single" w:sz="8" w:color="DBDBDB"/>
            </w:tcBorders>
          </w:tcPr>
          <w:p>
            <w:pPr>
              <w:ind w:left="440"/>
              <w:spacing w:after="0"/>
              <w:rPr>
                <w:sz w:val="20"/>
                <w:szCs w:val="20"/>
                <w:color w:val="auto"/>
              </w:rPr>
            </w:pPr>
            <w:r>
              <w:rPr>
                <w:rFonts w:ascii="Arial" w:cs="Arial" w:eastAsia="Arial" w:hAnsi="Arial"/>
                <w:sz w:val="16"/>
                <w:szCs w:val="16"/>
                <w:color w:val="auto"/>
              </w:rPr>
              <w:t>Total revenues and other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4,235</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8,721</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11,743</w:t>
            </w:r>
          </w:p>
        </w:tc>
      </w:tr>
      <w:tr>
        <w:trPr>
          <w:trHeight w:val="197"/>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Production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Gathering, processing and transportation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1,035</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853</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1,059</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Severance and ad valorem taxes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Exploration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Marketing</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4,215</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Separation and other termination costs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1,729</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1,527</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1,753</w:t>
            </w:r>
          </w:p>
        </w:tc>
      </w:tr>
      <w:tr>
        <w:trPr>
          <w:trHeight w:val="215"/>
        </w:trPr>
        <w:tc>
          <w:tcPr>
            <w:tcW w:w="63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Other operating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63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5,038</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5,579</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7,963</w:t>
            </w:r>
          </w:p>
        </w:tc>
      </w:tr>
      <w:tr>
        <w:trPr>
          <w:trHeight w:val="209"/>
        </w:trPr>
        <w:tc>
          <w:tcPr>
            <w:tcW w:w="6320" w:type="dxa"/>
            <w:vAlign w:val="bottom"/>
            <w:tcBorders>
              <w:bottom w:val="single" w:sz="8" w:color="DBDBDB"/>
            </w:tcBorders>
          </w:tcPr>
          <w:p>
            <w:pPr>
              <w:spacing w:after="0"/>
              <w:rPr>
                <w:sz w:val="20"/>
                <w:szCs w:val="20"/>
                <w:color w:val="auto"/>
              </w:rPr>
            </w:pPr>
            <w:r>
              <w:rPr>
                <w:rFonts w:ascii="Arial" w:cs="Arial" w:eastAsia="Arial" w:hAnsi="Arial"/>
                <w:sz w:val="16"/>
                <w:szCs w:val="16"/>
                <w:b w:val="1"/>
                <w:bCs w:val="1"/>
                <w:color w:val="auto"/>
              </w:rPr>
              <w:t>Income (loss) from operations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3,142</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3,780</w:t>
            </w:r>
          </w:p>
        </w:tc>
      </w:tr>
      <w:tr>
        <w:trPr>
          <w:trHeight w:val="197"/>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Other income (expense):</w:t>
            </w: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Losses on purchases, exchanges or extinguishments of debt</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32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6320" w:type="dxa"/>
            <w:vAlign w:val="bottom"/>
            <w:shd w:val="clear" w:color="auto" w:fill="DBDBDB"/>
          </w:tcPr>
          <w:p>
            <w:pPr>
              <w:ind w:left="440"/>
              <w:spacing w:after="0"/>
              <w:rPr>
                <w:sz w:val="20"/>
                <w:szCs w:val="20"/>
                <w:color w:val="auto"/>
              </w:rPr>
            </w:pPr>
            <w:r>
              <w:rPr>
                <w:rFonts w:ascii="Arial" w:cs="Arial" w:eastAsia="Arial" w:hAnsi="Arial"/>
                <w:sz w:val="16"/>
                <w:szCs w:val="16"/>
                <w:color w:val="auto"/>
              </w:rPr>
              <w:t>Total other income (expense)</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w:t>
            </w:r>
          </w:p>
        </w:tc>
      </w:tr>
      <w:tr>
        <w:trPr>
          <w:trHeight w:val="210"/>
        </w:trPr>
        <w:tc>
          <w:tcPr>
            <w:tcW w:w="6320" w:type="dxa"/>
            <w:vAlign w:val="bottom"/>
            <w:tcBorders>
              <w:bottom w:val="single" w:sz="8" w:color="DBDBDB"/>
            </w:tcBorders>
          </w:tcPr>
          <w:p>
            <w:pPr>
              <w:spacing w:after="0"/>
              <w:rPr>
                <w:sz w:val="20"/>
                <w:szCs w:val="20"/>
                <w:color w:val="auto"/>
              </w:rPr>
            </w:pPr>
            <w:r>
              <w:rPr>
                <w:rFonts w:ascii="Arial" w:cs="Arial" w:eastAsia="Arial" w:hAnsi="Arial"/>
                <w:sz w:val="16"/>
                <w:szCs w:val="16"/>
                <w:b w:val="1"/>
                <w:bCs w:val="1"/>
                <w:color w:val="auto"/>
              </w:rPr>
              <w:t>Income (loss) before income taxes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3,651</w:t>
            </w:r>
          </w:p>
        </w:tc>
      </w:tr>
      <w:tr>
        <w:trPr>
          <w:trHeight w:val="209"/>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(1,285)</w:t>
            </w:r>
          </w:p>
        </w:tc>
      </w:tr>
      <w:tr>
        <w:trPr>
          <w:trHeight w:val="210"/>
        </w:trPr>
        <w:tc>
          <w:tcPr>
            <w:tcW w:w="6320" w:type="dxa"/>
            <w:vAlign w:val="bottom"/>
            <w:tcBorders>
              <w:bottom w:val="single" w:sz="8" w:color="DBDBDB"/>
            </w:tcBorders>
          </w:tcPr>
          <w:p>
            <w:pPr>
              <w:spacing w:after="0"/>
              <w:rPr>
                <w:sz w:val="20"/>
                <w:szCs w:val="20"/>
                <w:color w:val="auto"/>
              </w:rPr>
            </w:pPr>
            <w:r>
              <w:rPr>
                <w:rFonts w:ascii="Arial" w:cs="Arial" w:eastAsia="Arial" w:hAnsi="Arial"/>
                <w:sz w:val="16"/>
                <w:szCs w:val="16"/>
                <w:b w:val="1"/>
                <w:bCs w:val="1"/>
                <w:color w:val="auto"/>
              </w:rPr>
              <w:t>Net income (loss)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4,936</w:t>
            </w:r>
          </w:p>
        </w:tc>
      </w:tr>
      <w:tr>
        <w:trPr>
          <w:trHeight w:val="209"/>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Deemed dividend on warrants</w:t>
            </w: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6320" w:type="dxa"/>
            <w:vAlign w:val="bottom"/>
          </w:tcPr>
          <w:p>
            <w:pPr>
              <w:spacing w:after="0"/>
              <w:rPr>
                <w:sz w:val="20"/>
                <w:szCs w:val="20"/>
                <w:color w:val="auto"/>
              </w:rPr>
            </w:pPr>
            <w:r>
              <w:rPr>
                <w:rFonts w:ascii="Arial" w:cs="Arial" w:eastAsia="Arial" w:hAnsi="Arial"/>
                <w:sz w:val="16"/>
                <w:szCs w:val="16"/>
                <w:b w:val="1"/>
                <w:bCs w:val="1"/>
                <w:color w:val="auto"/>
              </w:rPr>
              <w:t>Net income (loss) available to common stockholders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4,869</w:t>
            </w:r>
          </w:p>
        </w:tc>
      </w:tr>
      <w:tr>
        <w:trPr>
          <w:trHeight w:val="20"/>
        </w:trPr>
        <w:tc>
          <w:tcPr>
            <w:tcW w:w="63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6320" w:type="dxa"/>
            <w:vAlign w:val="bottom"/>
            <w:shd w:val="clear" w:color="auto" w:fill="DBDBDB"/>
          </w:tcPr>
          <w:p>
            <w:pPr>
              <w:spacing w:after="0"/>
              <w:rPr>
                <w:sz w:val="20"/>
                <w:szCs w:val="20"/>
                <w:color w:val="auto"/>
              </w:rPr>
            </w:pPr>
            <w:r>
              <w:rPr>
                <w:rFonts w:ascii="Arial" w:cs="Arial" w:eastAsia="Arial" w:hAnsi="Arial"/>
                <w:sz w:val="16"/>
                <w:szCs w:val="16"/>
                <w:b w:val="1"/>
                <w:bCs w:val="1"/>
                <w:color w:val="auto"/>
              </w:rPr>
              <w:t>Earnings (loss) per common share:</w:t>
            </w: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(4.55)</w:t>
            </w:r>
          </w:p>
        </w:tc>
        <w:tc>
          <w:tcPr>
            <w:tcW w:w="16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18.21</w:t>
            </w:r>
          </w:p>
        </w:tc>
        <w:tc>
          <w:tcPr>
            <w:tcW w:w="16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38.71</w:t>
            </w:r>
          </w:p>
        </w:tc>
      </w:tr>
      <w:tr>
        <w:trPr>
          <w:trHeight w:val="217"/>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(4.55)</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16.92</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33.36</w:t>
            </w:r>
          </w:p>
        </w:tc>
      </w:tr>
      <w:tr>
        <w:trPr>
          <w:trHeight w:val="216"/>
        </w:trPr>
        <w:tc>
          <w:tcPr>
            <w:tcW w:w="6320" w:type="dxa"/>
            <w:vAlign w:val="bottom"/>
          </w:tcPr>
          <w:p>
            <w:pPr>
              <w:spacing w:after="0"/>
              <w:rPr>
                <w:sz w:val="20"/>
                <w:szCs w:val="20"/>
                <w:color w:val="auto"/>
              </w:rPr>
            </w:pPr>
            <w:r>
              <w:rPr>
                <w:rFonts w:ascii="Arial" w:cs="Arial" w:eastAsia="Arial" w:hAnsi="Arial"/>
                <w:sz w:val="16"/>
                <w:szCs w:val="16"/>
                <w:b w:val="1"/>
                <w:bCs w:val="1"/>
                <w:color w:val="auto"/>
              </w:rPr>
              <w:t>Weighted average common shares outstanding (in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3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156,989</w:t>
            </w:r>
          </w:p>
        </w:tc>
        <w:tc>
          <w:tcPr>
            <w:tcW w:w="16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132,840</w:t>
            </w:r>
          </w:p>
        </w:tc>
        <w:tc>
          <w:tcPr>
            <w:tcW w:w="1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125,785</w:t>
            </w:r>
          </w:p>
        </w:tc>
      </w:tr>
      <w:tr>
        <w:trPr>
          <w:trHeight w:val="215"/>
        </w:trPr>
        <w:tc>
          <w:tcPr>
            <w:tcW w:w="6320" w:type="dxa"/>
            <w:vAlign w:val="bottom"/>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156,989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142,976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145,961</w:t>
            </w:r>
          </w:p>
        </w:tc>
      </w:tr>
    </w:tbl>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76" w:name="page77"/>
    <w:bookmarkEnd w:id="7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09"/>
        </w:trPr>
        <w:tc>
          <w:tcPr>
            <w:tcW w:w="6440" w:type="dxa"/>
            <w:vAlign w:val="bottom"/>
            <w:tcBorders>
              <w:bottom w:val="single" w:sz="8" w:color="DBDBDB"/>
            </w:tcBorders>
          </w:tcPr>
          <w:p>
            <w:pPr>
              <w:ind w:left="60"/>
              <w:spacing w:after="0"/>
              <w:rPr>
                <w:sz w:val="20"/>
                <w:szCs w:val="20"/>
                <w:color w:val="auto"/>
              </w:rPr>
            </w:pPr>
            <w:r>
              <w:rPr>
                <w:rFonts w:ascii="Arial" w:cs="Arial" w:eastAsia="Arial" w:hAnsi="Arial"/>
                <w:sz w:val="14"/>
                <w:szCs w:val="14"/>
                <w:i w:val="1"/>
                <w:iCs w:val="1"/>
                <w:color w:val="auto"/>
              </w:rPr>
              <w:t>($ in millions)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r>
      <w:tr>
        <w:trPr>
          <w:trHeight w:val="196"/>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(714)</w:t>
            </w:r>
          </w:p>
        </w:tc>
        <w:tc>
          <w:tcPr>
            <w:tcW w:w="1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2,419</w:t>
            </w:r>
          </w:p>
        </w:tc>
        <w:tc>
          <w:tcPr>
            <w:tcW w:w="1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4,936</w:t>
            </w:r>
          </w:p>
        </w:tc>
      </w:tr>
      <w:tr>
        <w:trPr>
          <w:trHeight w:val="217"/>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Depreciation, depletion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1,753</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(1,332)</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Derivative (gains) losses,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2,680</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receipts (payments) on derivative settlements, net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947</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354</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(3,561)</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Gains on sales of assets</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(946)</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Contract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Losses on purchases, exchanges or extinguishments of debt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(315)</w:t>
            </w:r>
          </w:p>
        </w:tc>
        <w:tc>
          <w:tcPr>
            <w:tcW w:w="1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275</w:t>
            </w:r>
          </w:p>
        </w:tc>
        <w:tc>
          <w:tcPr>
            <w:tcW w:w="1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w:t>
            </w:r>
          </w:p>
        </w:tc>
      </w:tr>
      <w:tr>
        <w:trPr>
          <w:trHeight w:val="209"/>
        </w:trPr>
        <w:tc>
          <w:tcPr>
            <w:tcW w:w="644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2,380</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4,125</w:t>
            </w:r>
          </w:p>
        </w:tc>
      </w:tr>
      <w:tr>
        <w:trPr>
          <w:trHeight w:val="197"/>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(1,823)</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Receipts of deferred consideration</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Business combination,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(1,967)</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Contributions to investments</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6440" w:type="dxa"/>
            <w:vAlign w:val="bottom"/>
            <w:tcBorders>
              <w:bottom w:val="single" w:sz="8" w:color="DBDBDB"/>
            </w:tcBorders>
          </w:tcPr>
          <w:p>
            <w:pPr>
              <w:ind w:left="220"/>
              <w:spacing w:after="0"/>
              <w:rPr>
                <w:sz w:val="20"/>
                <w:szCs w:val="20"/>
                <w:color w:val="auto"/>
              </w:rPr>
            </w:pPr>
            <w:r>
              <w:rPr>
                <w:rFonts w:ascii="Arial" w:cs="Arial" w:eastAsia="Arial" w:hAnsi="Arial"/>
                <w:sz w:val="16"/>
                <w:szCs w:val="16"/>
                <w:color w:val="auto"/>
              </w:rPr>
              <w:t>Proceeds from divestitures of property and equipment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2,533</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r>
      <w:tr>
        <w:trPr>
          <w:trHeight w:val="210"/>
        </w:trPr>
        <w:tc>
          <w:tcPr>
            <w:tcW w:w="64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(1,904)</w:t>
            </w:r>
          </w:p>
        </w:tc>
        <w:tc>
          <w:tcPr>
            <w:tcW w:w="18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473</w:t>
            </w:r>
          </w:p>
        </w:tc>
        <w:tc>
          <w:tcPr>
            <w:tcW w:w="18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(3,401)</w:t>
            </w:r>
          </w:p>
        </w:tc>
      </w:tr>
      <w:tr>
        <w:trPr>
          <w:trHeight w:val="196"/>
        </w:trPr>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Credit Facility</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1,125</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Payments on Credit Facility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Exit Credit Facility</w:t>
            </w:r>
          </w:p>
        </w:tc>
        <w:tc>
          <w:tcPr>
            <w:tcW w:w="34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9,583</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Payments on Exit Credit Facility</w:t>
            </w:r>
          </w:p>
        </w:tc>
        <w:tc>
          <w:tcPr>
            <w:tcW w:w="3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(9,804)</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issuance of senior notes, net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747</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Proceeds from warrant exercise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Debt issuance and other financing costs</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Cash paid to repurchase and retire common stock</w:t>
            </w:r>
          </w:p>
        </w:tc>
        <w:tc>
          <w:tcPr>
            <w:tcW w:w="3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(1,073)</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Cash paid to purchase debt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(767)</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auto"/>
              </w:rPr>
              <w:t>Cash paid for common stock dividends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w:t>
            </w:r>
          </w:p>
        </w:tc>
      </w:tr>
      <w:tr>
        <w:trPr>
          <w:trHeight w:val="217"/>
        </w:trPr>
        <w:tc>
          <w:tcPr>
            <w:tcW w:w="6440" w:type="dxa"/>
            <w:vAlign w:val="bottom"/>
            <w:shd w:val="clear" w:color="auto" w:fill="DBDBDB"/>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440" w:type="dxa"/>
            <w:vAlign w:val="bottom"/>
            <w:tcBorders>
              <w:bottom w:val="single" w:sz="8" w:color="DBDBDB"/>
            </w:tcBorders>
          </w:tcPr>
          <w:p>
            <w:pPr>
              <w:ind w:left="34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180" w:type="dxa"/>
            <w:vAlign w:val="bottom"/>
            <w:tcBorders>
              <w:bottom w:val="single" w:sz="8" w:color="DBDBDB"/>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180" w:type="dxa"/>
            <w:vAlign w:val="bottom"/>
            <w:tcBorders>
              <w:bottom w:val="single" w:sz="8" w:color="DBDBDB"/>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(1,446)</w:t>
            </w:r>
          </w:p>
        </w:tc>
      </w:tr>
      <w:tr>
        <w:trPr>
          <w:trHeight w:val="210"/>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(758)</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961</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(722)</w:t>
            </w:r>
          </w:p>
        </w:tc>
      </w:tr>
      <w:tr>
        <w:trPr>
          <w:trHeight w:val="215"/>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r>
      <w:tr>
        <w:trPr>
          <w:trHeight w:val="208"/>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c>
          <w:tcPr>
            <w:tcW w:w="18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w:t>
            </w: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136"/>
        </w:trPr>
        <w:tc>
          <w:tcPr>
            <w:tcW w:w="6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6"/>
        </w:trPr>
        <w:tc>
          <w:tcPr>
            <w:tcW w:w="6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317</w:t>
            </w:r>
          </w:p>
        </w:tc>
        <w:tc>
          <w:tcPr>
            <w:tcW w:w="180" w:type="dxa"/>
            <w:vAlign w:val="bottom"/>
            <w:shd w:val="clear" w:color="auto" w:fill="DBDBDB"/>
          </w:tcPr>
          <w:p>
            <w:pPr>
              <w:spacing w:after="0"/>
              <w:rPr>
                <w:sz w:val="18"/>
                <w:szCs w:val="18"/>
                <w:color w:val="auto"/>
              </w:rPr>
            </w:pPr>
          </w:p>
        </w:tc>
        <w:tc>
          <w:tcPr>
            <w:tcW w:w="3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1,079</w:t>
            </w:r>
          </w:p>
        </w:tc>
        <w:tc>
          <w:tcPr>
            <w:tcW w:w="18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w:t>
            </w:r>
          </w:p>
        </w:tc>
      </w:tr>
      <w:tr>
        <w:trPr>
          <w:trHeight w:val="215"/>
        </w:trPr>
        <w:tc>
          <w:tcPr>
            <w:tcW w:w="64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8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35"/>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395</w:t>
            </w:r>
          </w:p>
        </w:tc>
        <w:tc>
          <w:tcPr>
            <w:tcW w:w="18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1,153</w:t>
            </w:r>
          </w:p>
        </w:tc>
        <w:tc>
          <w:tcPr>
            <w:tcW w:w="180" w:type="dxa"/>
            <w:vAlign w:val="bottom"/>
            <w:tcBorders>
              <w:bottom w:val="single" w:sz="8" w:color="DBDBDB"/>
            </w:tcBorders>
            <w:shd w:val="clear" w:color="auto" w:fill="DBDBDB"/>
          </w:tcPr>
          <w:p>
            <w:pPr>
              <w:spacing w:after="0"/>
              <w:rPr>
                <w:sz w:val="20"/>
                <w:szCs w:val="20"/>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192</w:t>
            </w:r>
          </w:p>
        </w:tc>
      </w:tr>
      <w:tr>
        <w:trPr>
          <w:trHeight w:val="20"/>
        </w:trPr>
        <w:tc>
          <w:tcPr>
            <w:tcW w:w="64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7" w:name="page78"/>
    <w:bookmarkEnd w:id="7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38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7"/>
        </w:trPr>
        <w:tc>
          <w:tcPr>
            <w:tcW w:w="4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 Paid-in</w:t>
            </w:r>
          </w:p>
        </w:tc>
        <w:tc>
          <w:tcPr>
            <w:tcW w:w="4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0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w:t>
            </w: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0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4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4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0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2021</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117,917,349</w:t>
            </w:r>
          </w:p>
        </w:tc>
        <w:tc>
          <w:tcPr>
            <w:tcW w:w="80" w:type="dxa"/>
            <w:vAlign w:val="bottom"/>
            <w:tcBorders>
              <w:top w:val="single" w:sz="8" w:color="DBDBDB"/>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DBDBDB"/>
            </w:tcBorders>
            <w:shd w:val="clear" w:color="auto" w:fill="DBDBDB"/>
          </w:tcPr>
          <w:p>
            <w:pPr>
              <w:spacing w:after="0"/>
              <w:rPr>
                <w:sz w:val="18"/>
                <w:szCs w:val="18"/>
                <w:color w:val="auto"/>
              </w:rPr>
            </w:pPr>
          </w:p>
        </w:tc>
        <w:tc>
          <w:tcPr>
            <w:tcW w:w="2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4,845</w:t>
            </w:r>
          </w:p>
        </w:tc>
        <w:tc>
          <w:tcPr>
            <w:tcW w:w="80" w:type="dxa"/>
            <w:vAlign w:val="bottom"/>
            <w:tcBorders>
              <w:top w:val="single" w:sz="8" w:color="DBDBDB"/>
            </w:tcBorders>
            <w:shd w:val="clear" w:color="auto" w:fill="DBDBDB"/>
          </w:tcPr>
          <w:p>
            <w:pPr>
              <w:spacing w:after="0"/>
              <w:rPr>
                <w:sz w:val="18"/>
                <w:szCs w:val="18"/>
                <w:color w:val="auto"/>
              </w:rPr>
            </w:pPr>
          </w:p>
        </w:tc>
        <w:tc>
          <w:tcPr>
            <w:tcW w:w="4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825</w:t>
            </w:r>
          </w:p>
        </w:tc>
        <w:tc>
          <w:tcPr>
            <w:tcW w:w="8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5,671</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common stock for Marcellus Acquisition</w:t>
            </w:r>
          </w:p>
        </w:tc>
        <w:tc>
          <w:tcPr>
            <w:tcW w:w="1300" w:type="dxa"/>
            <w:vAlign w:val="bottom"/>
          </w:tcPr>
          <w:p>
            <w:pPr>
              <w:jc w:val="right"/>
              <w:spacing w:after="0"/>
              <w:rPr>
                <w:sz w:val="20"/>
                <w:szCs w:val="20"/>
                <w:color w:val="auto"/>
              </w:rPr>
            </w:pPr>
            <w:r>
              <w:rPr>
                <w:rFonts w:ascii="Arial" w:cs="Arial" w:eastAsia="Arial" w:hAnsi="Arial"/>
                <w:sz w:val="16"/>
                <w:szCs w:val="16"/>
                <w:color w:val="auto"/>
              </w:rPr>
              <w:t>9,442,185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174,740</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common stock for warrant exchange offer</w:t>
            </w:r>
          </w:p>
        </w:tc>
        <w:tc>
          <w:tcPr>
            <w:tcW w:w="1300" w:type="dxa"/>
            <w:vAlign w:val="bottom"/>
          </w:tcPr>
          <w:p>
            <w:pPr>
              <w:jc w:val="right"/>
              <w:spacing w:after="0"/>
              <w:rPr>
                <w:sz w:val="20"/>
                <w:szCs w:val="20"/>
                <w:color w:val="auto"/>
              </w:rPr>
            </w:pPr>
            <w:r>
              <w:rPr>
                <w:rFonts w:ascii="Arial" w:cs="Arial" w:eastAsia="Arial" w:hAnsi="Arial"/>
                <w:sz w:val="16"/>
                <w:szCs w:val="16"/>
                <w:color w:val="auto"/>
              </w:rPr>
              <w:t>16,305,984</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2,102,244</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439,370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(11,666,778)</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4,936</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Deemed dividend on warrants</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35"/>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2022</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134,715,094</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000" w:type="dxa"/>
            <w:vAlign w:val="bottom"/>
            <w:tcBorders>
              <w:top w:val="single" w:sz="8" w:color="auto"/>
              <w:bottom w:val="single" w:sz="8" w:color="auto"/>
            </w:tcBorders>
            <w:shd w:val="clear" w:color="auto" w:fill="DBDBDB"/>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2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5,724</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4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3,399</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9,124</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gridSpan w:val="2"/>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tcBorders>
            <w:gridSpan w:val="2"/>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tcBorders>
              <w:top w:val="single" w:sz="8" w:color="DBDBDB"/>
            </w:tcBorders>
            <w:vMerge w:val="continue"/>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214,684</w:t>
            </w:r>
          </w:p>
        </w:tc>
        <w:tc>
          <w:tcPr>
            <w:tcW w:w="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221,952</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12,089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(4,373,883)</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16"/>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130,789,936</w:t>
            </w: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5,754</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20"/>
        </w:trPr>
        <w:tc>
          <w:tcPr>
            <w:tcW w:w="400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Southwestern Merger</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95,700,325</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7,888</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7,889</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300" w:type="dxa"/>
            <w:vAlign w:val="bottom"/>
          </w:tcPr>
          <w:p>
            <w:pPr>
              <w:jc w:val="right"/>
              <w:spacing w:after="0"/>
              <w:rPr>
                <w:sz w:val="20"/>
                <w:szCs w:val="20"/>
                <w:color w:val="auto"/>
              </w:rPr>
            </w:pPr>
            <w:r>
              <w:rPr>
                <w:rFonts w:ascii="Arial" w:cs="Arial" w:eastAsia="Arial" w:hAnsi="Arial"/>
                <w:sz w:val="16"/>
                <w:szCs w:val="16"/>
                <w:color w:val="auto"/>
              </w:rPr>
              <w:t>727,799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4,083,103</w:t>
            </w:r>
          </w:p>
        </w:tc>
        <w:tc>
          <w:tcPr>
            <w:tcW w:w="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300" w:type="dxa"/>
            <w:vAlign w:val="bottom"/>
          </w:tcPr>
          <w:p>
            <w:pPr>
              <w:jc w:val="right"/>
              <w:spacing w:after="0"/>
              <w:rPr>
                <w:sz w:val="20"/>
                <w:szCs w:val="20"/>
                <w:color w:val="auto"/>
              </w:rPr>
            </w:pPr>
            <w:r>
              <w:rPr>
                <w:rFonts w:ascii="Arial" w:cs="Arial" w:eastAsia="Arial" w:hAnsi="Arial"/>
                <w:sz w:val="16"/>
                <w:szCs w:val="16"/>
                <w:color w:val="auto"/>
              </w:rPr>
              <w:t>468,723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loss</w:t>
            </w: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spacing w:after="0"/>
              <w:rPr>
                <w:sz w:val="18"/>
                <w:szCs w:val="18"/>
                <w:color w:val="auto"/>
              </w:rPr>
            </w:pPr>
          </w:p>
        </w:tc>
        <w:tc>
          <w:tcPr>
            <w:tcW w:w="3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18"/>
                <w:szCs w:val="18"/>
                <w:color w:val="auto"/>
              </w:rPr>
            </w:pPr>
          </w:p>
        </w:tc>
        <w:tc>
          <w:tcPr>
            <w:tcW w:w="112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5"/>
        </w:trPr>
        <w:tc>
          <w:tcPr>
            <w:tcW w:w="40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231,769,886</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000" w:type="dxa"/>
            <w:vAlign w:val="bottom"/>
            <w:tcBorders>
              <w:top w:val="single" w:sz="8" w:color="auto"/>
              <w:bottom w:val="single" w:sz="8" w:color="auto"/>
            </w:tcBorders>
            <w:shd w:val="clear" w:color="auto" w:fill="DBDBDB"/>
          </w:tcPr>
          <w:p>
            <w:pPr>
              <w:jc w:val="right"/>
              <w:ind w:right="821"/>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2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13,687</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44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8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17,565</w:t>
            </w:r>
          </w:p>
        </w:tc>
        <w:tc>
          <w:tcPr>
            <w:tcW w:w="0" w:type="dxa"/>
            <w:vAlign w:val="bottom"/>
          </w:tcPr>
          <w:p>
            <w:pPr>
              <w:spacing w:after="0"/>
              <w:rPr>
                <w:sz w:val="1"/>
                <w:szCs w:val="1"/>
                <w:color w:val="auto"/>
              </w:rPr>
            </w:pPr>
          </w:p>
        </w:tc>
      </w:tr>
      <w:tr>
        <w:trPr>
          <w:trHeight w:val="20"/>
        </w:trPr>
        <w:tc>
          <w:tcPr>
            <w:tcW w:w="400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78" w:name="page79"/>
    <w:bookmarkEnd w:id="7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0" w:hanging="454"/>
        <w:spacing w:after="0"/>
        <w:tabs>
          <w:tab w:leader="none" w:pos="480" w:val="left"/>
        </w:tabs>
        <w:numPr>
          <w:ilvl w:val="0"/>
          <w:numId w:val="29"/>
        </w:numPr>
        <w:rPr>
          <w:rFonts w:ascii="Arial" w:cs="Arial" w:eastAsia="Arial" w:hAnsi="Arial"/>
          <w:sz w:val="18"/>
          <w:szCs w:val="18"/>
          <w:b w:val="1"/>
          <w:bCs w:val="1"/>
          <w:color w:val="00386C"/>
        </w:rPr>
      </w:pPr>
      <w:r>
        <w:rPr>
          <w:rFonts w:ascii="Arial" w:cs="Arial" w:eastAsia="Arial" w:hAnsi="Arial"/>
          <w:sz w:val="18"/>
          <w:szCs w:val="18"/>
          <w:b w:val="1"/>
          <w:bCs w:val="1"/>
          <w:color w:val="00386C"/>
        </w:rPr>
        <w:t>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38658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Description of Company</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On October 1, 2024, Chesapeake Energy Corporation (“Chesapeake”) changed its name to Expand Energy Corporation ("Expand Energy," “we,” “our,” “us” or the "Company") in connection with the Southwestern Merger, further discussed in </w:t>
      </w:r>
      <w:r>
        <w:rPr>
          <w:rFonts w:ascii="Arial" w:cs="Arial" w:eastAsia="Arial" w:hAnsi="Arial"/>
          <w:sz w:val="18"/>
          <w:szCs w:val="18"/>
          <w:u w:val="single" w:color="auto"/>
          <w:color w:val="0000FF"/>
        </w:rPr>
        <w:t>Note 2</w:t>
      </w:r>
      <w:r>
        <w:rPr>
          <w:rFonts w:ascii="Arial" w:cs="Arial" w:eastAsia="Arial" w:hAnsi="Arial"/>
          <w:sz w:val="18"/>
          <w:szCs w:val="18"/>
          <w:color w:val="auto"/>
        </w:rPr>
        <w:t>. Following the Southwestern Merger, Expand Energy is the largest natural gas producer in the U.S., based on net daily production, and is focused on responsibly developing an abundant supply of natural gas, oil and NGL to expand energy access for all. We have operations in Louisiana, Pennsylvania, West Virginia and Ohio, with all of our operations located onshore in the United States.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accompanying consolidated financial statements of Expand Energy were prepared in accordance with GAAP and include the accounts of our direct and indirect wholly owned subsidiaries and entities in which Expand Energy has a controlling financial interest. Intercompany accounts and balances have been eliminated. All monetary values, other than per unit and per share amounts, are stated in millions of U.S. dollars unless otherwise specified.</w:t>
      </w:r>
    </w:p>
    <w:p>
      <w:pPr>
        <w:spacing w:after="0" w:line="12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This Annual Report on Form 10-K (this “Form 10-K”) relates to our financial position as of December 31, 2024 and as of December 31, 2023, and our results of operations for the year ended December 31, 2024, the year ended December 31, 2023 and the year ended December 31, 2022. For the time periods covered by this Form 10-K, we did not have any changes or items impacting other comprehensive income.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Estimates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related disclosures in the financial statements. Management evaluates its estimates and related assumptions regularly, including those related to the impairment of natural gas and oil properties, natural gas and oil reserves, derivatives, income taxes, impairment of other property and equipment, environmental remediation costs, asset retirement obligations, litigation and regulatory proceedings and fair values. Changes in facts and circumstances or additional information may result in revised estimates, and actual results may differ significantly from these estimates.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Consolidation</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consolidate entities in which we have a controlling financial interest and variable interest entities in which we are the primary beneficiary. We consolidate subsidiaries in which we hold, directly or indirectly, more than 50% of the voting rights. We use the equity method of accounting to record our net interests where we have the ability to exercise significant influence through our investment but lack a controlling financial interest. Under the equity method, our share of net income (loss) is included in our consolidated statements of operations according to our equity ownership or according to the terms of the applicable governing instrument.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for further discussion of our investments. Undivided interests in natural gas and oil properties are consolidated on a proportionate basis.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Segments</w:t>
      </w:r>
    </w:p>
    <w:p>
      <w:pPr>
        <w:spacing w:after="0" w:line="16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Operating segments are defined as components of an enterprise that engage in activities from which it may earn revenues and incur expenses for which separate operational financial information is available and is regularly evaluated by the chief operating decision maker (“CODM”), who is our Chief Executive Officer, for the purpose of allocating an enterprise’s resources and assessing its operating performance. We have concluded that we have one reportable segment, due to the similar nature of the exploration and production business across Expand Energy and its consolidated subsidiaries and the fact that our marketing activities are ancillary to our operations.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additional information.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and Cash Equivalents</w:t>
      </w:r>
    </w:p>
    <w:p>
      <w:pPr>
        <w:spacing w:after="0" w:line="16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For purposes of the consolidated financial statements, we consider investments in all highly liquid instruments with original maturities of three months or less at the date of purchase to be cash equivalents.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2024, we had restricted cash of $78 million. Our restricted cash represents funds legally restricted for future payment of certain royalties, as well as for payment of certain convenience class unsecured claims.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additional information regarding our accounts receivable.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and Oil Properties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follow the successful efforts method of accounting for our natural gas and oil properties. Under this method, exploration costs such as exploratory geological and geophysical costs, expiration of unproved leasehold, delay rentals and exploration overhead are expensed as incurred. All costs related to production, general corporate overhead and similar activities are also expensed as incurred. All property acquisition costs and development costs are capitalized when incurred.</w:t>
      </w:r>
    </w:p>
    <w:p>
      <w:pPr>
        <w:spacing w:after="0" w:line="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Exploratory drilling costs are initially capitalized, or suspended, pending the determination of proved reserves. If proved reserves are found, drilling costs remain capitalized and are classified as proved properties. Costs of unsuccessful wells are charged to exploration expense. For exploratory wells that find reserves that cannot be classified as proved when drilling is completed, costs continue to be capitalized as suspended exploratory drilling costs if there have been sufficient reserves found to justify completion as a producing well and sufficient progress is being made in assessing the reserves and the economic and operational viability of the project. If we determine that future appraisal drilling or development activities are unlikely to occur, associated suspended exploratory well costs are expensed. In some instances, this determination may take longer than one year. We review the status of all suspended exploratory drilling costs quarterly. Costs to develop proved reserves, including the costs of all development wells and related equipment used in the production of natural gas and oil are capitalized.</w:t>
      </w:r>
    </w:p>
    <w:p>
      <w:pPr>
        <w:spacing w:after="0" w:line="73"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Costs of drilling and equipping successful wells, costs to construct or acquire facilities, and associated asset retirement costs are depreciated using the unit-of-production (“UOP”) method based on total estimated proved developed gas and oil reserves. Costs of acquiring proved properties, including leasehold acquisition costs transferred from unproved properties, are depleted using the UOP method based on total estimated proved developed and undeveloped reserves.</w:t>
      </w:r>
    </w:p>
    <w:p>
      <w:pPr>
        <w:spacing w:after="0" w:line="6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Proceeds from the sales of individual natural gas and oil properties and the capitalized costs of individual properties sold or abandoned are credited and charged, respectively, to accumulated depreciation, depletion and amortization, if doing so does not materially impact the depletion rate of an amortization base. Generally, no gain or loss is recognized until an entire amortization base is sold. However, a gain or loss is recognized from the sale of less than an entire amortization base if the disposition is significant enough to materially impact the depletion rate of the remaining properties in the amortization base.</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When circumstances indicate that the carrying value of proved natural gas and oil properties may not be recoverable, we compare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our estimate of future natural gas and crude oil prices, operating costs, anticipated production from proved reserves and other relevant data, are lower than the unamortized capitalized costs, the capitalized costs are reduced to fair value. Fair value is generally estimated using the income approach described in the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If applicable, we utilize prices and other relevant information generated by market transactions involving assets and liabilities that are identical or comparable to the item being measured as the basis for determining fair value. The expected future cash flows used for impairment reviews and related fair value measurements are typically based on judgmental</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assessments of commodity prices, pricing adjustments for differentials, operating costs, capital investment plans, future production volumes, and estimated proved reserves, considering all available information at the date of review. These assumptions are applied to develop future cash flow projections that are then discounted to estimated fair value, using a market-based weighted average cost of capital. We have classified these fair value measurements as Level 3 in the fair value hierarchy.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Property and Equipment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Other property and equipment consists primarily of buildings and improvements, computers and office equipment, gathering and water systems, land and other assets that support our operations. Major renewals and betterments are capitalized while the costs of repairs and maintenance are charged to expense as incurred. Other property and equipment costs, excluding land, are depreciated on a straight-line basis and recorded within depreciation, depletion and amortization in the consolidated statement of operations.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Realization of the carrying value of other property and equipment is reviewed for possible impairment whenever events or changes in circumstances indicate that the carrying amount may not be recoverable. Assets are determined to be impaired if a forecast of undiscounted estimated future net operating cash flows directly related to the asset, including any disposal value, is less than the carrying amount of the asset. If any asset is determined to be impaired, the loss is measured as the amount by which the carrying amount of the asset exceeds its fair value. An estimate of fair value is based on the best information available, including prices for similar assets and discounted cash flow.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for further discussion of other property and equipment.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Assets Held for Sale</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may market certain non-core natural gas and oil assets or other properties for sale. At the end of each reporting period, we evaluate if these assets should be classified as held for sale. The held for sale criteria includes the following: management commits to a plan to sell, the asset is available for immediate sale, an active program to locate a buyer exists, the sale of the asset is probable and expected to be completed within a year, the asset is actively being marketed for sale and that it is unlikely that significant changes to the plan will be made. If each of the criteria are met, then the assets and associated liabilities are classified as held for sale. Additionally, once assets are classified as held for sale, we cease depreciation on those related assets.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Capitalized Interest</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Interest from external borrowings is capitalized on significant investments in major development projects until the asset is ready for service using the weighted average borrowing rate of outstanding borrowings. Capitalized interest is determined by multiplying our weighted average borrowing cost on debt by the average amount of qualifying costs incurred. Capitalized interest is depreciated over the useful lives of the assets in the same manner as the depreciation of the underlying asset.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Payable</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Included in accounts payable as of December 31, 2024 are liabilities of approximately $64 million, representing the amount by which checks issued, but not yet presented to our banks for collection, exceeded balances in applicable bank accounts.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Debt Issuance Costs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Costs associated with the arrangement of our credit facility are included in other long-term assets and are amortized over the life of the facility using the straight-line method. As of December 31, 2024, these costs were $ 17 million. Costs associated with the issuance of the senior notes are included in long-term debt and the remaining unamortized issuance costs are amortized over the life of the senior notes using the straight-line method. Unamortized issuance costs associated with our senior notes as of December 31, 2024 totaled $10 million.</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Litigation Contingencies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We are subject to litigation and regulatory proceedings, claims and liabilities that arise in the ordinary course of business. We accrue losses associated with litigation and regulatory claims when such losses are probable and reasonably estimable. If we determine that a loss is probable and cannot estimate a specific amount for that loss but can estimate a range of loss, our best estimate within the range is accrued. Estimates are adjusted as additional information becomes available or circumstances change. We do not reduce these liabilities for potential insurance or third-party recoveries. If applicable, we accrue receivables for probable insurance or third-party recoveries. Legal defense costs associated with loss contingencies are expensed in the period incurred.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further discussion of litigation contingencies.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Remediation Costs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We record environmental reserves for estimated remediation costs related to existing conditions from past operations when the responsibility to remediate is probable and the costs can be reasonably estimated. Expenditures that create future benefits or contribute to future revenue generation are capitalized.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for discussion of environmental contingencies.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Asset Retirement Obligations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recognize liabilities for obligations associated with the retirement of tangible long-lived assets that result from the acquisition, construction and development of the assets. We recognize the fair value of a liability for a retirement obligation in the period in which the liability is incurred. For natural gas and oil properties, this is the period in which a natural gas or oil well is acquired or drilled. The liability is then accreted each period until the liability is settled or the well is sold, at which time the liability is removed. The related asset retirement cost is capitalized as part of the carrying amount of our natural gas and oil properties. See </w:t>
      </w:r>
      <w:r>
        <w:rPr>
          <w:rFonts w:ascii="Arial" w:cs="Arial" w:eastAsia="Arial" w:hAnsi="Arial"/>
          <w:sz w:val="18"/>
          <w:szCs w:val="18"/>
          <w:u w:val="single" w:color="auto"/>
          <w:color w:val="0000FF"/>
        </w:rPr>
        <w:t>Note 16</w:t>
      </w:r>
      <w:r>
        <w:rPr>
          <w:rFonts w:ascii="Arial" w:cs="Arial" w:eastAsia="Arial" w:hAnsi="Arial"/>
          <w:sz w:val="18"/>
          <w:szCs w:val="18"/>
          <w:color w:val="auto"/>
        </w:rPr>
        <w:t xml:space="preserve"> for further discussion of asset retirement obligations.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the sale of natural gas, oil and NGL is recognized upon the transfer of control of the products, which is typically when the products are delivered to customers. Revenue is recognized net of royalties due to third parties in an amount that reflects the consideration we expect to receive in exchange for those products. We follow the sales method of accounting for our natural gas revenue whereby we recognize sales revenue on all natural gas sold to our purchasers, regardless of whether the sales are proportionate to our ownership in the property.</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Revenue from contracts with customers includes the sale of our natural gas, oil and NGL production (recorded as natural gas, oil and NGL revenues in the consolidated statements of operations) as well as the sale of certain of our joint interest holders’ production which we purchase under joint operating arrangements (recorded in marketing revenues in the consolidated statements of operations). In connection with the marketing of these products, we obtain control of the natural gas, oil and NGL we purchase from other interest owners at defined delivery points and deliver the product to third parties, at which time revenues are recorded.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for a presentation of the disaggregation of revenue.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Payment terms and conditions vary by contract type, although terms generally include a requirement of payment within 30 to 60 days.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judgments that significantly affect the amount or timing of revenue from contracts with customers.</w:t>
      </w:r>
    </w:p>
    <w:p>
      <w:pPr>
        <w:spacing w:after="0" w:line="1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generate revenue from other sources, including from a variety of derivative and hedging activities to reduce our exposure to fluctuations in future commodity prices and to protect our expected operating cash flow against significant market movements or volatility, as well as a variety of natural gas, oil and NGL purchase and sale contracts with third parties for various commercial purposes, including credit risk mitigation and satisfaction of our pipeline delivery commitments (recorded within marketing revenues in the consolidated statements of operations). In circumstances where we act as an agent rather than a principal, our results of operations related to natural gas, oil and NGL marketing activities are presented on a net basis.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Measurements</w:t>
      </w:r>
    </w:p>
    <w:p>
      <w:pPr>
        <w:spacing w:after="0" w:line="1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Certain financial instruments are reported on a recurring basis at fair value on our consolidated balance sheets. We also use fair value measurements on a nonrecurring basis when a qualitative assessment of our assets indicates a potential impairment. Under fair value measurement accounting guidance, fair value is defined as the amount that would be received from the sale of an asset or paid for the transfer of a liability in an orderly transaction between market participants (i.e., an exit price). To estimate an exit price, a three-level hierarchy is used. The fair value hierarchy prioritizes the inputs, which refer broadly to assumptions market participants would use in pricing an asset or a liability, into three levels. Level 1 inputs are unadjusted quoted prices in active markets for identical assets and liabilities and have the highest priority. Level 2 inputs are inputs other than quoted prices within Level 1 that are observable for the asset or liability, either directly or indirectly. Level 3 inputs are unobservable inputs for the asset or liability and have the lowest priority.</w:t>
      </w:r>
    </w:p>
    <w:p>
      <w:pPr>
        <w:spacing w:after="0" w:line="13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25"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 xml:space="preserve">The carrying values of financial instruments comprising cash and cash equivalents, accounts payable and accounts receivable approximate fair values due to the short-term maturities of these instruments. See Notes </w:t>
      </w:r>
      <w:r>
        <w:rPr>
          <w:rFonts w:ascii="Arial" w:cs="Arial" w:eastAsia="Arial" w:hAnsi="Arial"/>
          <w:sz w:val="18"/>
          <w:szCs w:val="18"/>
          <w:u w:val="single" w:color="auto"/>
          <w:color w:val="0000FF"/>
        </w:rPr>
        <w:t>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13</w:t>
      </w:r>
      <w:r>
        <w:rPr>
          <w:rFonts w:ascii="Arial" w:cs="Arial" w:eastAsia="Arial" w:hAnsi="Arial"/>
          <w:sz w:val="18"/>
          <w:szCs w:val="18"/>
          <w:color w:val="auto"/>
        </w:rPr>
        <w:t xml:space="preserve"> for further discussion of fair value measurements.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Derivative instruments are recorded at fair value, and changes in fair value are recognized currently in earnings unless specific hedge accounting criteria are followed. As of December 31, 2024, none of our open derivative instruments were designated as cash flow hedges.</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Derivative instruments reflected as current in the consolidated balance sheets represent the estimated fair value of derivatives scheduled to settle over the next 12 months based on market prices/rates as of the respective balance sheet dates. Cash settlements of our derivative instruments are generally classified as operating cash flows unless the derivatives are deemed to contain, for accounting purposes, a significant financing element at contract inception, in which case these cash settlements are classified as financing cash flows in the accompanying consolidated statements of cash flows. All of our commodity derivative instruments are subject to master netting arrangements by contract type which provide for the offsetting of asset and liability positions within each contract type, as well as related cash collateral if applicable, by counterparty. Therefore, we net the value of our derivative instruments by contract type with the same counterparty in the accompanying consolidated balance sheets.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have established the fair value of our derivative instruments using established index prices, volatility curves and discount factors. These estimates are compared to our counterparty values for reasonableness. The values we report in our financial statements are as of a point in time and subsequently change as these estimates are revised to reflect actual results, changes in market conditions and other factors. Derivative transactions are subject to the risk that counterparties will be unable to meet their obligations. This non-performance risk is considered in the valuation of our derivative instruments, but to date has not had a material impact on the values of our derivatives.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13</w:t>
      </w:r>
      <w:r>
        <w:rPr>
          <w:rFonts w:ascii="Arial" w:cs="Arial" w:eastAsia="Arial" w:hAnsi="Arial"/>
          <w:sz w:val="18"/>
          <w:szCs w:val="18"/>
          <w:color w:val="0000FF"/>
        </w:rPr>
        <w:t xml:space="preserve"> </w:t>
      </w:r>
      <w:r>
        <w:rPr>
          <w:rFonts w:ascii="Arial" w:cs="Arial" w:eastAsia="Arial" w:hAnsi="Arial"/>
          <w:sz w:val="18"/>
          <w:szCs w:val="18"/>
          <w:color w:val="000000"/>
        </w:rPr>
        <w:t>for further discussion of our derivative instruments.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are subject to current income taxes assessed by the federal and various state jurisdictions in the U.S. and account for current income taxes based on amounts paid or estimated to be payable net of amounts refunded or estimated to be refunded. Additionally, we account for deferred income taxes using the asset and liability method of accounting for income taxes. Under this method, deferred tax assets and liabilities are recorded for the estimated future tax consequences attributable to the differences between the financial carrying amounts of existing assets and liabilities and their respective tax basis. Deferred tax assets and liabilities are measured using the tax rate expected to be in effect for the year in which those temporary differences are expected to reverse. The effect of a change in tax rates on deferred tax assets and liabilities is recognized in the year of the enacted rate change. Deferred income taxes are provided to recognize the income tax effect of reporting certain transactions in different years for income tax and financial reporting purposes. A valuation allowance for deferred tax assets, including net operating losses, is recognized when it is more likely than not that some or all of the benefit from the deferred tax assets will not be realized.</w:t>
      </w:r>
    </w:p>
    <w:p>
      <w:pPr>
        <w:spacing w:after="0" w:line="21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We are required to make judgments, including estimating reserves for potential adverse outcomes regarding tax positions that we have taken. We account for uncertainty in income taxes using a recognition and measurement threshold for tax positions taken or expected to be taken in a tax return. The tax benefit from an uncertain tax position is recognized when it is more likely than not that the position will be sustained upon examination by taxing authorities based on technical merits of the position. The amount of the tax benefit recognized is the largest amount of the benefit that has a greater than 50 percent likelihood of being realized upon ultimate settlement. The effective tax rate and the tax basis of assets and liabilities reflect management’s estimates of the ultimate outcome of various tax uncertainties. We recognize accrued interest related to uncertain tax positions in interest expense and accrued penalties related to such positions in general and administrative expense in the consolidated statements of operations.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further discussion of income taxes.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Share-Based Compensation</w:t>
      </w:r>
    </w:p>
    <w:p>
      <w:pPr>
        <w:spacing w:after="0" w:line="16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share-based compensation program consists of restricted stock units and performance share units granted to employees and restricted stock units granted to non-employee directors under our Long Term Incentive Plan. We recognize the cost of services received in exchange for restricted stock units based on the fair value of the equity instruments as of the grant date. This value is amortized over the vesting period, which is generally three years from the grant date. Forfeitures on our share-based compensation awards are recognized as they occur. Because performance share units are settled in shares, they are classified as equity and are measured at fair value as of the grant date.</w:t>
      </w:r>
    </w:p>
    <w:p>
      <w:pPr>
        <w:spacing w:after="0" w:line="12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To the extent compensation expense relates to employees directly involved in the acquisition of natural gas and oil leasehold and development activities, these amounts are capitalized to natural gas and oil properties. Amounts not capitalized to natural gas and oil properties are generally recognized as general and administrative expense, production expense, or exploration expense, based on the employees involved in those activities.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for further discussion of share-based compensation.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ASU 2024-03 expands disclosures about specific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ASU 2023-09 intends to provide investors with additional information about an entity’s income taxes by requiring disclosure of items such as disaggregation of the effective tax rate reconciliation as well as information regarding income taxes paid. This ASU is effective for annual reporting periods beginning after December 15, 2024, with early adoption permitted for annual financial statements that have not yet been issued or made available for issuance. We are evaluating the impact this ASU will have on our disclosures.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Under ASU 2023-07, the scope and frequency of segment disclosures is increased to provide investors with additional detail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about information utilized by an entity’s CODM, including information about significant segment expenses. This ASU is effective beginning with this annual report on Form 10-K and interim periods beginning in 2025. See </w:t>
      </w:r>
      <w:r>
        <w:rPr>
          <w:rFonts w:ascii="Arial" w:cs="Arial" w:eastAsia="Arial" w:hAnsi="Arial"/>
          <w:sz w:val="18"/>
          <w:szCs w:val="18"/>
          <w:u w:val="single" w:color="auto"/>
          <w:color w:val="0000FF"/>
        </w:rPr>
        <w:t>Note 18</w:t>
      </w:r>
      <w:r>
        <w:rPr>
          <w:rFonts w:ascii="Arial" w:cs="Arial" w:eastAsia="Arial" w:hAnsi="Arial"/>
          <w:sz w:val="18"/>
          <w:szCs w:val="18"/>
          <w:color w:val="auto"/>
        </w:rPr>
        <w:t xml:space="preserve"> for further discussion on our segment reporting.</w:t>
      </w:r>
    </w:p>
    <w:p>
      <w:pPr>
        <w:spacing w:after="0" w:line="203" w:lineRule="exact"/>
        <w:rPr>
          <w:sz w:val="20"/>
          <w:szCs w:val="20"/>
          <w:color w:val="auto"/>
        </w:rPr>
      </w:pPr>
    </w:p>
    <w:p>
      <w:pPr>
        <w:ind w:left="480" w:hanging="454"/>
        <w:spacing w:after="0"/>
        <w:tabs>
          <w:tab w:leader="none" w:pos="480" w:val="left"/>
        </w:tabs>
        <w:numPr>
          <w:ilvl w:val="0"/>
          <w:numId w:val="30"/>
        </w:numPr>
        <w:rPr>
          <w:rFonts w:ascii="Arial" w:cs="Arial" w:eastAsia="Arial" w:hAnsi="Arial"/>
          <w:sz w:val="18"/>
          <w:szCs w:val="18"/>
          <w:b w:val="1"/>
          <w:bCs w:val="1"/>
          <w:color w:val="004271"/>
        </w:rPr>
      </w:pPr>
      <w:r>
        <w:rPr>
          <w:rFonts w:ascii="Arial" w:cs="Arial" w:eastAsia="Arial" w:hAnsi="Arial"/>
          <w:sz w:val="18"/>
          <w:szCs w:val="18"/>
          <w:b w:val="1"/>
          <w:bCs w:val="1"/>
          <w:color w:val="004271"/>
        </w:rPr>
        <w:t>Natural Gas and Oil Property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23317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10, 2024, Chesapeake and Southwestern entered into an all-stock agreement and plan of merger (the “Merger Agreement”). Southwestern was an independent energy company engaged in development, exploration and production activities, including related marketing activities, within its operating areas in the Appalachia and Haynesville shale plays. Our Board of Directors and the Board of Directors of Southwestern both approved the Merger Agreement. At separate special meetings each held on June 18, 2024, Chesapeake’s stockholders approved the issuance of Chesapeake’s common stock to the stockholders of Southwestern in connection with the Southwestern Merger, and Southwestern’s stockholders approved the Merger Agreement.</w:t>
      </w:r>
    </w:p>
    <w:p>
      <w:pPr>
        <w:spacing w:after="0" w:line="20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2024, the Southwestern Merger was completed, and we issued approximately 95.7 million shares of our common stock to Southwestern’s shareholders in connection with the Merger Agreement. Under the terms of the Merger Agreement, subject to certain exceptions, each share of Southwestern common stock was converted into the right to receive 0.0867 of a share of the Company’s common stock. Based on the closing price of our common stock, the total value of the shares of our common stock issued to Southwestern’s shareholders was approximately $7.9 billion. During 2024, we recognized approximately $312 million of costs related to the Southwestern Merger, which included $148 million related to employee expenses and the remainder of the costs relating to transaction fees, consulting and legal fees and other fees related to the transaction. These acquisition -related costs are included within other operating expense, net within our consolidated statements of operations. The Southwestern Merger was structured as a tax-free reorganization for United States federal income tax purposes.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Preliminary Southwestern Merger Purchase Price Allocation</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accounted for the Southwestern Merger as a business combination, using the acquisition method, with Expand Energy (formerly Chesapeake) treated as the accounting acquirer. The following table represents the preliminary allocation of the total purchase price of Southwestern to the identifiable assets acquired and the liabilities assumed based on the fair values as of the acquisition date. Certain data necessary to complete the purchase price allocation is not yet available, and includes, but is not limited to, final tax returns that provide the underlying tax basis of Southwestern’s assets and liabilities and final appraisals of assets acquired and liabilities assumed. We expect to complete the purchase price allocation during the 12-month period following the acquisition date, during which time the value of the assets and liabilities may be revised as appropriate.</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tcPr>
          <w:p>
            <w:pPr>
              <w:spacing w:after="0"/>
              <w:rPr>
                <w:sz w:val="17"/>
                <w:szCs w:val="17"/>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b w:val="1"/>
                <w:bCs w:val="1"/>
                <w:color w:val="auto"/>
              </w:rPr>
              <w:t>Preliminary Purchase Price</w:t>
            </w:r>
          </w:p>
        </w:tc>
      </w:tr>
      <w:tr>
        <w:trPr>
          <w:trHeight w:val="243"/>
        </w:trPr>
        <w:tc>
          <w:tcPr>
            <w:tcW w:w="8860" w:type="dxa"/>
            <w:vAlign w:val="bottom"/>
            <w:tcBorders>
              <w:bottom w:val="single" w:sz="8" w:color="DBDBDB"/>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Allocation</w:t>
            </w:r>
          </w:p>
        </w:tc>
      </w:tr>
      <w:tr>
        <w:trPr>
          <w:trHeight w:val="210"/>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420" w:type="dxa"/>
            <w:vAlign w:val="bottom"/>
            <w:shd w:val="clear" w:color="auto" w:fill="DBDBDB"/>
          </w:tcPr>
          <w:p>
            <w:pPr>
              <w:spacing w:after="0"/>
              <w:rPr>
                <w:sz w:val="18"/>
                <w:szCs w:val="18"/>
                <w:color w:val="auto"/>
              </w:rPr>
            </w:pPr>
          </w:p>
        </w:tc>
        <w:tc>
          <w:tcPr>
            <w:tcW w:w="1960" w:type="dxa"/>
            <w:vAlign w:val="bottom"/>
            <w:shd w:val="clear" w:color="auto" w:fill="DBDBDB"/>
          </w:tcPr>
          <w:p>
            <w:pPr>
              <w:spacing w:after="0"/>
              <w:rPr>
                <w:sz w:val="18"/>
                <w:szCs w:val="18"/>
                <w:color w:val="auto"/>
              </w:rPr>
            </w:pPr>
          </w:p>
        </w:tc>
      </w:tr>
      <w:tr>
        <w:trPr>
          <w:trHeight w:val="229"/>
        </w:trPr>
        <w:tc>
          <w:tcPr>
            <w:tcW w:w="8860" w:type="dxa"/>
            <w:vAlign w:val="bottom"/>
          </w:tcPr>
          <w:p>
            <w:pPr>
              <w:ind w:left="140"/>
              <w:spacing w:after="0" w:line="230" w:lineRule="exact"/>
              <w:rPr>
                <w:sz w:val="20"/>
                <w:szCs w:val="20"/>
                <w:color w:val="auto"/>
              </w:rPr>
            </w:pPr>
            <w:r>
              <w:rPr>
                <w:rFonts w:ascii="Arial" w:cs="Arial" w:eastAsia="Arial" w:hAnsi="Arial"/>
                <w:sz w:val="18"/>
                <w:szCs w:val="18"/>
                <w:color w:val="auto"/>
              </w:rPr>
              <w:t>Cash</w:t>
            </w:r>
            <w:r>
              <w:rPr>
                <w:rFonts w:ascii="Arial" w:cs="Arial" w:eastAsia="Arial" w:hAnsi="Arial"/>
                <w:sz w:val="23"/>
                <w:szCs w:val="23"/>
                <w:color w:val="auto"/>
                <w:vertAlign w:val="superscript"/>
              </w:rPr>
              <w:t>(a)</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886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Fair value of Expand Energy common stock issued</w:t>
            </w:r>
            <w:r>
              <w:rPr>
                <w:rFonts w:ascii="Arial" w:cs="Arial" w:eastAsia="Arial" w:hAnsi="Arial"/>
                <w:sz w:val="23"/>
                <w:szCs w:val="23"/>
                <w:color w:val="auto"/>
                <w:vertAlign w:val="superscript"/>
              </w:rPr>
              <w:t>(b)</w:t>
            </w:r>
          </w:p>
        </w:tc>
        <w:tc>
          <w:tcPr>
            <w:tcW w:w="4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7,871</w:t>
            </w:r>
          </w:p>
        </w:tc>
      </w:tr>
      <w:tr>
        <w:trPr>
          <w:trHeight w:val="230"/>
        </w:trPr>
        <w:tc>
          <w:tcPr>
            <w:tcW w:w="88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Restricted stock unit and performance stock unit replacement awards</w:t>
            </w:r>
          </w:p>
        </w:tc>
        <w:tc>
          <w:tcPr>
            <w:tcW w:w="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8"/>
        </w:trPr>
        <w:tc>
          <w:tcPr>
            <w:tcW w:w="886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4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r>
      <w:tr>
        <w:trPr>
          <w:trHeight w:val="20"/>
        </w:trPr>
        <w:tc>
          <w:tcPr>
            <w:tcW w:w="88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r>
      <w:tr>
        <w:trPr>
          <w:trHeight w:val="42"/>
        </w:trPr>
        <w:tc>
          <w:tcPr>
            <w:tcW w:w="88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30"/>
        </w:trPr>
        <w:tc>
          <w:tcPr>
            <w:tcW w:w="88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420" w:type="dxa"/>
            <w:vAlign w:val="bottom"/>
            <w:shd w:val="clear" w:color="auto" w:fill="DBDBDB"/>
          </w:tcPr>
          <w:p>
            <w:pPr>
              <w:spacing w:after="0"/>
              <w:rPr>
                <w:sz w:val="19"/>
                <w:szCs w:val="19"/>
                <w:color w:val="auto"/>
              </w:rPr>
            </w:pPr>
          </w:p>
        </w:tc>
        <w:tc>
          <w:tcPr>
            <w:tcW w:w="1960" w:type="dxa"/>
            <w:vAlign w:val="bottom"/>
            <w:shd w:val="clear" w:color="auto" w:fill="DBDBDB"/>
          </w:tcPr>
          <w:p>
            <w:pPr>
              <w:spacing w:after="0"/>
              <w:rPr>
                <w:sz w:val="19"/>
                <w:szCs w:val="19"/>
                <w:color w:val="auto"/>
              </w:rPr>
            </w:pPr>
          </w:p>
        </w:tc>
      </w:tr>
      <w:tr>
        <w:trPr>
          <w:trHeight w:val="229"/>
        </w:trPr>
        <w:tc>
          <w:tcPr>
            <w:tcW w:w="8860" w:type="dxa"/>
            <w:vAlign w:val="bottom"/>
          </w:tcPr>
          <w:p>
            <w:pPr>
              <w:ind w:left="140"/>
              <w:spacing w:after="0"/>
              <w:rPr>
                <w:sz w:val="20"/>
                <w:szCs w:val="20"/>
                <w:color w:val="auto"/>
              </w:rPr>
            </w:pPr>
            <w:r>
              <w:rPr>
                <w:rFonts w:ascii="Arial" w:cs="Arial" w:eastAsia="Arial" w:hAnsi="Arial"/>
                <w:sz w:val="18"/>
                <w:szCs w:val="18"/>
                <w:color w:val="auto"/>
              </w:rPr>
              <w:t>Cash and cash equivalents and restricted cash</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828</w:t>
            </w:r>
          </w:p>
        </w:tc>
      </w:tr>
      <w:tr>
        <w:trPr>
          <w:trHeight w:val="230"/>
        </w:trPr>
        <w:tc>
          <w:tcPr>
            <w:tcW w:w="8860" w:type="dxa"/>
            <w:vAlign w:val="bottom"/>
          </w:tcPr>
          <w:p>
            <w:pPr>
              <w:ind w:left="140"/>
              <w:spacing w:after="0"/>
              <w:rPr>
                <w:sz w:val="20"/>
                <w:szCs w:val="20"/>
                <w:color w:val="auto"/>
              </w:rPr>
            </w:pPr>
            <w:r>
              <w:rPr>
                <w:rFonts w:ascii="Arial" w:cs="Arial" w:eastAsia="Arial" w:hAnsi="Arial"/>
                <w:sz w:val="18"/>
                <w:szCs w:val="18"/>
                <w:color w:val="auto"/>
              </w:rPr>
              <w:t>Proved natural gas and oil properties</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10,002</w:t>
            </w:r>
          </w:p>
        </w:tc>
      </w:tr>
      <w:tr>
        <w:trPr>
          <w:trHeight w:val="229"/>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Unproved properties</w:t>
            </w:r>
          </w:p>
        </w:tc>
        <w:tc>
          <w:tcPr>
            <w:tcW w:w="4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4,270</w:t>
            </w:r>
          </w:p>
        </w:tc>
      </w:tr>
      <w:tr>
        <w:trPr>
          <w:trHeight w:val="229"/>
        </w:trPr>
        <w:tc>
          <w:tcPr>
            <w:tcW w:w="8860" w:type="dxa"/>
            <w:vAlign w:val="bottom"/>
          </w:tcPr>
          <w:p>
            <w:pPr>
              <w:ind w:left="140"/>
              <w:spacing w:after="0"/>
              <w:rPr>
                <w:sz w:val="20"/>
                <w:szCs w:val="20"/>
                <w:color w:val="auto"/>
              </w:rPr>
            </w:pPr>
            <w:r>
              <w:rPr>
                <w:rFonts w:ascii="Arial" w:cs="Arial" w:eastAsia="Arial" w:hAnsi="Arial"/>
                <w:sz w:val="18"/>
                <w:szCs w:val="18"/>
                <w:color w:val="auto"/>
              </w:rPr>
              <w:t>Other property and equipment</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shd w:val="clear" w:color="auto" w:fill="DBDBDB"/>
          </w:tcPr>
          <w:p>
            <w:pPr>
              <w:spacing w:after="0"/>
              <w:rPr>
                <w:sz w:val="19"/>
                <w:szCs w:val="19"/>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496</w:t>
            </w:r>
          </w:p>
        </w:tc>
      </w:tr>
      <w:tr>
        <w:trPr>
          <w:trHeight w:val="223"/>
        </w:trPr>
        <w:tc>
          <w:tcPr>
            <w:tcW w:w="88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assets acquired</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15,850</w:t>
            </w:r>
          </w:p>
        </w:tc>
      </w:tr>
      <w:tr>
        <w:trPr>
          <w:trHeight w:val="75"/>
        </w:trPr>
        <w:tc>
          <w:tcPr>
            <w:tcW w:w="8860" w:type="dxa"/>
            <w:vAlign w:val="bottom"/>
            <w:shd w:val="clear" w:color="auto" w:fill="DBDBDB"/>
          </w:tcPr>
          <w:p>
            <w:pPr>
              <w:spacing w:after="0"/>
              <w:rPr>
                <w:sz w:val="6"/>
                <w:szCs w:val="6"/>
                <w:color w:val="auto"/>
              </w:rPr>
            </w:pPr>
          </w:p>
        </w:tc>
        <w:tc>
          <w:tcPr>
            <w:tcW w:w="420" w:type="dxa"/>
            <w:vAlign w:val="bottom"/>
            <w:shd w:val="clear" w:color="auto" w:fill="DBDBDB"/>
          </w:tcPr>
          <w:p>
            <w:pPr>
              <w:spacing w:after="0"/>
              <w:rPr>
                <w:sz w:val="6"/>
                <w:szCs w:val="6"/>
                <w:color w:val="auto"/>
              </w:rPr>
            </w:pPr>
          </w:p>
        </w:tc>
        <w:tc>
          <w:tcPr>
            <w:tcW w:w="1960" w:type="dxa"/>
            <w:vAlign w:val="bottom"/>
            <w:shd w:val="clear" w:color="auto" w:fill="DBDBDB"/>
          </w:tcPr>
          <w:p>
            <w:pPr>
              <w:spacing w:after="0"/>
              <w:rPr>
                <w:sz w:val="6"/>
                <w:szCs w:val="6"/>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1,955</w:t>
            </w:r>
          </w:p>
        </w:tc>
      </w:tr>
      <w:tr>
        <w:trPr>
          <w:trHeight w:val="229"/>
        </w:trPr>
        <w:tc>
          <w:tcPr>
            <w:tcW w:w="886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3,305</w:t>
            </w:r>
          </w:p>
        </w:tc>
      </w:tr>
      <w:tr>
        <w:trPr>
          <w:trHeight w:val="229"/>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8860" w:type="dxa"/>
            <w:vAlign w:val="bottom"/>
          </w:tcPr>
          <w:p>
            <w:pPr>
              <w:ind w:left="140"/>
              <w:spacing w:after="0"/>
              <w:rPr>
                <w:sz w:val="20"/>
                <w:szCs w:val="20"/>
                <w:color w:val="auto"/>
              </w:rPr>
            </w:pPr>
            <w:r>
              <w:rPr>
                <w:rFonts w:ascii="Arial" w:cs="Arial" w:eastAsia="Arial" w:hAnsi="Arial"/>
                <w:sz w:val="18"/>
                <w:szCs w:val="18"/>
                <w:color w:val="auto"/>
              </w:rPr>
              <w:t>Long-term contract liabilities</w:t>
            </w:r>
          </w:p>
        </w:tc>
        <w:tc>
          <w:tcPr>
            <w:tcW w:w="4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30"/>
        </w:trPr>
        <w:tc>
          <w:tcPr>
            <w:tcW w:w="8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shd w:val="clear" w:color="auto" w:fill="DBDBDB"/>
          </w:tcPr>
          <w:p>
            <w:pPr>
              <w:spacing w:after="0"/>
              <w:rPr>
                <w:sz w:val="19"/>
                <w:szCs w:val="19"/>
                <w:color w:val="auto"/>
              </w:rPr>
            </w:pP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886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4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r>
      <w:tr>
        <w:trPr>
          <w:trHeight w:val="248"/>
        </w:trPr>
        <w:tc>
          <w:tcPr>
            <w:tcW w:w="88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identifiable net assets</w:t>
            </w:r>
          </w:p>
        </w:tc>
        <w:tc>
          <w:tcPr>
            <w:tcW w:w="4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8,473</w:t>
            </w:r>
          </w:p>
        </w:tc>
      </w:tr>
      <w:tr>
        <w:trPr>
          <w:trHeight w:val="20"/>
        </w:trPr>
        <w:tc>
          <w:tcPr>
            <w:tcW w:w="886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04" w:lineRule="exact"/>
        <w:rPr>
          <w:sz w:val="20"/>
          <w:szCs w:val="20"/>
          <w:color w:val="auto"/>
        </w:rPr>
      </w:pPr>
    </w:p>
    <w:p>
      <w:pPr>
        <w:ind w:left="420" w:right="20" w:hanging="412"/>
        <w:spacing w:after="0" w:line="287" w:lineRule="auto"/>
        <w:tabs>
          <w:tab w:leader="none" w:pos="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Reflects the repayment of $585 million outstanding on Southwestern's 2022 revolving credit facility including $2 million of accrued interest and fees, as the facility was repaid and retired upon close of the Southwestern Merger.</w:t>
      </w:r>
    </w:p>
    <w:p>
      <w:pPr>
        <w:spacing w:after="0" w:line="31" w:lineRule="exact"/>
        <w:rPr>
          <w:rFonts w:ascii="Arial" w:cs="Arial" w:eastAsia="Arial" w:hAnsi="Arial"/>
          <w:sz w:val="18"/>
          <w:szCs w:val="18"/>
          <w:color w:val="auto"/>
        </w:rPr>
      </w:pPr>
    </w:p>
    <w:p>
      <w:pPr>
        <w:ind w:left="420" w:right="100" w:hanging="412"/>
        <w:spacing w:after="0" w:line="438" w:lineRule="auto"/>
        <w:tabs>
          <w:tab w:leader="none" w:pos="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fair value of our common stock is a Level 1 input, as our stock price is a quoted price in an active market as of the acquisition date. </w:t>
      </w:r>
      <w:r>
        <w:rPr>
          <w:rFonts w:ascii="Arial" w:cs="Arial" w:eastAsia="Arial" w:hAnsi="Arial"/>
          <w:sz w:val="18"/>
          <w:szCs w:val="18"/>
          <w:i w:val="1"/>
          <w:iCs w:val="1"/>
          <w:color w:val="auto"/>
        </w:rPr>
        <w:t>Natural Gas and Oil Properties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Southwestern Merger, we applied the business combination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spacing w:after="0" w:line="7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inputs used to value natural gas and oil properties require significant judgment and estimates made by management and represent Level 3 inputs.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the Southwestern Merger, we assumed gathering, processing and transportation contracts, certain of which were deemed to be above or below current market rates. We recognized assets and liabilities for the difference in the contractual and market rates of these contracts, as of the date of the Merger. The terms of the contracts extend through 2035.</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Southwestern Merger Revenues and Expenses Subsequent to Acquisition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included in our consolidated statements of operations natural gas, oil and NGL revenues of $1,021 million, marketing revenues of $482 million, net losses on natural gas, oil and NGL derivatives of $34 million, and direct operating expenses of $1,384 million, including depreciation, depletion and amortization, and net earnings of $36 million, related to the Southwestern Merger businesses for the period from October 1, 2024 through December 31, 2024.</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w:t>
      </w:r>
    </w:p>
    <w:p>
      <w:pPr>
        <w:spacing w:after="0" w:line="2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March 9, 2022, we completed the acquisition of Chief and associated non-operated interests held by affiliates of Tug Hill, of premium drilling locations in the Marcellus Shale in Northeast Pennsylvania (“Marcellus Acquisition”) for total consideration of approximately $2.77 billion, consisting of approximately $2 billion in cash, including working capital adjustments and approximately 9.4 million shares of our common stock, to acquire high quality producing assets and a deep inventory of premium drilling locations in the prolific Marcellus Shale in Northeast Pennsylvania. The Marcellus Acquisition was indebtedness free, effective as of January 1, 2022 and was subject to customary purchase price adjustments. We funded the cash portion of the consideration with cash on hand and $ 914 million of borrowings under the Company’s Exit Credit Facility. During 2022, we recognized approximately $41 million of costs related to our Marcellus Acquisition, which included integration costs, consulting fees, financial advisory fees, legal fees and change in control expense in accordance with Chief’s existing employment agreements. These acquisition-related costs are included within other operating expense, net within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 Purchase Price Allocation</w:t>
      </w:r>
    </w:p>
    <w:p>
      <w:pPr>
        <w:spacing w:after="0" w:line="25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We have accounted for the Marcellus Acquisition as a business combination, using the acquisition method. The following table represents the allocation of the total purchase price to the identifiable assets acquired and the liabilities assumed based on the fair values as of the acquisition date.</w:t>
      </w:r>
    </w:p>
    <w:tbl>
      <w:tblPr>
        <w:tblLayout w:type="fixed"/>
        <w:tblInd w:w="0" w:type="dxa"/>
        <w:tblCellMar>
          <w:top w:w="0" w:type="dxa"/>
          <w:left w:w="0" w:type="dxa"/>
          <w:bottom w:w="0" w:type="dxa"/>
          <w:right w:w="0" w:type="dxa"/>
        </w:tblCellMar>
      </w:tblPr>
      <w:tr>
        <w:trPr>
          <w:trHeight w:val="235"/>
        </w:trPr>
        <w:tc>
          <w:tcPr>
            <w:tcW w:w="874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Purchase Price Allocation</w:t>
            </w:r>
          </w:p>
        </w:tc>
        <w:tc>
          <w:tcPr>
            <w:tcW w:w="0" w:type="dxa"/>
            <w:vAlign w:val="bottom"/>
          </w:tcPr>
          <w:p>
            <w:pPr>
              <w:spacing w:after="0"/>
              <w:rPr>
                <w:sz w:val="1"/>
                <w:szCs w:val="1"/>
                <w:color w:val="auto"/>
              </w:rPr>
            </w:pPr>
          </w:p>
        </w:tc>
      </w:tr>
      <w:tr>
        <w:trPr>
          <w:trHeight w:val="209"/>
        </w:trPr>
        <w:tc>
          <w:tcPr>
            <w:tcW w:w="87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140" w:type="dxa"/>
            <w:vAlign w:val="bottom"/>
            <w:shd w:val="clear" w:color="auto" w:fill="DBDBDB"/>
          </w:tcPr>
          <w:p>
            <w:pPr>
              <w:spacing w:after="0"/>
              <w:rPr>
                <w:sz w:val="18"/>
                <w:szCs w:val="18"/>
                <w:color w:val="auto"/>
              </w:rPr>
            </w:pPr>
          </w:p>
        </w:tc>
        <w:tc>
          <w:tcPr>
            <w:tcW w:w="23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18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740" w:type="dxa"/>
            <w:vAlign w:val="bottom"/>
            <w:shd w:val="clear" w:color="auto" w:fill="DBDBDB"/>
          </w:tcPr>
          <w:p>
            <w:pPr>
              <w:ind w:left="180"/>
              <w:spacing w:after="0" w:line="230" w:lineRule="exact"/>
              <w:rPr>
                <w:sz w:val="20"/>
                <w:szCs w:val="20"/>
                <w:color w:val="auto"/>
              </w:rPr>
            </w:pPr>
            <w:r>
              <w:rPr>
                <w:rFonts w:ascii="Arial" w:cs="Arial" w:eastAsia="Arial" w:hAnsi="Arial"/>
                <w:sz w:val="18"/>
                <w:szCs w:val="18"/>
                <w:color w:val="auto"/>
              </w:rPr>
              <w:t xml:space="preserve">Fair value of common stock issued in the merger </w:t>
            </w:r>
            <w:r>
              <w:rPr>
                <w:rFonts w:ascii="Arial" w:cs="Arial" w:eastAsia="Arial" w:hAnsi="Arial"/>
                <w:sz w:val="23"/>
                <w:szCs w:val="23"/>
                <w:color w:val="auto"/>
                <w:vertAlign w:val="superscript"/>
              </w:rPr>
              <w:t>(a)</w:t>
            </w: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874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Working capital adjustments</w:t>
            </w: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87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87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19"/>
                <w:szCs w:val="19"/>
                <w:color w:val="auto"/>
              </w:rPr>
            </w:pP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75"/>
        </w:trPr>
        <w:tc>
          <w:tcPr>
            <w:tcW w:w="8740" w:type="dxa"/>
            <w:vAlign w:val="bottom"/>
            <w:shd w:val="clear" w:color="auto" w:fill="DBDBDB"/>
          </w:tcPr>
          <w:p>
            <w:pPr>
              <w:spacing w:after="0"/>
              <w:rPr>
                <w:sz w:val="6"/>
                <w:szCs w:val="6"/>
                <w:color w:val="auto"/>
              </w:rPr>
            </w:pPr>
          </w:p>
        </w:tc>
        <w:tc>
          <w:tcPr>
            <w:tcW w:w="140" w:type="dxa"/>
            <w:vAlign w:val="bottom"/>
            <w:shd w:val="clear" w:color="auto" w:fill="DBDBDB"/>
          </w:tcPr>
          <w:p>
            <w:pPr>
              <w:spacing w:after="0"/>
              <w:rPr>
                <w:sz w:val="6"/>
                <w:szCs w:val="6"/>
                <w:color w:val="auto"/>
              </w:rPr>
            </w:pPr>
          </w:p>
        </w:tc>
        <w:tc>
          <w:tcPr>
            <w:tcW w:w="236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1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7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9"/>
        </w:trPr>
        <w:tc>
          <w:tcPr>
            <w:tcW w:w="87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Proved natural gas and oil properties</w:t>
            </w: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9"/>
        </w:trPr>
        <w:tc>
          <w:tcPr>
            <w:tcW w:w="8740" w:type="dxa"/>
            <w:vAlign w:val="bottom"/>
          </w:tcPr>
          <w:p>
            <w:pPr>
              <w:ind w:left="180"/>
              <w:spacing w:after="0"/>
              <w:rPr>
                <w:sz w:val="20"/>
                <w:szCs w:val="20"/>
                <w:color w:val="auto"/>
              </w:rPr>
            </w:pPr>
            <w:r>
              <w:rPr>
                <w:rFonts w:ascii="Arial" w:cs="Arial" w:eastAsia="Arial" w:hAnsi="Arial"/>
                <w:sz w:val="18"/>
                <w:szCs w:val="18"/>
                <w:color w:val="auto"/>
              </w:rPr>
              <w:t>Unproved properties</w:t>
            </w:r>
          </w:p>
        </w:tc>
        <w:tc>
          <w:tcPr>
            <w:tcW w:w="14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30"/>
        </w:trPr>
        <w:tc>
          <w:tcPr>
            <w:tcW w:w="87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property and equipment</w:t>
            </w:r>
          </w:p>
        </w:tc>
        <w:tc>
          <w:tcPr>
            <w:tcW w:w="140" w:type="dxa"/>
            <w:vAlign w:val="bottom"/>
            <w:shd w:val="clear" w:color="auto" w:fill="DBDBDB"/>
          </w:tcPr>
          <w:p>
            <w:pPr>
              <w:spacing w:after="0"/>
              <w:rPr>
                <w:sz w:val="19"/>
                <w:szCs w:val="19"/>
                <w:color w:val="auto"/>
              </w:rPr>
            </w:pPr>
          </w:p>
        </w:tc>
        <w:tc>
          <w:tcPr>
            <w:tcW w:w="2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74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7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Amounts attributable to assets acquired</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74"/>
        </w:trPr>
        <w:tc>
          <w:tcPr>
            <w:tcW w:w="8740" w:type="dxa"/>
            <w:vAlign w:val="bottom"/>
            <w:tcBorders>
              <w:bottom w:val="single" w:sz="8" w:color="DBDBDB"/>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7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identifiable net assets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0"/>
        </w:trPr>
        <w:tc>
          <w:tcPr>
            <w:tcW w:w="874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color w:val="auto"/>
              </w:rPr>
              <w:t>____________________________________________</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8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100" w:hanging="412"/>
        <w:spacing w:after="0" w:line="485" w:lineRule="auto"/>
        <w:tabs>
          <w:tab w:leader="none" w:pos="41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fair value of our common stock is a Level 1 input, as our stock price is a quoted price in an active market as of the acquisition date. </w:t>
      </w:r>
      <w:r>
        <w:rPr>
          <w:rFonts w:ascii="Arial" w:cs="Arial" w:eastAsia="Arial" w:hAnsi="Arial"/>
          <w:sz w:val="18"/>
          <w:szCs w:val="18"/>
          <w:i w:val="1"/>
          <w:iCs w:val="1"/>
          <w:color w:val="auto"/>
        </w:rPr>
        <w:t>Natural Gas and Oil Properties</w:t>
      </w:r>
    </w:p>
    <w:p>
      <w:pPr>
        <w:jc w:val="both"/>
        <w:ind w:firstLine="405"/>
        <w:spacing w:after="0" w:line="255" w:lineRule="auto"/>
        <w:rPr>
          <w:sz w:val="20"/>
          <w:szCs w:val="20"/>
          <w:color w:val="auto"/>
        </w:rPr>
      </w:pPr>
      <w:r>
        <w:rPr>
          <w:rFonts w:ascii="Arial" w:cs="Arial" w:eastAsia="Arial" w:hAnsi="Arial"/>
          <w:sz w:val="18"/>
          <w:szCs w:val="18"/>
          <w:color w:val="auto"/>
        </w:rPr>
        <w:t>For the Marcellus Acquisition, we applied the business combination guidance, under which an acquirer should recognize the identifiable assets acquired and the liabilities assumed on the acquisition date at fair value. The fair value estimate of proved and unproved natural gas and oil properties as of the acquisition date was based on estimated natural gas and oil reserves and related future net cash flows discounted using a weighted average cost of capital, including estimates of future production rates and future development costs. We utilized NYMEX strip pricing adjusted for inflation to value the reserves. We then applied various discount rates depending on the classification of reserves and other risk characteristics. Management utilized the assistance of a third-party valuation expert to estimate the value of the natural gas and oil properties acquired. Additionally, the fair value estimate of proved and unproved natural gas and oil properties was corroborated by utilizing a market approach, which considers recent comparable transactions for similar assets.</w:t>
      </w:r>
    </w:p>
    <w:p>
      <w:pPr>
        <w:spacing w:after="0" w:line="7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inputs used to value natural gas and oil properties require significant judgment and estimates made by management and represent Level 3 inputs.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Marcellus Acquisition Revenues and Expenses Subsequent to Acquisition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included in our consolidated statements of operations natural gas, oil and NGL revenues of $ 1,331 million, marketing revenues of $20 million, net losses on natural gas, oil and NGL derivatives of $379 million, and direct operating expenses of $483 million, including depreciation, depletion and amortization, and net earnings of</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$381 million, related to the Marcellus Acquisition businesses for the period from March 10, 2022 (the date immediately following the completion of the Marcellus Acquisition) through December 31, 2022.</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Combined Pro Forma Financial Information</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unaudited pro forma financial information is based on our historical consolidated financial statements adjusted to reflect as if the Southwestern Merger and the divestiture of our Eagle Ford assets had each occurred on January 1, 2023. The information below reflects pro forma adjustments based on available information and certain assumptions that we believe are reasonable, including the estimated tax impact of the pro forma adjustments.</w:t>
      </w:r>
    </w:p>
    <w:p>
      <w:pPr>
        <w:spacing w:after="0" w:line="163"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17780</wp:posOffset>
            </wp:positionV>
            <wp:extent cx="41662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 w:lineRule="exact"/>
        <w:rPr>
          <w:sz w:val="20"/>
          <w:szCs w:val="20"/>
          <w:color w:val="auto"/>
        </w:rPr>
      </w:pPr>
    </w:p>
    <w:p>
      <w:pPr>
        <w:ind w:left="5980"/>
        <w:spacing w:after="0"/>
        <w:tabs>
          <w:tab w:leader="none" w:pos="9320" w:val="left"/>
        </w:tabs>
        <w:rPr>
          <w:sz w:val="20"/>
          <w:szCs w:val="20"/>
          <w:color w:val="auto"/>
        </w:rPr>
      </w:pPr>
      <w:r>
        <w:rPr>
          <w:rFonts w:ascii="Arial" w:cs="Arial" w:eastAsia="Arial" w:hAnsi="Arial"/>
          <w:sz w:val="18"/>
          <w:szCs w:val="18"/>
          <w:b w:val="1"/>
          <w:bCs w:val="1"/>
          <w:color w:val="auto"/>
        </w:rPr>
        <w:t>2024</w:t>
      </w:r>
      <w:r>
        <w:rPr>
          <w:sz w:val="20"/>
          <w:szCs w:val="20"/>
          <w:color w:val="auto"/>
        </w:rPr>
        <w:tab/>
      </w:r>
      <w:r>
        <w:rPr>
          <w:rFonts w:ascii="Arial" w:cs="Arial" w:eastAsia="Arial" w:hAnsi="Arial"/>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43" w:lineRule="exact"/>
        <w:rPr>
          <w:sz w:val="20"/>
          <w:szCs w:val="20"/>
          <w:color w:val="auto"/>
        </w:rPr>
      </w:pPr>
    </w:p>
    <w:p>
      <w:pPr>
        <w:ind w:left="20"/>
        <w:spacing w:after="0"/>
        <w:tabs>
          <w:tab w:leader="none" w:pos="4680" w:val="left"/>
        </w:tabs>
        <w:rPr>
          <w:sz w:val="20"/>
          <w:szCs w:val="20"/>
          <w:color w:val="auto"/>
        </w:rPr>
      </w:pPr>
      <w:r>
        <w:rPr>
          <w:rFonts w:ascii="Arial" w:cs="Arial" w:eastAsia="Arial" w:hAnsi="Arial"/>
          <w:sz w:val="18"/>
          <w:szCs w:val="18"/>
          <w:color w:val="auto"/>
        </w:rPr>
        <w:t>Net income (loss) available to common stockholders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Earnings (loss) per common share:</w:t>
      </w:r>
    </w:p>
    <w:p>
      <w:pPr>
        <w:spacing w:after="0" w:line="23"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Basic</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360"/>
        <w:spacing w:after="0"/>
        <w:tabs>
          <w:tab w:leader="none" w:pos="4680" w:val="left"/>
        </w:tabs>
        <w:rPr>
          <w:sz w:val="20"/>
          <w:szCs w:val="20"/>
          <w:color w:val="auto"/>
        </w:rPr>
      </w:pPr>
      <w:r>
        <w:rPr>
          <w:rFonts w:ascii="Arial" w:cs="Arial" w:eastAsia="Arial" w:hAnsi="Arial"/>
          <w:sz w:val="17"/>
          <w:szCs w:val="17"/>
          <w:color w:val="auto"/>
        </w:rPr>
        <w:t>Diluted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Pr>
          <w:p>
            <w:pPr>
              <w:jc w:val="right"/>
              <w:ind w:right="110"/>
              <w:spacing w:after="0"/>
              <w:rPr>
                <w:sz w:val="20"/>
                <w:szCs w:val="20"/>
                <w:color w:val="auto"/>
              </w:rPr>
            </w:pPr>
            <w:r>
              <w:rPr>
                <w:rFonts w:ascii="Arial" w:cs="Arial" w:eastAsia="Arial" w:hAnsi="Arial"/>
                <w:sz w:val="18"/>
                <w:szCs w:val="18"/>
                <w:color w:val="auto"/>
                <w:w w:val="97"/>
              </w:rPr>
              <w:t>8,193</w:t>
            </w:r>
          </w:p>
        </w:tc>
        <w:tc>
          <w:tcPr>
            <w:tcW w:w="1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14,247</w:t>
            </w:r>
          </w:p>
        </w:tc>
      </w:t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3,852</w:t>
            </w:r>
          </w:p>
        </w:tc>
      </w:tr>
      <w:tr>
        <w:trPr>
          <w:trHeight w:val="45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(2.65)</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16.14</w:t>
            </w:r>
          </w:p>
        </w:tc>
      </w:tr>
    </w:tbl>
    <w:p>
      <w:pPr>
        <w:spacing w:after="0" w:line="200" w:lineRule="exact"/>
        <w:rPr>
          <w:sz w:val="20"/>
          <w:szCs w:val="20"/>
          <w:color w:val="auto"/>
        </w:rPr>
      </w:pPr>
    </w:p>
    <w:p>
      <w:pPr>
        <w:sectPr>
          <w:pgSz w:w="11900" w:h="16838" w:orient="portrait"/>
          <w:cols w:equalWidth="0" w:num="2">
            <w:col w:w="6440" w:space="720"/>
            <w:col w:w="4080"/>
          </w:cols>
          <w:pgMar w:left="320" w:top="121" w:right="339" w:bottom="1440" w:gutter="0" w:footer="0" w:header="0"/>
          <w:type w:val="continuous"/>
        </w:sectPr>
      </w:pP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Eagle Ford Divestitures</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January 2023, we entered into an agreement to sell a portion of our Eagle Ford assets to WildFire Energy I LLC for approximately $1.425 billion, subject to customary post-closing adjustments. Approximately $225 million of the purchase price was recorded as deferred consideration and treated as a non-interest-bearing note to be paid in installments of $60 million per year for the first three years following the transaction close date, with $45 million to be paid in the fourth year following the transaction close date. During 2024, we received the first installment payment related to this transaction. The deferred consideration is recorded at fair value with an imputed rate of interest as a Level 2 input, and approximately $59 million and $58 million of the deferred consideration is reflected within other current assets and approximately $89 million and $135 million is reflected within other long-term assets on the consolidated balance sheets as of December 31, 2024 and December 31, 2023, respectively. The divestiture, which closed on March 20, 2023 (with an effective date of October 1, 2022), resulted in a gain of approximately $337 million, inclusive of post-closing adjustments, based on the difference between the carrying value of the assets and consideration received.</w:t>
      </w:r>
    </w:p>
    <w:p>
      <w:pPr>
        <w:spacing w:after="0" w:line="1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February 2023, we entered into an agreement to sell a portion of our remaining Eagle Ford assets to INEOS Upstream Holdings Limited (“INEOS Energy”) for approximately $1.4 billion, subject to customary post-closing adjustments. Approximately $225 million of the purchase price was recorded as deferred consideration and treated as a non-interest-bearing note to be paid in installments of approximately $56 million per year for four years following the transaction close date. During 2024, we received the first installment payment related to this transaction. The deferred consideration is recorded at fair value with an imputed rate of interest as a Level 2 input, and approximately $55 million and $55 million of the deferred consideration is reflected within other current assets and approximately $99 million and $144 million is reflected within other long-term assets on the consolidated balance sheets as of December 31, 2024 and December 31, 2023, respectively. The divestiture, which closed on April 28, 2023 (with an effective date of October 1, 2022), resulted in a gain of approximately $470 million, based on the difference between the carrying value of the assets and consideration received. Included within the liabilities assumed by INEOS Energy was approximately $53 million of asset retirement obligations.</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2023, we entered into an agreement to sell the final portion of our remaining Eagle Ford assets to SilverBow Resources, Inc. (“SilverBow”) for approximately $700 million, subject to customary post-closing adjustments. Approximately $50 million of the purchase price was recorded as deferred consideration and treated as a non-interest-bearing note to be paid one year from the closing date. The deferred consideration is recorded at fair value with an imputed rate of interest as a Level 2 input, and approximately $ 46 million of the deferred consideration is reflected within other current assets on the consolidated balance sheets as of December 31, 2023. During 2024, we received the deferred consideration. Additionally, SilverBow agreed to pay us an additional contingent payment of $25 million should WTI NYMEX prices average between $75 and $80 per barrel or $50 million should WTI NYMEX prices average above $80 per barrel during the year following the close of the</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transaction. On July 30, 2024, Crescent Energy Company (“Crescent”) acquired SilverBow. The fair value of the contingent consideration as of December 31, 2023 of $12 million is reflected within short-term derivative assets within our consolidated balance sheets.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for additional information. During 2024, we received the contingent payment of $25 million from Crescent based upon the average NYMEX prices during the year following the close of the transaction. The divestiture, which closed on November 30, 2023 (with an effective date of February 1, 2023), resulted in a gain of approximately $140 million, based on the difference between the carrying value of the assets and consideration received. Included within the liabilities assumed by SilverBow was approximately $11 million of asset retirement obligations.</w:t>
      </w:r>
    </w:p>
    <w:p>
      <w:pPr>
        <w:spacing w:after="0" w:line="1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years ended December 31, 2024 and 2023, we amortized approximately $31 million and $24 million related to the deferred consideration from the Eagle Ford divestiture transactions described above. The deferred consideration amortization is recorded within other income, net, in our consolidated statements of operations.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Powder River Divestiture</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January 2022, we signed an agreement to sell our Powder River Basin assets in Wyoming to Continental Resources, Inc. for approximately $ 450 million, subject to customary post-closing adjustments. The divestiture, which closed on March 25, 2022, resulted in the recognition of a gain of approximately $293 million, which included $13 million of post-close adjustments, based on the difference between the carrying value of the assets and the cash received.</w:t>
      </w:r>
    </w:p>
    <w:p>
      <w:pPr>
        <w:spacing w:after="0" w:line="203"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8"/>
          <w:szCs w:val="18"/>
          <w:b w:val="1"/>
          <w:bCs w:val="1"/>
          <w:color w:val="00386C"/>
        </w:rPr>
      </w:pPr>
      <w:r>
        <w:rPr>
          <w:rFonts w:ascii="Arial" w:cs="Arial" w:eastAsia="Arial" w:hAnsi="Arial"/>
          <w:sz w:val="18"/>
          <w:szCs w:val="18"/>
          <w:b w:val="1"/>
          <w:bCs w:val="1"/>
          <w:color w:val="00386C"/>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1055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Basic earnings (loss) per common share is computed by dividing the net income (loss) available to common stockholders by the weighted average number of shares of common stock outstanding during the period. Diluted earnings (loss)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reconciliations between basic and diluted earnings (loss) per share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0"/>
        </w:trPr>
        <w:tc>
          <w:tcPr>
            <w:tcW w:w="6440" w:type="dxa"/>
            <w:vAlign w:val="bottom"/>
            <w:tcBorders>
              <w:bottom w:val="single" w:sz="8" w:color="DBDBDB"/>
            </w:tcBorders>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DBDBDB"/>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1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DBDBDB"/>
          </w:tcPr>
          <w:p>
            <w:pPr>
              <w:spacing w:after="0"/>
              <w:rPr>
                <w:sz w:val="18"/>
                <w:szCs w:val="18"/>
                <w:color w:val="auto"/>
              </w:rPr>
            </w:pPr>
          </w:p>
        </w:tc>
        <w:tc>
          <w:tcPr>
            <w:tcW w:w="32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Net income (loss) available to common stockholders, basic and diluted</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r>
      <w:tr>
        <w:trPr>
          <w:trHeight w:val="20"/>
        </w:trPr>
        <w:tc>
          <w:tcPr>
            <w:tcW w:w="64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44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12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Denominator (in thousands)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156,989</w:t>
            </w:r>
          </w:p>
        </w:tc>
        <w:tc>
          <w:tcPr>
            <w:tcW w:w="16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132,840</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125,785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9,750</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19,734</w:t>
            </w:r>
          </w:p>
        </w:tc>
      </w:tr>
      <w:tr>
        <w:trPr>
          <w:trHeight w:val="230"/>
        </w:trPr>
        <w:tc>
          <w:tcPr>
            <w:tcW w:w="644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64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Performance share units</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156,989</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142,976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145,961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9"/>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9"/>
        </w:trPr>
        <w:tc>
          <w:tcPr>
            <w:tcW w:w="6440" w:type="dxa"/>
            <w:vAlign w:val="bottom"/>
            <w:shd w:val="clear" w:color="auto" w:fill="D9D9D9"/>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DBDBDB"/>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1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60" w:type="dxa"/>
            <w:vAlign w:val="bottom"/>
            <w:shd w:val="clear" w:color="auto" w:fill="D9D9D9"/>
          </w:tcPr>
          <w:p>
            <w:pPr>
              <w:spacing w:after="0"/>
              <w:rPr>
                <w:sz w:val="19"/>
                <w:szCs w:val="19"/>
                <w:color w:val="auto"/>
              </w:rPr>
            </w:pPr>
          </w:p>
        </w:tc>
        <w:tc>
          <w:tcPr>
            <w:tcW w:w="1100" w:type="dxa"/>
            <w:vAlign w:val="bottom"/>
            <w:shd w:val="clear" w:color="auto" w:fill="D9D9D9"/>
          </w:tcPr>
          <w:p>
            <w:pPr>
              <w:spacing w:after="0"/>
              <w:rPr>
                <w:sz w:val="19"/>
                <w:szCs w:val="19"/>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38.71</w:t>
            </w:r>
          </w:p>
        </w:tc>
      </w:tr>
      <w:tr>
        <w:trPr>
          <w:trHeight w:val="230"/>
        </w:trPr>
        <w:tc>
          <w:tcPr>
            <w:tcW w:w="6440" w:type="dxa"/>
            <w:vAlign w:val="bottom"/>
            <w:shd w:val="clear" w:color="auto" w:fill="D9D9D9"/>
          </w:tcPr>
          <w:p>
            <w:pPr>
              <w:ind w:left="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DBDBDB"/>
          </w:tcPr>
          <w:p>
            <w:pPr>
              <w:spacing w:after="0"/>
              <w:rPr>
                <w:sz w:val="19"/>
                <w:szCs w:val="19"/>
                <w:color w:val="auto"/>
              </w:rPr>
            </w:pPr>
          </w:p>
        </w:tc>
        <w:tc>
          <w:tcPr>
            <w:tcW w:w="320" w:type="dxa"/>
            <w:vAlign w:val="bottom"/>
            <w:shd w:val="clear" w:color="auto" w:fill="D9D9D9"/>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16.92</w:t>
            </w:r>
          </w:p>
        </w:tc>
        <w:tc>
          <w:tcPr>
            <w:tcW w:w="160" w:type="dxa"/>
            <w:vAlign w:val="bottom"/>
            <w:shd w:val="clear" w:color="auto" w:fill="D9D9D9"/>
          </w:tcPr>
          <w:p>
            <w:pPr>
              <w:spacing w:after="0"/>
              <w:rPr>
                <w:sz w:val="19"/>
                <w:szCs w:val="19"/>
                <w:color w:val="auto"/>
              </w:rPr>
            </w:pPr>
          </w:p>
        </w:tc>
        <w:tc>
          <w:tcPr>
            <w:tcW w:w="360" w:type="dxa"/>
            <w:vAlign w:val="bottom"/>
            <w:shd w:val="clear" w:color="auto" w:fill="D9D9D9"/>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33.36</w:t>
            </w:r>
          </w:p>
        </w:tc>
      </w:tr>
    </w:tbl>
    <w:p>
      <w:pPr>
        <w:spacing w:after="0" w:line="3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years ended December 31, 2024, 2023 and 2022, the diluted earnings per share calculation excludes the effect of 308,646, 777,369 and 789,458 reserved shares of common stock and 582,109, 1,466,502 and 1,489,337 reserved Class C Warrants related to the settlement of General Unsecured Claims associated with the Chapter 11 Cases, as all necessary conditions had not been met for such shares to be considered dilutive shares during the years ended December 31, 2024, 2023 and 2022, respectively. Additionally, the diluted loss per</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share calculation during the year ended December 31, 2024 excludes the antidilutive effect of 9,058,361 Warrants, 315,318 RSUs and 86,421 PSUs.</w:t>
      </w:r>
    </w:p>
    <w:p>
      <w:pPr>
        <w:spacing w:after="0" w:line="18" w:lineRule="exact"/>
        <w:rPr>
          <w:sz w:val="20"/>
          <w:szCs w:val="20"/>
          <w:color w:val="auto"/>
        </w:rPr>
      </w:pPr>
    </w:p>
    <w:p>
      <w:pPr>
        <w:ind w:left="380" w:hanging="354"/>
        <w:spacing w:after="0"/>
        <w:tabs>
          <w:tab w:leader="none" w:pos="380" w:val="left"/>
        </w:tabs>
        <w:numPr>
          <w:ilvl w:val="0"/>
          <w:numId w:val="34"/>
        </w:numPr>
        <w:rPr>
          <w:rFonts w:ascii="Arial" w:cs="Arial" w:eastAsia="Arial" w:hAnsi="Arial"/>
          <w:sz w:val="18"/>
          <w:szCs w:val="18"/>
          <w:b w:val="1"/>
          <w:bCs w:val="1"/>
          <w:color w:val="00386C"/>
        </w:rPr>
      </w:pPr>
      <w:r>
        <w:rPr>
          <w:rFonts w:ascii="Arial" w:cs="Arial" w:eastAsia="Arial" w:hAnsi="Arial"/>
          <w:sz w:val="18"/>
          <w:szCs w:val="18"/>
          <w:b w:val="1"/>
          <w:bCs w:val="1"/>
          <w:color w:val="00386C"/>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3429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December 31,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40" w:type="dxa"/>
            <w:vAlign w:val="bottom"/>
            <w:gridSpan w:val="5"/>
          </w:tcPr>
          <w:p>
            <w:pPr>
              <w:ind w:left="340"/>
              <w:spacing w:after="0"/>
              <w:rPr>
                <w:sz w:val="20"/>
                <w:szCs w:val="20"/>
                <w:color w:val="auto"/>
              </w:rPr>
            </w:pPr>
            <w:r>
              <w:rPr>
                <w:rFonts w:ascii="Arial" w:cs="Arial" w:eastAsia="Arial" w:hAnsi="Arial"/>
                <w:sz w:val="18"/>
                <w:szCs w:val="18"/>
                <w:b w:val="1"/>
                <w:bCs w:val="1"/>
                <w:color w:val="auto"/>
              </w:rPr>
              <w:t>December 31, 2024</w:t>
            </w:r>
          </w:p>
        </w:tc>
        <w:tc>
          <w:tcPr>
            <w:tcW w:w="480" w:type="dxa"/>
            <w:vAlign w:val="bottom"/>
          </w:tcPr>
          <w:p>
            <w:pPr>
              <w:spacing w:after="0"/>
              <w:rPr>
                <w:sz w:val="20"/>
                <w:szCs w:val="20"/>
                <w:color w:val="auto"/>
              </w:rPr>
            </w:pPr>
          </w:p>
        </w:tc>
        <w:tc>
          <w:tcPr>
            <w:tcW w:w="27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446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26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Credit Facility</w:t>
            </w:r>
          </w:p>
        </w:tc>
        <w:tc>
          <w:tcPr>
            <w:tcW w:w="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DBDBDB"/>
            </w:tcBorders>
            <w:shd w:val="clear" w:color="auto" w:fill="DBDBDB"/>
          </w:tcPr>
          <w:p>
            <w:pPr>
              <w:spacing w:after="0"/>
              <w:rPr>
                <w:sz w:val="19"/>
                <w:szCs w:val="19"/>
                <w:color w:val="auto"/>
              </w:rPr>
            </w:pPr>
          </w:p>
        </w:tc>
        <w:tc>
          <w:tcPr>
            <w:tcW w:w="4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4.95% senior notes due 2025</w:t>
            </w:r>
            <w:r>
              <w:rPr>
                <w:rFonts w:ascii="Arial" w:cs="Arial" w:eastAsia="Arial" w:hAnsi="Arial"/>
                <w:sz w:val="23"/>
                <w:szCs w:val="23"/>
                <w:color w:val="auto"/>
                <w:vertAlign w:val="superscript"/>
              </w:rPr>
              <w:t>(b)</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5.50% senior notes due 2026</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5.375% senior notes due 2029</w:t>
            </w:r>
            <w:r>
              <w:rPr>
                <w:rFonts w:ascii="Arial" w:cs="Arial" w:eastAsia="Arial" w:hAnsi="Arial"/>
                <w:sz w:val="23"/>
                <w:szCs w:val="23"/>
                <w:color w:val="auto"/>
                <w:vertAlign w:val="superscript"/>
              </w:rPr>
              <w:t>(b)</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5.875% senior notes due 2029</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6.75% senior notes due 2029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w:t>
            </w:r>
          </w:p>
        </w:tc>
      </w:tr>
      <w:tr>
        <w:trPr>
          <w:trHeight w:val="230"/>
        </w:trPr>
        <w:tc>
          <w:tcPr>
            <w:tcW w:w="44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5.375% senior notes due 2030</w:t>
            </w:r>
            <w:r>
              <w:rPr>
                <w:rFonts w:ascii="Arial" w:cs="Arial" w:eastAsia="Arial" w:hAnsi="Arial"/>
                <w:sz w:val="23"/>
                <w:szCs w:val="23"/>
                <w:color w:val="auto"/>
                <w:vertAlign w:val="superscript"/>
              </w:rPr>
              <w:t>(b)</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1,174</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4.75% senior notes due 2032</w:t>
            </w:r>
            <w:r>
              <w:rPr>
                <w:rFonts w:ascii="Arial" w:cs="Arial" w:eastAsia="Arial" w:hAnsi="Arial"/>
                <w:sz w:val="23"/>
                <w:szCs w:val="23"/>
                <w:color w:val="auto"/>
                <w:vertAlign w:val="superscript"/>
              </w:rPr>
              <w:t>(b)</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5.70% senior notes due 2035</w:t>
            </w:r>
            <w:r>
              <w:rPr>
                <w:rFonts w:ascii="Arial" w:cs="Arial" w:eastAsia="Arial" w:hAnsi="Arial"/>
                <w:sz w:val="23"/>
                <w:szCs w:val="23"/>
                <w:color w:val="auto"/>
                <w:vertAlign w:val="superscript"/>
              </w:rPr>
              <w:t>(c)</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DBDBDB"/>
          </w:tcPr>
          <w:p>
            <w:pPr>
              <w:spacing w:after="0"/>
              <w:rPr>
                <w:sz w:val="19"/>
                <w:szCs w:val="19"/>
                <w:color w:val="auto"/>
              </w:rPr>
            </w:pPr>
          </w:p>
        </w:tc>
        <w:tc>
          <w:tcPr>
            <w:tcW w:w="48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Premiums on senior notes, net</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Debt issuance costs</w:t>
            </w:r>
          </w:p>
        </w:tc>
        <w:tc>
          <w:tcPr>
            <w:tcW w:w="4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shd w:val="clear" w:color="auto" w:fill="DBDBDB"/>
          </w:tcPr>
          <w:p>
            <w:pPr>
              <w:spacing w:after="0"/>
              <w:rPr>
                <w:sz w:val="19"/>
                <w:szCs w:val="19"/>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debt, net</w:t>
            </w: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5,680</w:t>
            </w:r>
          </w:p>
        </w:tc>
        <w:tc>
          <w:tcPr>
            <w:tcW w:w="22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260" w:type="dxa"/>
            <w:vAlign w:val="bottom"/>
            <w:tcBorders>
              <w:bottom w:val="single" w:sz="8" w:color="DBDBDB"/>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Borders>
              <w:bottom w:val="single" w:sz="8" w:color="DBDBDB"/>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w:t>
            </w:r>
          </w:p>
        </w:tc>
      </w:tr>
      <w:tr>
        <w:trPr>
          <w:trHeight w:val="223"/>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Less current maturities of long-term debt, net</w:t>
            </w:r>
          </w:p>
        </w:tc>
        <w:tc>
          <w:tcPr>
            <w:tcW w:w="4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260" w:type="dxa"/>
            <w:vAlign w:val="bottom"/>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Total long-term debt, net</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260" w:type="dxa"/>
            <w:vAlign w:val="bottom"/>
          </w:tcPr>
          <w:p>
            <w:pPr>
              <w:spacing w:after="0"/>
              <w:rPr>
                <w:sz w:val="19"/>
                <w:szCs w:val="19"/>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r>
      <w:tr>
        <w:trPr>
          <w:trHeight w:val="21"/>
        </w:trPr>
        <w:tc>
          <w:tcPr>
            <w:tcW w:w="4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jc w:val="both"/>
        <w:ind w:left="420" w:hanging="412"/>
        <w:spacing w:after="0" w:line="268"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carrying value of borrowings under our Credit Facility approximates fair value as the interest rates are based on prevailing market rates; therefore, they are a Level 1 fair value measurement. For all other debt, a market approach, based upon quotes from major financial institutions, which are Level 2 inputs, is used to measure the fair value.</w:t>
      </w:r>
    </w:p>
    <w:p>
      <w:pPr>
        <w:spacing w:after="0" w:line="49" w:lineRule="exact"/>
        <w:rPr>
          <w:rFonts w:ascii="Arial" w:cs="Arial" w:eastAsia="Arial" w:hAnsi="Arial"/>
          <w:sz w:val="18"/>
          <w:szCs w:val="18"/>
          <w:color w:val="auto"/>
        </w:rPr>
      </w:pPr>
    </w:p>
    <w:p>
      <w:pPr>
        <w:jc w:val="both"/>
        <w:ind w:left="420" w:hanging="412"/>
        <w:spacing w:after="0" w:line="268" w:lineRule="auto"/>
        <w:tabs>
          <w:tab w:leader="none" w:pos="4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On October 1, 2024, we assumed the debt of Southwestern in connection with the Southwestern Merger, which primarily consisted of these senior notes.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discussion on the Southwestern Merger and further discussion of these senior notes below.</w:t>
      </w:r>
    </w:p>
    <w:p>
      <w:pPr>
        <w:spacing w:after="0" w:line="49" w:lineRule="exact"/>
        <w:rPr>
          <w:rFonts w:ascii="Arial" w:cs="Arial" w:eastAsia="Arial" w:hAnsi="Arial"/>
          <w:sz w:val="18"/>
          <w:szCs w:val="18"/>
          <w:color w:val="auto"/>
        </w:rPr>
      </w:pP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December 2, 2024, we issued $750 million of 5.70% senior notes. See further discussion below.</w:t>
      </w:r>
    </w:p>
    <w:p>
      <w:pPr>
        <w:spacing w:after="0" w:line="171"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table below presents debt maturities as of December 31, 2024, excluding debt issuance costs, discounts and premiums: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Borders>
              <w:bottom w:val="single" w:sz="8" w:color="DBDBDB"/>
            </w:tcBorders>
          </w:tcPr>
          <w:p>
            <w:pPr>
              <w:spacing w:after="0"/>
              <w:rPr>
                <w:sz w:val="20"/>
                <w:szCs w:val="20"/>
                <w:color w:val="auto"/>
              </w:rPr>
            </w:pPr>
          </w:p>
        </w:tc>
        <w:tc>
          <w:tcPr>
            <w:tcW w:w="4960" w:type="dxa"/>
            <w:vAlign w:val="bottom"/>
            <w:tcBorders>
              <w:bottom w:val="single" w:sz="8" w:color="DBDBDB"/>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496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2026</w:t>
            </w:r>
          </w:p>
        </w:tc>
        <w:tc>
          <w:tcPr>
            <w:tcW w:w="4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496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2028</w:t>
            </w:r>
          </w:p>
        </w:tc>
        <w:tc>
          <w:tcPr>
            <w:tcW w:w="4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496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4960" w:type="dxa"/>
            <w:vAlign w:val="bottom"/>
            <w:tcBorders>
              <w:bottom w:val="single" w:sz="8" w:color="DBDBDB"/>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debt</w:t>
            </w:r>
          </w:p>
        </w:tc>
        <w:tc>
          <w:tcPr>
            <w:tcW w:w="496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auto"/>
            </w:tcBorders>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0"/>
        </w:trPr>
        <w:tc>
          <w:tcPr>
            <w:tcW w:w="3320" w:type="dxa"/>
            <w:vAlign w:val="bottom"/>
            <w:tcBorders>
              <w:top w:val="single" w:sz="8" w:color="DBDBDB"/>
            </w:tcBorders>
          </w:tcPr>
          <w:p>
            <w:pPr>
              <w:spacing w:after="0" w:line="20" w:lineRule="exact"/>
              <w:rPr>
                <w:sz w:val="1"/>
                <w:szCs w:val="1"/>
                <w:color w:val="auto"/>
              </w:rPr>
            </w:pPr>
          </w:p>
        </w:tc>
        <w:tc>
          <w:tcPr>
            <w:tcW w:w="4960" w:type="dxa"/>
            <w:vAlign w:val="bottom"/>
            <w:tcBorders>
              <w:top w:val="single" w:sz="8" w:color="DBDBDB"/>
              <w:bottom w:val="single" w:sz="8" w:color="DBDBDB"/>
            </w:tcBorders>
            <w:vMerge w:val="restart"/>
          </w:tcPr>
          <w:p>
            <w:pPr>
              <w:jc w:val="right"/>
              <w:ind w:right="2270"/>
              <w:spacing w:after="0"/>
              <w:rPr>
                <w:sz w:val="20"/>
                <w:szCs w:val="20"/>
                <w:color w:val="auto"/>
              </w:rPr>
            </w:pPr>
            <w:r>
              <w:rPr>
                <w:rFonts w:ascii="Arial" w:cs="Arial" w:eastAsia="Arial" w:hAnsi="Arial"/>
                <w:sz w:val="18"/>
                <w:szCs w:val="18"/>
                <w:color w:val="auto"/>
              </w:rPr>
              <w:t>91</w:t>
            </w: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2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332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320" w:type="dxa"/>
            <w:vAlign w:val="bottom"/>
            <w:tcBorders>
              <w:bottom w:val="single" w:sz="8" w:color="9A9A9A"/>
            </w:tcBorders>
          </w:tcPr>
          <w:p>
            <w:pPr>
              <w:spacing w:after="0"/>
              <w:rPr>
                <w:sz w:val="9"/>
                <w:szCs w:val="9"/>
                <w:color w:val="auto"/>
              </w:rPr>
            </w:pPr>
          </w:p>
        </w:tc>
        <w:tc>
          <w:tcPr>
            <w:tcW w:w="49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i w:val="1"/>
          <w:iCs w:val="1"/>
          <w:color w:val="auto"/>
        </w:rPr>
        <w:t xml:space="preserve">Credit Facility. </w:t>
      </w:r>
      <w:r>
        <w:rPr>
          <w:rFonts w:ascii="Arial" w:cs="Arial" w:eastAsia="Arial" w:hAnsi="Arial"/>
          <w:sz w:val="18"/>
          <w:szCs w:val="18"/>
          <w:color w:val="auto"/>
        </w:rPr>
        <w:t>In December 2022, we entered into a senior secured reserve-based credit agreement, as amended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No. 1 and Borrowing Base Agreement, dated April 29, 2024 (the “Initial Credit Agreement Amendment”) and as automatically amended on October 28, 2024 by the Investment Grade Credit Agreement Amendment (as defined below), with the lenders and issuing banks party thereto from time to time (the “Lenders”), and JPMorgan Chase Bank, N.A., as administrative agent and collateral agent (in such capacity, the “Administrative Agent”) (such credit agreement as amended by the Initial Credit Agreement Amendment, the “Pre-IG Credit Agreement”, and as further amended by the Investment Grade Credit Agreement Amendment, the “Credit Agreement”), providing for a revolving credit facility (such facility as amended pursuant to the Initial Credit Agreement Amendment, the “Pre-IG Credit Facility”, and as further amended pursuant to the Investment Grade Credit Agreement Amendment, the “Credit Facility”) maturing in December 2027. The Initial Credit Agreement Amendment, among other things, increased the aggregate commitments under the Pre -IG Credit Facility from $2.0 billion to $2.5 billion and increased the sublimit available for the issuance of letters of credit from $200 million to $500 million. The Credit Facility continues to provide for a $50 million sublimit available for swingline loans. As of December 31, 2024, we had approximately $2.5 billion available for borrowings under the Credit Facility.</w:t>
      </w:r>
    </w:p>
    <w:p>
      <w:pPr>
        <w:spacing w:after="0" w:line="2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obligations under the Pre-IG Credit Facility were guaranteed by certain of Expand Energy’s subsidiaries (the “Guarantors”), and the Pre-IG Credit Facility was secured by substantially all of the assets owned by the Company and the Guarantors (subject to customary exceptions), including mortgages on not less than 85% of the total PV-9 of the borrowing base properties evaluated in the most recent reserve report (where PV-9 is the net present value, discounted at 9% per annum, of the estimated future net revenues). Since the effectiveness of the Investment Grade Credit Agreement Amendment, the Credit Facility is no longer guaranteed or secured, or subject to a borrowing base.</w:t>
      </w:r>
    </w:p>
    <w:p>
      <w:pPr>
        <w:spacing w:after="0" w:line="20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Pre-IG Credit Agreement contained restrictive covenants, subject to customary exceptions for reserve-based credit facilities, that limited Expand Energy and its subsidiaries’ ability to, among other things: (i) incur additional indebtedness, (ii) make investments, (iii) enter into mergers; (iv) make or declare dividends; (v) repurchase or redeem certain indebtedness; (vi) enter into certain hedges; (vii) incur liens;</w:t>
      </w:r>
    </w:p>
    <w:p>
      <w:pPr>
        <w:spacing w:after="0" w:line="1" w:lineRule="exact"/>
        <w:rPr>
          <w:sz w:val="20"/>
          <w:szCs w:val="20"/>
          <w:color w:val="auto"/>
        </w:rPr>
      </w:pPr>
    </w:p>
    <w:p>
      <w:pPr>
        <w:jc w:val="both"/>
        <w:ind w:firstLine="8"/>
        <w:spacing w:after="0" w:line="251"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 assets; and (ix) engage in certain transactions with affiliates. Since the effectiveness of the Investment Grade Credit Agreement Amendment on October 28, 2024, the Credit Agreement contains restrictive covenants that, subject to exceptions customary to investment 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Pre-IG Credit Agreement required Expand Energy to maintain compliance with the following financial ratios: (A) a current ratio, which was the ratio of Expand Energy’s and its restricted subsidiaries’ consolidated current assets (including unused commitments under the Pre-IG Credit Facility but excluding certain non-cash assets) to their consolidated current liabilities (excluding the current portion of long-term debt and certain non-cash liabilities), of not less than 1.00 to 1.00; (B) a net leverage ratio, which was the ratio of total indebtedness (less unrestricted cash up to a specified threshold) to Consolidated EBITDAX (as defined in the Pre-IG Credit Agreement) for the prior four fiscal quarters, of not greater than 3.50 to 1.00 and (C) a PV-9 coverage ratio of the net present value, discounted at 9% per annum, of the estimated future net revenues expected in the proved reserves to Expand Energy’s and its restricted subsidiaries’ total indebtedness of not less than 1.50 to 1.00. The Investment Grade Credit Agreement Amendment, among other things, (i) removed the current ratio, net leverage ratio and PV-9 coverage ratio previously contained in the Pre-IG Credit Agreement and (ii) provides for our compliance with an indebtedness to capitalization ratio, which is the ratio of the Company’s total indebtedness to the sum of total indebtedness plus stockholders’ equity (the “Debt to Capitalization Ratio”), not to exceed 65%. As of December 31, 2024, we were in compliance with the Debt to Capitalization Ratio.</w:t>
      </w:r>
    </w:p>
    <w:p>
      <w:pPr>
        <w:spacing w:after="0" w:line="2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Borrowings under the Credit Agreement may be alternate base rate loans or term SOFR loans, at our election. Interest is payable quarterly for alternate base rate loans and at the end of the applicable interest period for term SOFR loans. Term SOFR loans bear interest at term SOFR plus an applicable rate ranging from 125 to 187.5 basis points per annum, depending on the Company’s unsecured debt ratings (which rate under the Pre-IG Credit Agreement previously ranged from 175 to 275 basis points per annum, depending on the percentage of the commitments utilized), plus an additional 10 basis points per annum credit spread adjustment. Alternate base rate loans bear interest at a rate per annum equal to the greatest of: (i) the prime rate; (ii) the federal funds effective rate plus 50 basis points; and (iii) the adjusted term SOFR rate for a one-month interest period plus 100 basis points, plus an applicable margin ranging from 25 to 87.5 basis points per annum, depending on the Company’s unsecured debt ratings (which applicable margin under the Pre-IG Credit Agreement previously ranged from 75 to 175 basis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points per annum, depending on the percentage of the commitments utilized). Expand Energy also pays a commitment fee on unused commitment amounts under the Credit Facility ranging from 15 to 27.5 basis points per annum, depending on the Company’s unsecured debt ratings (which commitment fee rate under the Pre-IG Credit Agreement previously ranged from 37.5 to 50 basis points per annum, depending on the percentage of the commitments utilized).</w:t>
      </w:r>
    </w:p>
    <w:p>
      <w:pPr>
        <w:spacing w:after="0" w:line="19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Credit Facility is subject to customary events of default, remedies, and cure rights for investment grade credit facilities of this nature.</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Grade Rating.</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2024, we received an investment grade rating from S&amp;P Global Ratings (“S&amp;P”). S&amp;P assigned an issuer-level rating of ‘BBB-’ on our unsecured debt and raised our issuer credit rating to ‘BBB-’, with a stable outlook. Additionally, on October 2, 2024, we received an investment grade rating from Fitch Ratings (“Fitch”). Fitch affirmed our revolver credit rating at ‘BBB-’ and upgraded the rating on our senior notes to ‘BBB-’, with a stable outlook. As a result of these investment grade ratings and the satisfaction of certain other conditions,</w:t>
      </w:r>
    </w:p>
    <w:p>
      <w:pPr>
        <w:spacing w:after="0" w:line="2" w:lineRule="exact"/>
        <w:rPr>
          <w:sz w:val="20"/>
          <w:szCs w:val="20"/>
          <w:color w:val="auto"/>
        </w:rPr>
      </w:pPr>
    </w:p>
    <w:p>
      <w:pPr>
        <w:jc w:val="both"/>
        <w:ind w:firstLine="8"/>
        <w:spacing w:after="0" w:line="253" w:lineRule="auto"/>
        <w:tabs>
          <w:tab w:leader="none" w:pos="2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Pre-IG Credit Agreement was automatically amended in its entirety as set forth in an exhibit to the Pre-IG Credit Agreement (such automatic amendment, the “Investment Grade Credit Agreement Amendment”, and the Pre-IG Credit Agreement as amended by such amendment, the “Credit Agreement”), (ii) all liens and guarantees previously provided by the Company and its subsidiaries in connection with the Pre-IG Credit Agreement were released and (iii) all guarantees previously provided in connection with the Company’s senior notes were released. Such Investment Grade Credit Agreement Amendment, among other things, removed the application of the borrowing base provided for in the Pre-IG Credit Agreement and modified the pricing and covenants as described above.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of Southwestern’s Senior Notes and Southwestern Credit Facility Extinguishment.</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October 1, 2024, the Southwestern Merger was completed, and we became the successor issuer in respect to Southwestern’s (i) $389 million aggregate principal amount of 4.950% Senior Notes due 2025 (the “SWN 2025 Notes”), (ii) $304 million aggregate principal amount of 8.375% Senior Notes due 2028 (the “SWN 2028 Notes”), (iii) $700 million aggregate principal amount of 5.375% Senior Notes due 2029 (the “SWN 2029 Notes”), (iv) $1,200 million aggregate principal amount of 5.375% Senior Notes due 2030 (the “SWN 2030 Notes”) and</w:t>
      </w:r>
    </w:p>
    <w:p>
      <w:pPr>
        <w:spacing w:after="0" w:line="2" w:lineRule="exact"/>
        <w:rPr>
          <w:sz w:val="20"/>
          <w:szCs w:val="20"/>
          <w:color w:val="auto"/>
        </w:rPr>
      </w:pPr>
    </w:p>
    <w:p>
      <w:pPr>
        <w:jc w:val="both"/>
        <w:ind w:firstLine="8"/>
        <w:spacing w:after="0" w:line="251" w:lineRule="auto"/>
        <w:tabs>
          <w:tab w:leader="none" w:pos="2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$1,150 million aggregate principal amount of 4.750% Senior Notes due 2032 (the “SWN 2032 Notes” and together with the SWN 2025 Notes, the SWN 2028 Notes, the SWN 2029 Notes and the SWN 2030 Notes, the “SWN Notes”). We assumed the obligations under (i) the SWN 2025 Notes pursuant to Supplemental Indenture No. 9 (“SWN 2025 Notes Supplemental Indenture No. 9”) to a base indenture dated January 23, 2015, by and among Southwestern and U.S. Bank National Association, as Trustee, (ii) the SWN 2028 Notes pursuant to Supplemental Indenture No. 9 (“SWN 2028 Notes Supplemental Indenture No. 9”) to a base indenture dated September 25, 2017, by and among Southwestern and U.S. Bank National Association, as Trustee, (iii) the SWN 2029 Notes pursuant to Supplemental Indenture No. 6 (“Supplemental Indenture No. 6”) to a base indenture dated August 30, 2021 (the “2021 Base Indenture”) by and among Southwestern and Regions Bank, as Trustee, (iv) the 2030 Notes pursuant to Supplemental Indenture No. 7 (“Supplemental Indenture No. 7”) to the 2021 Base Indenture and (v) the 2032 Notes pursuant to Supplemental Indenture No. 8 (“Supplemental Indenture No. 8” and, together with SWN 2025 Notes Supplemental Indenture No. 9, SWN 2028 Notes Supplemental Indenture No. 9, Supplemental Indenture No. 6 and Supplemental Indenture No. 7, the “SWN Supplemental Indentures”) to the 2021 Base Indenture. In addition, pursuant to each SWN Supplemental Indenture, existing subsidiaries of the Company that guarantee our notes provided guarantees of the SWN Notes. As a result of the investment grade ratings we received on October 1 and October 2, 2024, and the satisfaction of certain other conditions, all guarantees previously provided in connection with the Company’s outstanding senior notes, including the SWN Notes, were released.</w:t>
      </w:r>
    </w:p>
    <w:p>
      <w:pPr>
        <w:spacing w:after="0" w:line="21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SWN 2025 Notes matured on January 23, 2025 and bore interest at a rate of 4.950% per annum, with interest that was payable on January 23 and July 23 of each year. The SWN 2029 Notes mature on February 1, 2029 and bear interest at a rate of 5.375% per annum, with interest payable on February 1 and August 1 of each year. The SWN 2030 Notes mature on March 15, 2030 and bear interest at a rate of 5.375% per annum, with interest payable on March 15 and September 15 of each year. The SWN 2032 Notes mature on February 1, 2032 and bear interest at a rate of 4.750% per annum, with interest payable on February 1 and August 1 of each year.</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October 1, 2024, Southwestern’s existing credit facility was terminated, with all loan amounts and other obligations outstanding thereunder repaid in full and all commitments thereunder extinguished, for approximately $585 million, which included all outstanding borrowings, accrued interest and transaction fees.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5.70% Senior Notes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 2024, we completed our underwritten public offering of $750 million aggregate principal amount of our 5.70% Senior Notes due 2035 (the “2035 Notes”). The 2035 Notes were issued pursuant to the Indenture (the “Base Indenture”), dated as of December 2, 2024, between the Company and Regions Bank (the “Trustee”), as trustee, as supplemented by the First Supplemental Indenture, dated as of December 2, 2024 (the “First Supplemental Indenture” and, together with the Base Indenture, the “Indenture”), between the Company and the Trustee, setting forth specific terms applicable to the 2035 Notes.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2035 Notes are the Company’s senior unsecured obligations and rank equally in right to payment of the holders of the Company’s other current and future unsecured senior debt, including debt under the Company’s revolving credit facility and the Company’s existing senior notes, and senior in right of payment to any future subordinated debt that the Company may incur. The 2035 Notes are not guaranteed by any of the Company’s subsidiaries and are therefore structurally subordinated to any indebtedness incurred by any of the Company’s subsidiaries.</w:t>
      </w:r>
    </w:p>
    <w:p>
      <w:pPr>
        <w:spacing w:after="0" w:line="1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2035 Notes mature on January 15, 2035 and interest on the 2035 Notes is payable semi-annually, on January 15 and July 15 of each year to holders of record on the immediately preceding January 1 and July 1. The first interest payment date will commence on July 15, 2025 to holders of record on July 1, 2025.</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Outstanding Senior Notes. </w:t>
      </w:r>
      <w:r>
        <w:rPr>
          <w:rFonts w:ascii="Arial" w:cs="Arial" w:eastAsia="Arial" w:hAnsi="Arial"/>
          <w:sz w:val="18"/>
          <w:szCs w:val="18"/>
          <w:color w:val="auto"/>
        </w:rPr>
        <w:t>On October 28, 2024, the Company satisfied the “Investment Grade Date” conditions set forth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(the “Investment Grade Date Event”) and, as a result, entered into supplemental indentures pursuant to which each subsidiary guarantor party thereto was released of all of its obligations under its guarantee of the Company’s obligations under the indenture, dated as of February 5, 2021, among the Issuer, the guarantor party thereto and Deutsche Bank Trust Company Americas, as trustee, that issued the $500 million aggregate principal amount of 5.50% Senior Notes due 2026 (“the 2026 Notes”) and the $500 million aggregate principal amount of 5.875% Senior Notes due 2029 (the “2029 Notes”). Additionally, as a result of receiving such investment grade rating, pursuant to the indenture governing the 2026 Notes and the 2029 Notes, certain restrictive covenants under such indentures are no longer in effect upon the Company.</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Interest on the 2026 Notes and 2029 Notes is payable semi-annually, on February 1 and August 1 of each year to holders of record on the immediately preceding January 15 and July 15.</w:t>
      </w:r>
    </w:p>
    <w:p>
      <w:pPr>
        <w:spacing w:after="0" w:line="9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and certain of its subsidiaries previously agreed to guarantee such obligations under the indenture dated April 7, 2021 with Wilmington Trust, National Association, as Trustee (the “Vine Indenture”) under which the Company assumed the obligations under Vine’s $ 950 million aggregate principal amount of 6.75% Senior Notes due 2029 (the “Vine Notes”). Additionally, certain subsidiaries of Vine entered into a supplemental indenture to the Company’s existing indenture, dated February 5, 2021, with Deutsche Bank Trust Company Americas as trustee (the “CHK Indenture”), pursuant to which such subsidiaries of Vine have agreed to guarantee obligations under the CHK Indenture. On October 28, 2024, in connection with the Investment Grade Date Event, the Company entered into a supplemental indenture to the CHK Indenture pursuant to which each subsidiary guarantor party thereto was released of all its obligations under its guarantee of the Company’s obligations under the CHK Indenture.</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Interest on the Vine Notes is payable semi-annually, on April 15 and October 15 of each year to holders of record on the immediately preceding April 1 and October 1.</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connection with the completion of the Southwestern Merger, on October 1, 2024, the Company entered into (i) Supplemental Indenture No. 3 to the Indenture dated February 5, 2021, by and among Chesapeake Escrow LLC, as issuer, the guarantors signatory thereto and Deutsche Bank Trust Company, as Trustee governing the 2026 Notes and 2029 Notes and (ii) Supplemental Indenture No. 5 to the Indenture dated April 7, 2021, by and among Vine Energy Holdings LLC, the guarantors signatory thereto and Wilmington Trust, National Association, as Trustee governing the Company’s existing 6.75% Senior Notes due 2029 (the “Vine Notes” and together with the 2026 Notes and the 2029 Notes, the “Existing Notes”), in each case to add as guarantors of the Existing Notes, the subsidiaries of Southwestern that guarantee SWN Notes that are described above. As discussed above, on October</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28, 2024, each Southwestern subsidiary guarantor was released of all its obligations under its guarantee of the Company’s obligations under each of the indentures governing the Existing Notes in connection with the Investment Grade Date Event.</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the SWN Notes and the Existing Notes are the Company’s senior unsecured obligations. Accordingly, they rank (i) equal in right of payment to all existing and future senior unsecured indebtedness, (ii) effectively subordinate in right of payment to all existing and future secured indebtedness, to the extent of the value of the collateral securing such indebtedness, (iii) structurally subordinate in right of payment to all existing and future indebtedness and other liabilities of any future subsidiaries that do not guarantee the Credit Facility, the SWN Notes and/or Existing Notes and any entity that is not a subsidiary that does not guarantee the Credit Facility, the SWN Notes and/or Existing Notes and (iv) senior in right of payment to all future subordinated indebtedness.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no secured debt as of December 31, 2024.</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Tender Offer and Early Redemption of Senior Notes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fourth quarter of 2024, we announced an offer to purchase for cash, any and all of our outstanding 2026 Notes, the “Tender Offer”. Upon expiration of the Tender Offer, approximately 91%, or $453 million, of the 2026 Notes were validly tendered and not validly withdrawn. In a separate transaction during the fourth quarter of 2024, we redeemed all of the $304 million aggregate principal of the SWN 2028 Notes for approximately $312 million, which included an $8 million premium to call the notes. We utilized the proceeds from the 2035 Notes to fund the Tender Offer for the 2026 Notes and the early redemption of the SWN 2028 Notes.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Subsequent Event - Maturity and Repayment of the SWN 2025 Notes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January 23, 2025, the $389 million aggregate principal of SWN 2025 Notes was repaid and terminated with cash on hand and borrowings on the Credit Facility.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hanging="434"/>
        <w:spacing w:after="0"/>
        <w:tabs>
          <w:tab w:leader="none" w:pos="460" w:val="left"/>
        </w:tabs>
        <w:numPr>
          <w:ilvl w:val="0"/>
          <w:numId w:val="39"/>
        </w:numPr>
        <w:rPr>
          <w:rFonts w:ascii="Arial" w:cs="Arial" w:eastAsia="Arial" w:hAnsi="Arial"/>
          <w:sz w:val="18"/>
          <w:szCs w:val="18"/>
          <w:b w:val="1"/>
          <w:bCs w:val="1"/>
          <w:color w:val="00386C"/>
        </w:rPr>
      </w:pPr>
      <w:r>
        <w:rPr>
          <w:rFonts w:ascii="Arial" w:cs="Arial" w:eastAsia="Arial" w:hAnsi="Arial"/>
          <w:sz w:val="18"/>
          <w:szCs w:val="18"/>
          <w:b w:val="1"/>
          <w:bCs w:val="1"/>
          <w:color w:val="00386C"/>
        </w:rPr>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8516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Business Operations and Litigation and Regulatory Proceedings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Matters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Based on management’s current assessment, we are of the opinion that no pending or threatened lawsuit or dispute relating to our business operations is likely to have a material adverse effect on our future consolidated financial position, results of operations or cash flows. The final resolution of such matters could exceed amounts accrued, however, and actual results could differ materially from management’s estimates.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Gathering, Processing and Transportation Agreements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contractual commitments with midstream service companies and pipeline carriers for future gathering, processing and transportation of natural gas, oil and NGL to move certain of our production to market. Working interest owners and royalty interest owners, where appropriate, will be responsible for their proportionate share of these costs. Commitments related to gathering, processing and transportation agreements are not recorded as obligations in the accompanying consolidated balance sheets.</w:t>
      </w:r>
    </w:p>
    <w:p>
      <w:pPr>
        <w:spacing w:after="0" w:line="12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aggregate undiscounted commitments under our gathering, processing and transportation agreements, excluding any reimbursement from working interest and royalty interest owners, credits for third-party volumes or future costs under cost-of-service agreements, are presented below:</w:t>
      </w:r>
    </w:p>
    <w:p>
      <w:pPr>
        <w:spacing w:after="0" w:line="90"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906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1,377</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29"/>
        </w:trPr>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1,189</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2028</w:t>
            </w:r>
          </w:p>
        </w:tc>
        <w:tc>
          <w:tcPr>
            <w:tcW w:w="18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29"/>
        </w:trPr>
        <w:tc>
          <w:tcPr>
            <w:tcW w:w="9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943</w:t>
            </w:r>
          </w:p>
        </w:tc>
      </w:tr>
      <w:tr>
        <w:trPr>
          <w:trHeight w:val="230"/>
        </w:trPr>
        <w:tc>
          <w:tcPr>
            <w:tcW w:w="90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3,937</w:t>
            </w:r>
          </w:p>
        </w:tc>
      </w:tr>
      <w:tr>
        <w:trPr>
          <w:trHeight w:val="248"/>
        </w:trPr>
        <w:tc>
          <w:tcPr>
            <w:tcW w:w="90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9,880</w:t>
            </w:r>
          </w:p>
        </w:tc>
      </w:tr>
      <w:tr>
        <w:trPr>
          <w:trHeight w:val="20"/>
        </w:trPr>
        <w:tc>
          <w:tcPr>
            <w:tcW w:w="906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a result of the Southwestern Merger, during the year ended December 31, 2024, we acquired certain gathering, processing and transportation agreements from Southwestern and have reflected these agreements within the table above. 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Commitments</w:t>
      </w:r>
    </w:p>
    <w:p>
      <w:pPr>
        <w:spacing w:after="0" w:line="15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While executing our strategic priorities, we have incurred certain cash charges, including contract termination charges, financing extinguishment costs and charges for unused natural gas transportation and gathering capacity.</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 w:hanging="414"/>
        <w:spacing w:after="0"/>
        <w:tabs>
          <w:tab w:leader="none" w:pos="440" w:val="left"/>
        </w:tabs>
        <w:numPr>
          <w:ilvl w:val="0"/>
          <w:numId w:val="40"/>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916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as of December 31, 2024 and 2023 are detailed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0"/>
                <w:szCs w:val="20"/>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6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 and royalties due to others</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734</w:t>
            </w:r>
          </w:p>
        </w:tc>
        <w:tc>
          <w:tcPr>
            <w:tcW w:w="26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Accrued drilling and production costs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284</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payable</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Joint interest prepayments received</w:t>
            </w:r>
          </w:p>
        </w:tc>
        <w:tc>
          <w:tcPr>
            <w:tcW w:w="16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hedging costs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820" w:type="dxa"/>
            <w:vAlign w:val="bottom"/>
          </w:tcPr>
          <w:p>
            <w:pPr>
              <w:ind w:left="24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00" w:hanging="374"/>
        <w:spacing w:after="0"/>
        <w:tabs>
          <w:tab w:leader="none" w:pos="400" w:val="left"/>
        </w:tabs>
        <w:numPr>
          <w:ilvl w:val="0"/>
          <w:numId w:val="41"/>
        </w:numPr>
        <w:rPr>
          <w:rFonts w:ascii="Arial" w:cs="Arial" w:eastAsia="Arial" w:hAnsi="Arial"/>
          <w:sz w:val="18"/>
          <w:szCs w:val="18"/>
          <w:b w:val="1"/>
          <w:bCs w:val="1"/>
          <w:color w:val="00386C"/>
        </w:rPr>
      </w:pPr>
      <w:r>
        <w:rPr>
          <w:rFonts w:ascii="Arial" w:cs="Arial" w:eastAsia="Arial" w:hAnsi="Arial"/>
          <w:sz w:val="18"/>
          <w:szCs w:val="18"/>
          <w:b w:val="1"/>
          <w:bCs w:val="1"/>
          <w:color w:val="00386C"/>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4711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are a lessee under various agreements for drilling rigs, pressure pumping equipment, vehicles, office space, compressors, certain water transportation lines and other equipment under non-cancelable operating leases expiring through 2036. Certain of our lease agreements include options to renew the lease, terminate the lease early or purchase the underlying asset at the end of the lease. We determine the lease term at the lease commencement date as the non-cancelable period of the lease, including options to extend or terminate the lease when we are reasonably certain to exercise the option. The Company’s vehicles are the only leases with renewal options that we are reasonably certain to exercise. The renewals are reflected in the right of use (“ROU”) asset and lease liability balances.</w:t>
      </w:r>
    </w:p>
    <w:p>
      <w:pPr>
        <w:spacing w:after="0" w:line="12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On October 1, 2024, we completed the Southwestern Merger. As part of the purchase price allocation, we recognized additional operating lease liabilities of $134 million and a related ROU asset of $ 134 million related to drilling rigs, pressure pumping equipment, vehicles, office space, compressors, certain water transportation lines and other equipment. Regarding our drilling rigs and pressure pumping equipment, our policy is to treat both lease and non-lease components as a single lease component.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information about the Southwestern Merger.</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Our operating ROU assets are included in other long-term assets while operating lease liabilities are included in other current and other long-term liabilities on the consolidated balance sheet.</w:t>
      </w:r>
    </w:p>
    <w:p>
      <w:pPr>
        <w:spacing w:after="0" w:line="99"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following table presents our ROU assets and lease liabilities as of December 31, 2024 and 2023. As of December 31, 2024 and 2023, we did not have any finance leases.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5"/>
          </w:tcPr>
          <w:p>
            <w:pPr>
              <w:ind w:left="144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 2024</w:t>
            </w:r>
          </w:p>
        </w:tc>
        <w:tc>
          <w:tcPr>
            <w:tcW w:w="2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December 31,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ROU assets</w:t>
            </w:r>
          </w:p>
        </w:tc>
        <w:tc>
          <w:tcPr>
            <w:tcW w:w="238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DBDBDB"/>
            </w:tcBorders>
          </w:tcPr>
          <w:p>
            <w:pPr>
              <w:spacing w:after="0" w:line="20" w:lineRule="exact"/>
              <w:rPr>
                <w:sz w:val="1"/>
                <w:szCs w:val="1"/>
                <w:color w:val="auto"/>
              </w:rPr>
            </w:pPr>
          </w:p>
        </w:tc>
        <w:tc>
          <w:tcPr>
            <w:tcW w:w="23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 liabilities:</w:t>
            </w:r>
          </w:p>
        </w:tc>
        <w:tc>
          <w:tcPr>
            <w:tcW w:w="23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120" w:type="dxa"/>
            <w:vAlign w:val="bottom"/>
            <w:shd w:val="clear" w:color="auto" w:fill="DBDBDB"/>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140"/>
              <w:spacing w:after="0"/>
              <w:rPr>
                <w:sz w:val="20"/>
                <w:szCs w:val="20"/>
                <w:color w:val="auto"/>
              </w:rPr>
            </w:pPr>
            <w:r>
              <w:rPr>
                <w:rFonts w:ascii="Arial" w:cs="Arial" w:eastAsia="Arial" w:hAnsi="Arial"/>
                <w:sz w:val="18"/>
                <w:szCs w:val="18"/>
                <w:color w:val="auto"/>
              </w:rPr>
              <w:t>Current lease liabilities</w:t>
            </w:r>
          </w:p>
        </w:tc>
        <w:tc>
          <w:tcPr>
            <w:tcW w:w="26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Long-term lease liabilities</w:t>
            </w:r>
          </w:p>
        </w:tc>
        <w:tc>
          <w:tcPr>
            <w:tcW w:w="238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40"/>
              <w:spacing w:after="0"/>
              <w:rPr>
                <w:sz w:val="20"/>
                <w:szCs w:val="20"/>
                <w:color w:val="auto"/>
              </w:rPr>
            </w:pPr>
            <w:r>
              <w:rPr>
                <w:rFonts w:ascii="Arial" w:cs="Arial" w:eastAsia="Arial" w:hAnsi="Arial"/>
                <w:sz w:val="18"/>
                <w:szCs w:val="18"/>
                <w:color w:val="auto"/>
              </w:rPr>
              <w:t>Total lease liabilities, net</w:t>
            </w:r>
          </w:p>
        </w:tc>
        <w:tc>
          <w:tcPr>
            <w:tcW w:w="23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2380" w:type="dxa"/>
            <w:vAlign w:val="bottom"/>
            <w:vMerge w:val="restart"/>
          </w:tcPr>
          <w:p>
            <w:pPr>
              <w:jc w:val="right"/>
              <w:ind w:right="330"/>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8"/>
        </w:trPr>
        <w:tc>
          <w:tcPr>
            <w:tcW w:w="39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96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Additional information for the Company’s operating leases is presented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r>
      <w:tr>
        <w:trPr>
          <w:trHeight w:val="223"/>
        </w:trPr>
        <w:tc>
          <w:tcPr>
            <w:tcW w:w="6200" w:type="dxa"/>
            <w:vAlign w:val="bottom"/>
            <w:tcBorders>
              <w:bottom w:val="single" w:sz="8" w:color="DBDBDB"/>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0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Lease cost:</w:t>
            </w:r>
          </w:p>
        </w:tc>
        <w:tc>
          <w:tcPr>
            <w:tcW w:w="9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Short-term lease cost</w:t>
            </w:r>
          </w:p>
        </w:tc>
        <w:tc>
          <w:tcPr>
            <w:tcW w:w="98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620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6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information:</w:t>
            </w:r>
          </w:p>
        </w:tc>
        <w:tc>
          <w:tcPr>
            <w:tcW w:w="9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Investing cash outflows from operating leases</w:t>
            </w: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Borders>
              <w:bottom w:val="single" w:sz="8" w:color="DBDBDB"/>
            </w:tcBorders>
          </w:tcPr>
          <w:p>
            <w:pPr>
              <w:spacing w:after="0"/>
              <w:rPr>
                <w:sz w:val="20"/>
                <w:szCs w:val="20"/>
                <w:color w:val="auto"/>
              </w:rPr>
            </w:pPr>
          </w:p>
        </w:tc>
        <w:tc>
          <w:tcPr>
            <w:tcW w:w="420" w:type="dxa"/>
            <w:vAlign w:val="bottom"/>
            <w:tcBorders>
              <w:bottom w:val="single" w:sz="8" w:color="DBDBDB"/>
            </w:tcBorders>
          </w:tcPr>
          <w:p>
            <w:pPr>
              <w:spacing w:after="0"/>
              <w:rPr>
                <w:sz w:val="20"/>
                <w:szCs w:val="20"/>
                <w:color w:val="auto"/>
              </w:rPr>
            </w:pPr>
          </w:p>
        </w:tc>
        <w:tc>
          <w:tcPr>
            <w:tcW w:w="2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December 31, 2024</w:t>
            </w:r>
          </w:p>
        </w:tc>
        <w:tc>
          <w:tcPr>
            <w:tcW w:w="120" w:type="dxa"/>
            <w:vAlign w:val="bottom"/>
            <w:tcBorders>
              <w:bottom w:val="single" w:sz="8" w:color="DBDBDB"/>
            </w:tcBorders>
          </w:tcPr>
          <w:p>
            <w:pPr>
              <w:spacing w:after="0"/>
              <w:rPr>
                <w:sz w:val="20"/>
                <w:szCs w:val="20"/>
                <w:color w:val="auto"/>
              </w:rPr>
            </w:pPr>
          </w:p>
        </w:tc>
        <w:tc>
          <w:tcPr>
            <w:tcW w:w="6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Weighted average remaining lease term - operating leases</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3.03 years</w:t>
            </w: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 years</w:t>
            </w:r>
          </w:p>
        </w:tc>
        <w:tc>
          <w:tcPr>
            <w:tcW w:w="0" w:type="dxa"/>
            <w:vAlign w:val="bottom"/>
          </w:tcPr>
          <w:p>
            <w:pPr>
              <w:spacing w:after="0"/>
              <w:rPr>
                <w:sz w:val="1"/>
                <w:szCs w:val="1"/>
                <w:color w:val="auto"/>
              </w:rPr>
            </w:pPr>
          </w:p>
        </w:tc>
      </w:tr>
      <w:tr>
        <w:trPr>
          <w:trHeight w:val="239"/>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5.99 %</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7.02 %</w:t>
            </w:r>
          </w:p>
        </w:tc>
        <w:tc>
          <w:tcPr>
            <w:tcW w:w="0" w:type="dxa"/>
            <w:vAlign w:val="bottom"/>
          </w:tcPr>
          <w:p>
            <w:pPr>
              <w:spacing w:after="0"/>
              <w:rPr>
                <w:sz w:val="1"/>
                <w:szCs w:val="1"/>
                <w:color w:val="auto"/>
              </w:rPr>
            </w:pPr>
          </w:p>
        </w:tc>
      </w:tr>
      <w:tr>
        <w:trPr>
          <w:trHeight w:val="454"/>
        </w:trPr>
        <w:tc>
          <w:tcPr>
            <w:tcW w:w="5640" w:type="dxa"/>
            <w:vAlign w:val="bottom"/>
          </w:tcPr>
          <w:p>
            <w:pPr>
              <w:ind w:left="420"/>
              <w:spacing w:after="0"/>
              <w:rPr>
                <w:sz w:val="20"/>
                <w:szCs w:val="20"/>
                <w:color w:val="auto"/>
              </w:rPr>
            </w:pPr>
            <w:r>
              <w:rPr>
                <w:rFonts w:ascii="Arial" w:cs="Arial" w:eastAsia="Arial" w:hAnsi="Arial"/>
                <w:sz w:val="18"/>
                <w:szCs w:val="18"/>
                <w:color w:val="auto"/>
              </w:rPr>
              <w:t>Maturity analysis of operating lease liabilities is presented below:</w:t>
            </w:r>
          </w:p>
        </w:tc>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5640" w:type="dxa"/>
            <w:vAlign w:val="bottom"/>
            <w:tcBorders>
              <w:bottom w:val="single" w:sz="8" w:color="DBDBDB"/>
            </w:tcBorders>
          </w:tcPr>
          <w:p>
            <w:pPr>
              <w:spacing w:after="0"/>
              <w:rPr>
                <w:sz w:val="24"/>
                <w:szCs w:val="24"/>
                <w:color w:val="auto"/>
              </w:rPr>
            </w:pPr>
          </w:p>
        </w:tc>
        <w:tc>
          <w:tcPr>
            <w:tcW w:w="420" w:type="dxa"/>
            <w:vAlign w:val="bottom"/>
            <w:tcBorders>
              <w:bottom w:val="single" w:sz="8" w:color="DBDBDB"/>
            </w:tcBorders>
          </w:tcPr>
          <w:p>
            <w:pPr>
              <w:spacing w:after="0"/>
              <w:rPr>
                <w:sz w:val="24"/>
                <w:szCs w:val="24"/>
                <w:color w:val="auto"/>
              </w:rPr>
            </w:pPr>
          </w:p>
        </w:tc>
        <w:tc>
          <w:tcPr>
            <w:tcW w:w="250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2028</w:t>
            </w:r>
          </w:p>
        </w:tc>
        <w:tc>
          <w:tcPr>
            <w:tcW w:w="4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64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lease payments</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imputed interest</w:t>
            </w:r>
          </w:p>
        </w:tc>
        <w:tc>
          <w:tcPr>
            <w:tcW w:w="42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6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Present value of lease liabilities</w:t>
            </w:r>
          </w:p>
        </w:tc>
        <w:tc>
          <w:tcPr>
            <w:tcW w:w="420" w:type="dxa"/>
            <w:vAlign w:val="bottom"/>
            <w:shd w:val="clear" w:color="auto" w:fill="DBDBDB"/>
          </w:tcPr>
          <w:p>
            <w:pPr>
              <w:spacing w:after="0"/>
              <w:rPr>
                <w:sz w:val="19"/>
                <w:szCs w:val="19"/>
                <w:color w:val="auto"/>
              </w:rPr>
            </w:pPr>
          </w:p>
        </w:tc>
        <w:tc>
          <w:tcPr>
            <w:tcW w:w="2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current maturities</w:t>
            </w:r>
          </w:p>
        </w:tc>
        <w:tc>
          <w:tcPr>
            <w:tcW w:w="42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Present value of lease liabilities, less current maturities</w:t>
            </w:r>
          </w:p>
        </w:tc>
        <w:tc>
          <w:tcPr>
            <w:tcW w:w="420" w:type="dxa"/>
            <w:vAlign w:val="bottom"/>
            <w:tcBorders>
              <w:bottom w:val="single" w:sz="8" w:color="DBDBDB"/>
            </w:tcBorders>
            <w:shd w:val="clear" w:color="auto" w:fill="DBDBDB"/>
          </w:tcPr>
          <w:p>
            <w:pPr>
              <w:spacing w:after="0"/>
              <w:rPr>
                <w:sz w:val="21"/>
                <w:szCs w:val="21"/>
                <w:color w:val="auto"/>
              </w:rPr>
            </w:pPr>
          </w:p>
        </w:tc>
        <w:tc>
          <w:tcPr>
            <w:tcW w:w="25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56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DBDBDB"/>
            </w:tcBorders>
            <w:vMerge w:val="restart"/>
          </w:tcPr>
          <w:p>
            <w:pPr>
              <w:jc w:val="right"/>
              <w:ind w:right="50"/>
              <w:spacing w:after="0"/>
              <w:rPr>
                <w:sz w:val="20"/>
                <w:szCs w:val="20"/>
                <w:color w:val="auto"/>
              </w:rPr>
            </w:pPr>
            <w:r>
              <w:rPr>
                <w:rFonts w:ascii="Arial" w:cs="Arial" w:eastAsia="Arial" w:hAnsi="Arial"/>
                <w:sz w:val="18"/>
                <w:szCs w:val="18"/>
                <w:color w:val="auto"/>
              </w:rPr>
              <w:t>99</w:t>
            </w:r>
          </w:p>
        </w:tc>
        <w:tc>
          <w:tcPr>
            <w:tcW w:w="25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564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80" w:hanging="354"/>
        <w:spacing w:after="0"/>
        <w:tabs>
          <w:tab w:leader="none" w:pos="380" w:val="left"/>
        </w:tabs>
        <w:numPr>
          <w:ilvl w:val="0"/>
          <w:numId w:val="42"/>
        </w:numPr>
        <w:rPr>
          <w:rFonts w:ascii="Arial" w:cs="Arial" w:eastAsia="Arial" w:hAnsi="Arial"/>
          <w:sz w:val="18"/>
          <w:szCs w:val="18"/>
          <w:b w:val="1"/>
          <w:bCs w:val="1"/>
          <w:color w:val="00386C"/>
        </w:rPr>
      </w:pPr>
      <w:r>
        <w:rPr>
          <w:rFonts w:ascii="Arial" w:cs="Arial" w:eastAsia="Arial" w:hAnsi="Arial"/>
          <w:sz w:val="18"/>
          <w:szCs w:val="18"/>
          <w:b w:val="1"/>
          <w:bCs w:val="1"/>
          <w:color w:val="00386C"/>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5657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revenue disaggregated by operating area and product type,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Year Ended December 31, 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20" w:type="dxa"/>
            <w:vAlign w:val="bottom"/>
          </w:tcPr>
          <w:p>
            <w:pPr>
              <w:spacing w:after="0"/>
              <w:rPr>
                <w:sz w:val="19"/>
                <w:szCs w:val="19"/>
                <w:color w:val="auto"/>
              </w:rPr>
            </w:pPr>
          </w:p>
        </w:tc>
        <w:tc>
          <w:tcPr>
            <w:tcW w:w="1640" w:type="dxa"/>
            <w:vAlign w:val="bottom"/>
            <w:gridSpan w:val="2"/>
          </w:tcPr>
          <w:p>
            <w:pPr>
              <w:ind w:left="480"/>
              <w:spacing w:after="0"/>
              <w:rPr>
                <w:sz w:val="20"/>
                <w:szCs w:val="20"/>
                <w:color w:val="auto"/>
              </w:rPr>
            </w:pPr>
            <w:r>
              <w:rPr>
                <w:rFonts w:ascii="Arial" w:cs="Arial" w:eastAsia="Arial" w:hAnsi="Arial"/>
                <w:sz w:val="18"/>
                <w:szCs w:val="18"/>
                <w:b w:val="1"/>
                <w:bCs w:val="1"/>
                <w:color w:val="auto"/>
              </w:rPr>
              <w:t>Oil</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2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1,205</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0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428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r>
      <w:tr>
        <w:trPr>
          <w:trHeight w:val="21"/>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28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48"/>
        </w:trPr>
        <w:tc>
          <w:tcPr>
            <w:tcW w:w="42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1,095</w:t>
            </w:r>
          </w:p>
        </w:tc>
        <w:tc>
          <w:tcPr>
            <w:tcW w:w="22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1,290</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 2023</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60" w:type="dxa"/>
            <w:vAlign w:val="bottom"/>
          </w:tcPr>
          <w:p>
            <w:pPr>
              <w:spacing w:after="0"/>
              <w:rPr>
                <w:sz w:val="19"/>
                <w:szCs w:val="19"/>
                <w:color w:val="auto"/>
              </w:rPr>
            </w:pPr>
          </w:p>
        </w:tc>
        <w:tc>
          <w:tcPr>
            <w:tcW w:w="1560" w:type="dxa"/>
            <w:vAlign w:val="bottom"/>
            <w:gridSpan w:val="2"/>
          </w:tcPr>
          <w:p>
            <w:pPr>
              <w:ind w:left="420"/>
              <w:spacing w:after="0"/>
              <w:rPr>
                <w:sz w:val="20"/>
                <w:szCs w:val="20"/>
                <w:color w:val="auto"/>
              </w:rPr>
            </w:pPr>
            <w:r>
              <w:rPr>
                <w:rFonts w:ascii="Arial" w:cs="Arial" w:eastAsia="Arial" w:hAnsi="Arial"/>
                <w:sz w:val="18"/>
                <w:szCs w:val="18"/>
                <w:b w:val="1"/>
                <w:bCs w:val="1"/>
                <w:color w:val="auto"/>
              </w:rPr>
              <w:t>Oil</w:t>
            </w: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NGL</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c>
          <w:tcPr>
            <w:tcW w:w="22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220" w:type="dxa"/>
            <w:vAlign w:val="bottom"/>
            <w:tcBorders>
              <w:top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1,483</w:t>
            </w:r>
          </w:p>
        </w:tc>
      </w:tr>
      <w:tr>
        <w:trPr>
          <w:trHeight w:val="230"/>
        </w:trPr>
        <w:tc>
          <w:tcPr>
            <w:tcW w:w="4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200" w:type="dxa"/>
            <w:vAlign w:val="bottom"/>
            <w:tcBorders>
              <w:bottom w:val="single" w:sz="8" w:color="auto"/>
            </w:tcBorders>
            <w:shd w:val="clear" w:color="auto" w:fill="DBDBDB"/>
          </w:tcPr>
          <w:p>
            <w:pPr>
              <w:spacing w:after="0"/>
              <w:rPr>
                <w:sz w:val="19"/>
                <w:szCs w:val="19"/>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23"/>
        </w:trPr>
        <w:tc>
          <w:tcPr>
            <w:tcW w:w="41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DBDBDB"/>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48"/>
        </w:trPr>
        <w:tc>
          <w:tcPr>
            <w:tcW w:w="4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989</w:t>
            </w:r>
          </w:p>
        </w:tc>
        <w:tc>
          <w:tcPr>
            <w:tcW w:w="2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bottom w:val="single" w:sz="8" w:color="DBDBDB"/>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ind w:right="10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179</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2,500</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 December 31, 2022</w:t>
            </w: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b w:val="1"/>
                <w:bCs w:val="1"/>
                <w:color w:val="auto"/>
              </w:rPr>
              <w:t>Natural Gas</w:t>
            </w:r>
          </w:p>
        </w:tc>
        <w:tc>
          <w:tcPr>
            <w:tcW w:w="260" w:type="dxa"/>
            <w:vAlign w:val="bottom"/>
          </w:tcPr>
          <w:p>
            <w:pPr>
              <w:spacing w:after="0"/>
              <w:rPr>
                <w:sz w:val="19"/>
                <w:szCs w:val="19"/>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Oil</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NGL</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c>
          <w:tcPr>
            <w:tcW w:w="20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3,481</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4,041</w:t>
            </w: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Eagle Ford</w:t>
            </w:r>
          </w:p>
        </w:tc>
        <w:tc>
          <w:tcPr>
            <w:tcW w:w="200" w:type="dxa"/>
            <w:vAlign w:val="bottom"/>
            <w:shd w:val="clear" w:color="auto" w:fill="DBDBDB"/>
          </w:tcPr>
          <w:p>
            <w:pPr>
              <w:spacing w:after="0"/>
              <w:rPr>
                <w:sz w:val="19"/>
                <w:szCs w:val="19"/>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1,798</w:t>
            </w:r>
          </w:p>
        </w:tc>
        <w:tc>
          <w:tcPr>
            <w:tcW w:w="2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3"/>
              </w:rPr>
              <w:t>212</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2,271</w:t>
            </w:r>
          </w:p>
        </w:tc>
      </w:tr>
      <w:tr>
        <w:trPr>
          <w:trHeight w:val="23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Powder River Basin</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DBDBDB"/>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8"/>
        </w:trPr>
        <w:tc>
          <w:tcPr>
            <w:tcW w:w="41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Natural gas, oil and NGL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7,803</w:t>
            </w:r>
          </w:p>
        </w:tc>
        <w:tc>
          <w:tcPr>
            <w:tcW w:w="2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1,864</w:t>
            </w:r>
          </w:p>
        </w:tc>
        <w:tc>
          <w:tcPr>
            <w:tcW w:w="2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225</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9,892</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4120" w:type="dxa"/>
            <w:vAlign w:val="bottom"/>
            <w:tcBorders>
              <w:bottom w:val="single" w:sz="8" w:color="DBDBDB"/>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48"/>
        </w:trPr>
        <w:tc>
          <w:tcPr>
            <w:tcW w:w="41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2,455</w:t>
            </w:r>
          </w:p>
        </w:tc>
        <w:tc>
          <w:tcPr>
            <w:tcW w:w="2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ind w:right="10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229</w:t>
            </w:r>
          </w:p>
        </w:tc>
        <w:tc>
          <w:tcPr>
            <w:tcW w:w="2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4,231</w:t>
            </w: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Major Customers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ended December 31, 2024, we had no purchaser that accounted for 10% or greater of our total revenues (before the effects of hedging). For the year ended December 31, 2023, we had sales to two purchasers that accounted for approximately 17% and 10% of total revenues (before the effects of hedging). For the year ended December 31, 2022, was had sales to two purchasers that accounted for approximately 13% and 10% of total revenues (before the effects of hedging). No other purchasers accounted for more than 10% of our total revenues during the years ended December 31, 2023 or 2022.</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as of December 31, 2024 and 2023 are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4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76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1,028</w:t>
            </w:r>
          </w:p>
        </w:tc>
        <w:tc>
          <w:tcPr>
            <w:tcW w:w="24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Joint interest</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4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76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accounts receivable, net</w:t>
            </w:r>
          </w:p>
        </w:tc>
        <w:tc>
          <w:tcPr>
            <w:tcW w:w="276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4140" w:type="dxa"/>
            <w:vAlign w:val="bottom"/>
            <w:tcBorders>
              <w:top w:val="single" w:sz="8" w:color="DBDBDB"/>
            </w:tcBorders>
          </w:tcPr>
          <w:p>
            <w:pPr>
              <w:spacing w:after="0" w:line="20" w:lineRule="exact"/>
              <w:rPr>
                <w:sz w:val="1"/>
                <w:szCs w:val="1"/>
                <w:color w:val="auto"/>
              </w:rPr>
            </w:pPr>
          </w:p>
        </w:tc>
        <w:tc>
          <w:tcPr>
            <w:tcW w:w="2760" w:type="dxa"/>
            <w:vAlign w:val="bottom"/>
            <w:tcBorders>
              <w:top w:val="single" w:sz="8" w:color="DBDBDB"/>
              <w:bottom w:val="single" w:sz="8" w:color="DBDBDB"/>
            </w:tcBorders>
            <w:vMerge w:val="restart"/>
          </w:tcPr>
          <w:p>
            <w:pPr>
              <w:jc w:val="right"/>
              <w:ind w:right="830"/>
              <w:spacing w:after="0"/>
              <w:rPr>
                <w:sz w:val="20"/>
                <w:szCs w:val="20"/>
                <w:color w:val="auto"/>
              </w:rPr>
            </w:pPr>
            <w:r>
              <w:rPr>
                <w:rFonts w:ascii="Arial" w:cs="Arial" w:eastAsia="Arial" w:hAnsi="Arial"/>
                <w:sz w:val="18"/>
                <w:szCs w:val="18"/>
                <w:color w:val="auto"/>
              </w:rPr>
              <w:t>101</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1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hanging="414"/>
        <w:spacing w:after="0"/>
        <w:tabs>
          <w:tab w:leader="none" w:pos="440" w:val="left"/>
        </w:tabs>
        <w:numPr>
          <w:ilvl w:val="0"/>
          <w:numId w:val="43"/>
        </w:numPr>
        <w:rPr>
          <w:rFonts w:ascii="Arial" w:cs="Arial" w:eastAsia="Arial" w:hAnsi="Arial"/>
          <w:sz w:val="18"/>
          <w:szCs w:val="18"/>
          <w:b w:val="1"/>
          <w:bCs w:val="1"/>
          <w:color w:val="00386C"/>
        </w:rPr>
      </w:pPr>
      <w:r>
        <w:rPr>
          <w:rFonts w:ascii="Arial" w:cs="Arial" w:eastAsia="Arial" w:hAnsi="Arial"/>
          <w:sz w:val="18"/>
          <w:szCs w:val="18"/>
          <w:b w:val="1"/>
          <w:bCs w:val="1"/>
          <w:color w:val="00386C"/>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8058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income tax expense (benefit) for each of the periods presented below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r>
      <w:tr>
        <w:trPr>
          <w:trHeight w:val="209"/>
        </w:trPr>
        <w:tc>
          <w:tcPr>
            <w:tcW w:w="6480" w:type="dxa"/>
            <w:vAlign w:val="bottom"/>
            <w:tcBorders>
              <w:bottom w:val="single" w:sz="8" w:color="DBDBDB"/>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r>
      <w:tr>
        <w:trPr>
          <w:trHeight w:val="210"/>
        </w:trPr>
        <w:tc>
          <w:tcPr>
            <w:tcW w:w="6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w:t>
            </w:r>
          </w:p>
        </w:tc>
        <w:tc>
          <w:tcPr>
            <w:tcW w:w="94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4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4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Current Income Taxes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6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w:t>
            </w:r>
          </w:p>
        </w:tc>
        <w:tc>
          <w:tcPr>
            <w:tcW w:w="94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29"/>
        </w:trPr>
        <w:tc>
          <w:tcPr>
            <w:tcW w:w="64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64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Income Taxes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r>
      <w:tr>
        <w:trPr>
          <w:trHeight w:val="248"/>
        </w:trPr>
        <w:tc>
          <w:tcPr>
            <w:tcW w:w="64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DBDBDB"/>
          </w:tcPr>
          <w:p>
            <w:pPr>
              <w:jc w:val="right"/>
              <w:ind w:right="73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(1,285)</w:t>
            </w:r>
          </w:p>
        </w:tc>
      </w:tr>
      <w:tr>
        <w:trPr>
          <w:trHeight w:val="20"/>
        </w:trPr>
        <w:tc>
          <w:tcPr>
            <w:tcW w:w="648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income tax expense (benefit) reported in our consolidated statement of operations is different from the federal income tax expense (benefit) computed using the federal statutory rate for the following reasons: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Years Ended December 31,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DBDBDB"/>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DBDBDB"/>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140" w:type="dxa"/>
            <w:vAlign w:val="bottom"/>
            <w:tcBorders>
              <w:bottom w:val="single" w:sz="8" w:color="DBDBDB"/>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12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Income tax expense (benefit) at the federal statutory rate of</w:t>
            </w:r>
          </w:p>
        </w:tc>
        <w:tc>
          <w:tcPr>
            <w:tcW w:w="300" w:type="dxa"/>
            <w:vAlign w:val="bottom"/>
            <w:vMerge w:val="restart"/>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DBDBDB"/>
          </w:tcPr>
          <w:p>
            <w:pPr>
              <w:jc w:val="right"/>
              <w:ind w:right="231"/>
              <w:spacing w:after="0"/>
              <w:rPr>
                <w:sz w:val="20"/>
                <w:szCs w:val="20"/>
                <w:color w:val="auto"/>
              </w:rPr>
            </w:pPr>
            <w:r>
              <w:rPr>
                <w:rFonts w:ascii="Arial" w:cs="Arial" w:eastAsia="Arial" w:hAnsi="Arial"/>
                <w:sz w:val="18"/>
                <w:szCs w:val="18"/>
                <w:color w:val="auto"/>
              </w:rPr>
              <w:t>(177)</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540" w:type="dxa"/>
            <w:vAlign w:val="bottom"/>
            <w:gridSpan w:val="2"/>
            <w:vMerge w:val="restart"/>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DBDBDB"/>
          </w:tcPr>
          <w:p>
            <w:pPr>
              <w:jc w:val="right"/>
              <w:ind w:right="291"/>
              <w:spacing w:after="0"/>
              <w:rPr>
                <w:sz w:val="20"/>
                <w:szCs w:val="20"/>
                <w:color w:val="auto"/>
              </w:rPr>
            </w:pPr>
            <w:r>
              <w:rPr>
                <w:rFonts w:ascii="Arial" w:cs="Arial" w:eastAsia="Arial" w:hAnsi="Arial"/>
                <w:sz w:val="18"/>
                <w:szCs w:val="18"/>
                <w:color w:val="auto"/>
              </w:rPr>
              <w:t>655</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140" w:type="dxa"/>
            <w:vAlign w:val="bottom"/>
            <w:shd w:val="clear" w:color="auto" w:fill="DBDBDB"/>
          </w:tcPr>
          <w:p>
            <w:pPr>
              <w:spacing w:after="0"/>
              <w:rPr>
                <w:sz w:val="13"/>
                <w:szCs w:val="13"/>
                <w:color w:val="auto"/>
              </w:rPr>
            </w:pPr>
          </w:p>
        </w:tc>
        <w:tc>
          <w:tcPr>
            <w:tcW w:w="240" w:type="dxa"/>
            <w:vAlign w:val="bottom"/>
            <w:vMerge w:val="restart"/>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DBDBDB"/>
          </w:tcPr>
          <w:p>
            <w:pPr>
              <w:jc w:val="right"/>
              <w:ind w:right="271"/>
              <w:spacing w:after="0"/>
              <w:rPr>
                <w:sz w:val="20"/>
                <w:szCs w:val="20"/>
                <w:color w:val="auto"/>
              </w:rPr>
            </w:pPr>
            <w:r>
              <w:rPr>
                <w:rFonts w:ascii="Arial" w:cs="Arial" w:eastAsia="Arial" w:hAnsi="Arial"/>
                <w:sz w:val="18"/>
                <w:szCs w:val="18"/>
                <w:color w:val="auto"/>
              </w:rPr>
              <w:t>767</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21%</w:t>
            </w:r>
          </w:p>
        </w:tc>
        <w:tc>
          <w:tcPr>
            <w:tcW w:w="300" w:type="dxa"/>
            <w:vAlign w:val="bottom"/>
            <w:vMerge w:val="continue"/>
            <w:shd w:val="clear" w:color="auto" w:fill="DBDBDB"/>
          </w:tcPr>
          <w:p>
            <w:pPr>
              <w:spacing w:after="0"/>
              <w:rPr>
                <w:sz w:val="21"/>
                <w:szCs w:val="21"/>
                <w:color w:val="auto"/>
              </w:rPr>
            </w:pPr>
          </w:p>
        </w:tc>
        <w:tc>
          <w:tcPr>
            <w:tcW w:w="920" w:type="dxa"/>
            <w:vAlign w:val="bottom"/>
            <w:vMerge w:val="continue"/>
            <w:shd w:val="clear" w:color="auto" w:fill="DBDBDB"/>
          </w:tcPr>
          <w:p>
            <w:pPr>
              <w:spacing w:after="0"/>
              <w:rPr>
                <w:sz w:val="21"/>
                <w:szCs w:val="21"/>
                <w:color w:val="auto"/>
              </w:rPr>
            </w:pPr>
          </w:p>
        </w:tc>
        <w:tc>
          <w:tcPr>
            <w:tcW w:w="680" w:type="dxa"/>
            <w:vAlign w:val="bottom"/>
            <w:vMerge w:val="continue"/>
            <w:shd w:val="clear" w:color="auto" w:fill="DBDBDB"/>
          </w:tcPr>
          <w:p>
            <w:pPr>
              <w:spacing w:after="0"/>
              <w:rPr>
                <w:sz w:val="21"/>
                <w:szCs w:val="21"/>
                <w:color w:val="auto"/>
              </w:rPr>
            </w:pPr>
          </w:p>
        </w:tc>
        <w:tc>
          <w:tcPr>
            <w:tcW w:w="540" w:type="dxa"/>
            <w:vAlign w:val="bottom"/>
            <w:gridSpan w:val="2"/>
            <w:vMerge w:val="continue"/>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680" w:type="dxa"/>
            <w:vAlign w:val="bottom"/>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40" w:type="dxa"/>
            <w:vAlign w:val="bottom"/>
            <w:vMerge w:val="continue"/>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7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State income taxes (net of federal income tax benefit)</w:t>
            </w:r>
          </w:p>
        </w:tc>
        <w:tc>
          <w:tcPr>
            <w:tcW w:w="300" w:type="dxa"/>
            <w:vAlign w:val="bottom"/>
          </w:tcPr>
          <w:p>
            <w:pPr>
              <w:spacing w:after="0"/>
              <w:rPr>
                <w:sz w:val="19"/>
                <w:szCs w:val="19"/>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(5)</w:t>
            </w:r>
          </w:p>
        </w:tc>
        <w:tc>
          <w:tcPr>
            <w:tcW w:w="680" w:type="dxa"/>
            <w:vAlign w:val="bottom"/>
          </w:tcPr>
          <w:p>
            <w:pPr>
              <w:jc w:val="right"/>
              <w:spacing w:after="0"/>
              <w:rPr>
                <w:sz w:val="20"/>
                <w:szCs w:val="20"/>
                <w:color w:val="auto"/>
              </w:rPr>
            </w:pPr>
            <w:r>
              <w:rPr>
                <w:rFonts w:ascii="Arial" w:cs="Arial" w:eastAsia="Arial" w:hAnsi="Arial"/>
                <w:sz w:val="18"/>
                <w:szCs w:val="18"/>
                <w:color w:val="auto"/>
              </w:rPr>
              <w:t>0.6 %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76</w:t>
            </w:r>
          </w:p>
        </w:tc>
        <w:tc>
          <w:tcPr>
            <w:tcW w:w="680" w:type="dxa"/>
            <w:vAlign w:val="bottom"/>
          </w:tcPr>
          <w:p>
            <w:pPr>
              <w:jc w:val="right"/>
              <w:spacing w:after="0"/>
              <w:rPr>
                <w:sz w:val="20"/>
                <w:szCs w:val="20"/>
                <w:color w:val="auto"/>
              </w:rPr>
            </w:pPr>
            <w:r>
              <w:rPr>
                <w:rFonts w:ascii="Arial" w:cs="Arial" w:eastAsia="Arial" w:hAnsi="Arial"/>
                <w:sz w:val="18"/>
                <w:szCs w:val="18"/>
                <w:color w:val="auto"/>
              </w:rPr>
              <w:t>2.5 %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45</w:t>
            </w:r>
          </w:p>
        </w:tc>
        <w:tc>
          <w:tcPr>
            <w:tcW w:w="7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remeasurement due to state rate changes</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47</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31"/>
              <w:spacing w:after="0"/>
              <w:rPr>
                <w:sz w:val="20"/>
                <w:szCs w:val="20"/>
                <w:color w:val="auto"/>
              </w:rPr>
            </w:pPr>
            <w:r>
              <w:rPr>
                <w:rFonts w:ascii="Arial" w:cs="Arial" w:eastAsia="Arial" w:hAnsi="Arial"/>
                <w:sz w:val="18"/>
                <w:szCs w:val="18"/>
                <w:color w:val="auto"/>
              </w:rPr>
              <w:t>(20)</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271"/>
              <w:spacing w:after="0"/>
              <w:rPr>
                <w:sz w:val="20"/>
                <w:szCs w:val="20"/>
                <w:color w:val="auto"/>
              </w:rPr>
            </w:pPr>
            <w:r>
              <w:rPr>
                <w:rFonts w:ascii="Arial" w:cs="Arial" w:eastAsia="Arial" w:hAnsi="Arial"/>
                <w:sz w:val="18"/>
                <w:szCs w:val="18"/>
                <w:color w:val="auto"/>
              </w:rPr>
              <w:t>30</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Change in valuation allowance due to acquisitions</w:t>
            </w:r>
          </w:p>
        </w:tc>
        <w:tc>
          <w:tcPr>
            <w:tcW w:w="30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14</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19</w:t>
            </w:r>
          </w:p>
        </w:tc>
        <w:tc>
          <w:tcPr>
            <w:tcW w:w="720" w:type="dxa"/>
            <w:vAlign w:val="bottom"/>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175"/>
        </w:trPr>
        <w:tc>
          <w:tcPr>
            <w:tcW w:w="512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Change in valuation allowance excluding impact of</w:t>
            </w:r>
          </w:p>
        </w:tc>
        <w:tc>
          <w:tcPr>
            <w:tcW w:w="300" w:type="dxa"/>
            <w:vAlign w:val="bottom"/>
            <w:shd w:val="clear" w:color="auto" w:fill="DBDBDB"/>
          </w:tcPr>
          <w:p>
            <w:pPr>
              <w:spacing w:after="0"/>
              <w:rPr>
                <w:sz w:val="15"/>
                <w:szCs w:val="15"/>
                <w:color w:val="auto"/>
              </w:rPr>
            </w:pPr>
          </w:p>
        </w:tc>
        <w:tc>
          <w:tcPr>
            <w:tcW w:w="920" w:type="dxa"/>
            <w:vAlign w:val="bottom"/>
            <w:vMerge w:val="restart"/>
            <w:shd w:val="clear" w:color="auto" w:fill="DBDBDB"/>
          </w:tcPr>
          <w:p>
            <w:pPr>
              <w:jc w:val="right"/>
              <w:ind w:right="231"/>
              <w:spacing w:after="0"/>
              <w:rPr>
                <w:sz w:val="20"/>
                <w:szCs w:val="20"/>
                <w:color w:val="auto"/>
              </w:rPr>
            </w:pPr>
            <w:r>
              <w:rPr>
                <w:rFonts w:ascii="Arial" w:cs="Arial" w:eastAsia="Arial" w:hAnsi="Arial"/>
                <w:sz w:val="18"/>
                <w:szCs w:val="18"/>
                <w:color w:val="auto"/>
              </w:rPr>
              <w:t>(18)</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2.1 %</w:t>
            </w:r>
          </w:p>
        </w:tc>
        <w:tc>
          <w:tcPr>
            <w:tcW w:w="2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900" w:type="dxa"/>
            <w:vAlign w:val="bottom"/>
            <w:vMerge w:val="restart"/>
            <w:shd w:val="clear" w:color="auto" w:fill="DBDBDB"/>
          </w:tcPr>
          <w:p>
            <w:pPr>
              <w:jc w:val="right"/>
              <w:ind w:right="231"/>
              <w:spacing w:after="0"/>
              <w:rPr>
                <w:sz w:val="20"/>
                <w:szCs w:val="20"/>
                <w:color w:val="auto"/>
              </w:rPr>
            </w:pPr>
            <w:r>
              <w:rPr>
                <w:rFonts w:ascii="Arial" w:cs="Arial" w:eastAsia="Arial" w:hAnsi="Arial"/>
                <w:sz w:val="18"/>
                <w:szCs w:val="18"/>
                <w:color w:val="auto"/>
              </w:rPr>
              <w:t>(33)</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000" w:type="dxa"/>
            <w:vAlign w:val="bottom"/>
            <w:vMerge w:val="restart"/>
            <w:shd w:val="clear" w:color="auto" w:fill="DBDBDB"/>
          </w:tcPr>
          <w:p>
            <w:pPr>
              <w:jc w:val="right"/>
              <w:ind w:right="211"/>
              <w:spacing w:after="0"/>
              <w:rPr>
                <w:sz w:val="20"/>
                <w:szCs w:val="20"/>
                <w:color w:val="auto"/>
              </w:rPr>
            </w:pPr>
            <w:r>
              <w:rPr>
                <w:rFonts w:ascii="Arial" w:cs="Arial" w:eastAsia="Arial" w:hAnsi="Arial"/>
                <w:sz w:val="18"/>
                <w:szCs w:val="18"/>
                <w:color w:val="auto"/>
              </w:rPr>
              <w:t>(2,147)</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DBDBDB"/>
          </w:tcPr>
          <w:p>
            <w:pPr>
              <w:spacing w:after="0"/>
              <w:rPr>
                <w:sz w:val="21"/>
                <w:szCs w:val="21"/>
                <w:color w:val="auto"/>
              </w:rPr>
            </w:pPr>
          </w:p>
        </w:tc>
        <w:tc>
          <w:tcPr>
            <w:tcW w:w="920" w:type="dxa"/>
            <w:vAlign w:val="bottom"/>
            <w:vMerge w:val="continue"/>
            <w:shd w:val="clear" w:color="auto" w:fill="DBDBDB"/>
          </w:tcPr>
          <w:p>
            <w:pPr>
              <w:spacing w:after="0"/>
              <w:rPr>
                <w:sz w:val="21"/>
                <w:szCs w:val="21"/>
                <w:color w:val="auto"/>
              </w:rPr>
            </w:pPr>
          </w:p>
        </w:tc>
        <w:tc>
          <w:tcPr>
            <w:tcW w:w="680" w:type="dxa"/>
            <w:vAlign w:val="bottom"/>
            <w:vMerge w:val="continue"/>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680" w:type="dxa"/>
            <w:vAlign w:val="bottom"/>
            <w:vMerge w:val="continue"/>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000" w:type="dxa"/>
            <w:vAlign w:val="bottom"/>
            <w:vMerge w:val="continue"/>
            <w:shd w:val="clear" w:color="auto" w:fill="DBDBDB"/>
          </w:tcPr>
          <w:p>
            <w:pPr>
              <w:spacing w:after="0"/>
              <w:rPr>
                <w:sz w:val="21"/>
                <w:szCs w:val="21"/>
                <w:color w:val="auto"/>
              </w:rPr>
            </w:pPr>
          </w:p>
        </w:tc>
        <w:tc>
          <w:tcPr>
            <w:tcW w:w="72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300" w:type="dxa"/>
            <w:vAlign w:val="bottom"/>
          </w:tcPr>
          <w:p>
            <w:pPr>
              <w:spacing w:after="0"/>
              <w:rPr>
                <w:sz w:val="19"/>
                <w:szCs w:val="19"/>
                <w:color w:val="auto"/>
              </w:rPr>
            </w:pPr>
          </w:p>
        </w:tc>
        <w:tc>
          <w:tcPr>
            <w:tcW w:w="9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680" w:type="dxa"/>
            <w:vAlign w:val="bottom"/>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231"/>
              <w:spacing w:after="0"/>
              <w:rPr>
                <w:sz w:val="20"/>
                <w:szCs w:val="20"/>
                <w:color w:val="auto"/>
              </w:rPr>
            </w:pPr>
            <w:r>
              <w:rPr>
                <w:rFonts w:ascii="Arial" w:cs="Arial" w:eastAsia="Arial" w:hAnsi="Arial"/>
                <w:sz w:val="18"/>
                <w:szCs w:val="18"/>
                <w:color w:val="auto"/>
              </w:rPr>
              <w:t>(3)</w:t>
            </w: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DBDBDB"/>
          </w:tcPr>
          <w:p>
            <w:pPr>
              <w:spacing w:after="0"/>
              <w:rPr>
                <w:sz w:val="19"/>
                <w:szCs w:val="19"/>
                <w:color w:val="auto"/>
              </w:rPr>
            </w:pPr>
          </w:p>
        </w:tc>
        <w:tc>
          <w:tcPr>
            <w:tcW w:w="92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22</w:t>
            </w:r>
          </w:p>
        </w:tc>
        <w:tc>
          <w:tcPr>
            <w:tcW w:w="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shd w:val="clear" w:color="auto" w:fill="DBDBDB"/>
          </w:tcPr>
          <w:p>
            <w:pPr>
              <w:spacing w:after="0"/>
              <w:rPr>
                <w:sz w:val="19"/>
                <w:szCs w:val="19"/>
                <w:color w:val="auto"/>
              </w:rPr>
            </w:pPr>
          </w:p>
        </w:tc>
        <w:tc>
          <w:tcPr>
            <w:tcW w:w="1000" w:type="dxa"/>
            <w:vAlign w:val="bottom"/>
            <w:shd w:val="clear" w:color="auto" w:fill="DBDBDB"/>
          </w:tcPr>
          <w:p>
            <w:pPr>
              <w:jc w:val="right"/>
              <w:ind w:right="271"/>
              <w:spacing w:after="0"/>
              <w:rPr>
                <w:sz w:val="20"/>
                <w:szCs w:val="20"/>
                <w:color w:val="auto"/>
              </w:rPr>
            </w:pPr>
            <w:r>
              <w:rPr>
                <w:rFonts w:ascii="Arial" w:cs="Arial" w:eastAsia="Arial" w:hAnsi="Arial"/>
                <w:sz w:val="18"/>
                <w:szCs w:val="18"/>
                <w:color w:val="auto"/>
              </w:rPr>
              <w:t>2</w:t>
            </w: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Compensation costs related to acquired company</w:t>
            </w:r>
          </w:p>
        </w:tc>
        <w:tc>
          <w:tcPr>
            <w:tcW w:w="300" w:type="dxa"/>
            <w:vAlign w:val="bottom"/>
          </w:tcPr>
          <w:p>
            <w:pPr>
              <w:spacing w:after="0"/>
              <w:rPr>
                <w:sz w:val="19"/>
                <w:szCs w:val="19"/>
                <w:color w:val="auto"/>
              </w:rPr>
            </w:pPr>
          </w:p>
        </w:tc>
        <w:tc>
          <w:tcPr>
            <w:tcW w:w="920" w:type="dxa"/>
            <w:vAlign w:val="bottom"/>
          </w:tcPr>
          <w:p>
            <w:pPr>
              <w:jc w:val="right"/>
              <w:ind w:right="291"/>
              <w:spacing w:after="0"/>
              <w:rPr>
                <w:sz w:val="20"/>
                <w:szCs w:val="20"/>
                <w:color w:val="auto"/>
              </w:rPr>
            </w:pPr>
            <w:r>
              <w:rPr>
                <w:rFonts w:ascii="Arial" w:cs="Arial" w:eastAsia="Arial" w:hAnsi="Arial"/>
                <w:sz w:val="18"/>
                <w:szCs w:val="18"/>
                <w:color w:val="auto"/>
              </w:rPr>
              <w:t>11</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00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ind w:right="291"/>
              <w:spacing w:after="0"/>
              <w:rPr>
                <w:sz w:val="20"/>
                <w:szCs w:val="20"/>
                <w:color w:val="auto"/>
              </w:rPr>
            </w:pPr>
            <w:r>
              <w:rPr>
                <w:rFonts w:ascii="Arial" w:cs="Arial" w:eastAsia="Arial" w:hAnsi="Arial"/>
                <w:sz w:val="18"/>
                <w:szCs w:val="18"/>
                <w:color w:val="auto"/>
              </w:rPr>
              <w:t>10</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291"/>
              <w:spacing w:after="0"/>
              <w:rPr>
                <w:sz w:val="20"/>
                <w:szCs w:val="20"/>
                <w:color w:val="auto"/>
              </w:rPr>
            </w:pPr>
            <w:r>
              <w:rPr>
                <w:rFonts w:ascii="Arial" w:cs="Arial" w:eastAsia="Arial" w:hAnsi="Arial"/>
                <w:sz w:val="18"/>
                <w:szCs w:val="18"/>
                <w:color w:val="auto"/>
              </w:rPr>
              <w:t>23</w:t>
            </w: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0.7 %</w:t>
            </w:r>
          </w:p>
        </w:tc>
        <w:tc>
          <w:tcPr>
            <w:tcW w:w="1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ind w:right="271"/>
              <w:spacing w:after="0"/>
              <w:rPr>
                <w:sz w:val="20"/>
                <w:szCs w:val="20"/>
                <w:color w:val="auto"/>
              </w:rPr>
            </w:pPr>
            <w:r>
              <w:rPr>
                <w:rFonts w:ascii="Arial" w:cs="Arial" w:eastAsia="Arial" w:hAnsi="Arial"/>
                <w:sz w:val="18"/>
                <w:szCs w:val="18"/>
                <w:color w:val="auto"/>
              </w:rPr>
              <w:t>18</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15.1 %</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698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22.4 %</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(1,285)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2024, the Company’s overall effective tax rate decreased compared to 2023 due to the revaluation of state deferred taxes as a result of Louisiana’s recent enactment of a tax rate decrease and as a result of permanent differences for transaction and compensation costs associated with the Southwestern Merger. The Company’s effective tax rate in 2023 increased from 2022 due to the release of the valuation allowance in 2022 which resulted in that year being a net benefit.</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Deferred income taxes are provided to reflect temporary differences in the tax basis of assets and liabilities and their reported amounts in the financial statements. The tax-effected temporary differences, net operating loss (“NOL”) carryforwards and excess business interest expense carryforwards that comprise our deferred income taxes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0"/>
                <w:szCs w:val="20"/>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 2023</w:t>
            </w:r>
          </w:p>
        </w:tc>
      </w:tr>
      <w:tr>
        <w:trPr>
          <w:trHeight w:val="209"/>
        </w:trPr>
        <w:tc>
          <w:tcPr>
            <w:tcW w:w="6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880" w:type="dxa"/>
            <w:vAlign w:val="bottom"/>
            <w:tcBorders>
              <w:top w:val="single" w:sz="8" w:color="auto"/>
            </w:tcBorders>
            <w:shd w:val="clear" w:color="auto" w:fill="DBDBDB"/>
          </w:tcPr>
          <w:p>
            <w:pPr>
              <w:spacing w:after="0"/>
              <w:rPr>
                <w:sz w:val="18"/>
                <w:szCs w:val="18"/>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(1,730)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shd w:val="clear" w:color="auto" w:fill="DBDBDB"/>
          </w:tcPr>
          <w:p>
            <w:pPr>
              <w:spacing w:after="0"/>
              <w:rPr>
                <w:sz w:val="19"/>
                <w:szCs w:val="19"/>
                <w:color w:val="auto"/>
              </w:rPr>
            </w:pPr>
          </w:p>
        </w:tc>
        <w:tc>
          <w:tcPr>
            <w:tcW w:w="20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Right of use lease asset</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940" w:type="dxa"/>
            <w:vAlign w:val="bottom"/>
          </w:tcPr>
          <w:p>
            <w:pPr>
              <w:ind w:left="240"/>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r>
      <w:tr>
        <w:trPr>
          <w:trHeight w:val="74"/>
        </w:trPr>
        <w:tc>
          <w:tcPr>
            <w:tcW w:w="6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229"/>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Carrying value of debt</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Excess business interest expense carryforward</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Capital loss carryforwards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Tax credit carryforwards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DBDBDB"/>
          </w:tcPr>
          <w:p>
            <w:pPr>
              <w:spacing w:after="0"/>
              <w:rPr>
                <w:sz w:val="19"/>
                <w:szCs w:val="19"/>
                <w:color w:val="auto"/>
              </w:rPr>
            </w:pPr>
          </w:p>
        </w:tc>
        <w:tc>
          <w:tcPr>
            <w:tcW w:w="20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Future lease payments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9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r>
      <w:tr>
        <w:trPr>
          <w:trHeight w:val="223"/>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Valuation allowance</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69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Deferred tax assets after valuation allowance</w:t>
            </w: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r>
      <w:tr>
        <w:trPr>
          <w:trHeight w:val="248"/>
        </w:trPr>
        <w:tc>
          <w:tcPr>
            <w:tcW w:w="694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933</w:t>
            </w:r>
          </w:p>
        </w:tc>
      </w:tr>
      <w:tr>
        <w:trPr>
          <w:trHeight w:val="20"/>
        </w:trPr>
        <w:tc>
          <w:tcPr>
            <w:tcW w:w="69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880" w:type="dxa"/>
            <w:vAlign w:val="bottom"/>
            <w:tcBorders>
              <w:top w:val="single" w:sz="8" w:color="DBDBDB"/>
              <w:bottom w:val="single" w:sz="8" w:color="auto"/>
            </w:tcBorders>
          </w:tcPr>
          <w:p>
            <w:pPr>
              <w:spacing w:after="0" w:line="20" w:lineRule="exact"/>
              <w:rPr>
                <w:sz w:val="1"/>
                <w:szCs w:val="1"/>
                <w:color w:val="auto"/>
              </w:rPr>
            </w:pPr>
          </w:p>
        </w:tc>
      </w:tr>
      <w:tr>
        <w:trPr>
          <w:trHeight w:val="42"/>
        </w:trPr>
        <w:tc>
          <w:tcPr>
            <w:tcW w:w="6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80" w:type="dxa"/>
            <w:vAlign w:val="bottom"/>
          </w:tcPr>
          <w:p>
            <w:pPr>
              <w:spacing w:after="0"/>
              <w:rPr>
                <w:sz w:val="3"/>
                <w:szCs w:val="3"/>
                <w:color w:val="auto"/>
              </w:rPr>
            </w:pPr>
          </w:p>
        </w:tc>
      </w:tr>
      <w:tr>
        <w:trPr>
          <w:trHeight w:val="230"/>
        </w:trPr>
        <w:tc>
          <w:tcPr>
            <w:tcW w:w="6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Reflected in the accompanying balance sheets as:</w:t>
            </w:r>
          </w:p>
        </w:tc>
        <w:tc>
          <w:tcPr>
            <w:tcW w:w="16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880" w:type="dxa"/>
            <w:vAlign w:val="bottom"/>
            <w:shd w:val="clear" w:color="auto" w:fill="DBDBDB"/>
          </w:tcPr>
          <w:p>
            <w:pPr>
              <w:spacing w:after="0"/>
              <w:rPr>
                <w:sz w:val="19"/>
                <w:szCs w:val="19"/>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933</w:t>
            </w:r>
          </w:p>
        </w:tc>
      </w:tr>
      <w:tr>
        <w:trPr>
          <w:trHeight w:val="230"/>
        </w:trPr>
        <w:tc>
          <w:tcPr>
            <w:tcW w:w="69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4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r>
      <w:tr>
        <w:trPr>
          <w:trHeight w:val="21"/>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As of December 31, 2024 and 2023, we had deferred tax assets of $ 2.691 billion and $1.735 billion, respectively, upon which we had a valuation allowance of $ 343 million and $312 million, respectively. The net change in the valuation allowance of $31 million is primarily due to the additional valuation allowance recorded related to the acquisition of Southwestern tax attributes partially offset by the expiration of a capital loss carryforward and state net operating loss carryforwards. Of this $31 million net change in the valuation allowance, $35 million is reflected in components of stockholders’ equity which is partially offset by $4 million reflected as a component of income tax benefit in the consolidated statements of operations.</w:t>
      </w:r>
    </w:p>
    <w:p>
      <w:pPr>
        <w:spacing w:after="0" w:line="20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maintain a partial valuation allowance of $343 million against a portion of our federal and state deferred tax assets such as NOLs, credit carryovers, and capital losses, which may expire before we are able to utilize them due to the application of the limitations under Section 382 and the ordering in which such attributes may be applied.</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ability to utilize NOL carryforwards, disallowed business interest carryforwards, tax credits and possibly other tax attributes to reduce future taxable income and federal income tax is subject to various limitations under Section 382 of the Code. The utilization of such attributes may be subject to an annual limitation under Section 382 of the Code should transactions involving our equity result in a cumulative shift of more than 50% in the beneficial ownership of our stock during any three-year testing period (an “Ownership Change”).</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experienced an Ownership Change in 2021 (“First Ownership Change”). The amount of the annual limitation due to the First Ownership Change is $54 million. This limitation applies to our NOL carryforwards, disallowed business interest carryforwards and general business tax credits that existed at the time of the First Ownership Change until such attributes expire or are fully utilized. As a result of the Southwestern Merger on October 1, 2024, the Company experienced another Ownership Change (“Second Ownership Change”). The base amount of the annual limitation due to the Second Ownership Change has been estimated to be $380 million. This limitation applies to our NOL carryforwards, disallowed business interest carryforwards and general business credits generated subsequent to the First Ownership Change until such attributes expire or are fully utilized. We believe that we are in a net unrealized built-in gain position at the time of the Second Ownership Change, which may result in increases to the annual limitation amount for a 5-year period. Some states impose similar limitations on tax attribute utilization upon experiencing an Ownership Change.</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1, 2024, we completed the Southwestern Merger. For federal income tax purposes, the transaction qualified as a tax-free merger under Section 368 of the Code and, as a result, we acquired carryover tax basis in Southwestern’s assets and liabilities. We recorded a $479 million net deferred tax liability determined through business combination accounting. Additionally, we acquired NOL and interest expense carryforwards which were previously subject to base annual Section 382 limitations of $2 million and $ 48 million. The acquired NOL and interest expense carryforwards that were not previously subject to a base annual Section 382 limitation are now subject to a base annual Section 382 limitation of approximately $269 million as a result of the merger. The base annual limitation is estimated to be increased over the first five years for recognized built-in gains.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Marcellus Acquisition during 2022 was treated as a taxable asset acquisition with no tax carryovers acquired.</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2024, and after taking into account each of the foregoing matters, the federal NOLs are as follows:</w:t>
      </w:r>
    </w:p>
    <w:p>
      <w:pPr>
        <w:spacing w:after="0" w:line="29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operating losses, by year of expiration:</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2032</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2034</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9560" w:type="dxa"/>
            <w:vAlign w:val="bottom"/>
          </w:tcPr>
          <w:p>
            <w:pPr>
              <w:ind w:left="20"/>
              <w:spacing w:after="0"/>
              <w:rPr>
                <w:sz w:val="20"/>
                <w:szCs w:val="20"/>
                <w:color w:val="auto"/>
              </w:rPr>
            </w:pPr>
            <w:r>
              <w:rPr>
                <w:rFonts w:ascii="Arial" w:cs="Arial" w:eastAsia="Arial" w:hAnsi="Arial"/>
                <w:sz w:val="18"/>
                <w:szCs w:val="18"/>
                <w:color w:val="auto"/>
              </w:rPr>
              <w:t>2035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2036</w:t>
            </w:r>
          </w:p>
        </w:tc>
        <w:tc>
          <w:tcPr>
            <w:tcW w:w="380" w:type="dxa"/>
            <w:vAlign w:val="bottom"/>
            <w:shd w:val="clear" w:color="auto" w:fill="DBDBDB"/>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618</w:t>
            </w:r>
          </w:p>
        </w:tc>
      </w:tr>
      <w:tr>
        <w:trPr>
          <w:trHeight w:val="230"/>
        </w:trPr>
        <w:tc>
          <w:tcPr>
            <w:tcW w:w="9560" w:type="dxa"/>
            <w:vAlign w:val="bottom"/>
          </w:tcPr>
          <w:p>
            <w:pPr>
              <w:ind w:left="20"/>
              <w:spacing w:after="0"/>
              <w:rPr>
                <w:sz w:val="20"/>
                <w:szCs w:val="20"/>
                <w:color w:val="auto"/>
              </w:rPr>
            </w:pPr>
            <w:r>
              <w:rPr>
                <w:rFonts w:ascii="Arial" w:cs="Arial" w:eastAsia="Arial" w:hAnsi="Arial"/>
                <w:sz w:val="18"/>
                <w:szCs w:val="18"/>
                <w:color w:val="auto"/>
              </w:rPr>
              <w:t>2037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832</w:t>
            </w:r>
          </w:p>
        </w:tc>
      </w:tr>
      <w:tr>
        <w:trPr>
          <w:trHeight w:val="230"/>
        </w:trPr>
        <w:tc>
          <w:tcPr>
            <w:tcW w:w="9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Indefinitely lived</w:t>
            </w:r>
          </w:p>
        </w:tc>
        <w:tc>
          <w:tcPr>
            <w:tcW w:w="380" w:type="dxa"/>
            <w:vAlign w:val="bottom"/>
            <w:tcBorders>
              <w:bottom w:val="single" w:sz="8" w:color="auto"/>
            </w:tcBorders>
            <w:shd w:val="clear" w:color="auto" w:fill="DBDBDB"/>
          </w:tcPr>
          <w:p>
            <w:pPr>
              <w:spacing w:after="0"/>
              <w:rPr>
                <w:sz w:val="19"/>
                <w:szCs w:val="19"/>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3,640</w:t>
            </w:r>
          </w:p>
        </w:tc>
      </w:tr>
      <w:tr>
        <w:trPr>
          <w:trHeight w:val="223"/>
        </w:trPr>
        <w:tc>
          <w:tcPr>
            <w:tcW w:w="9560" w:type="dxa"/>
            <w:vAlign w:val="bottom"/>
          </w:tcPr>
          <w:p>
            <w:pPr>
              <w:ind w:left="20"/>
              <w:spacing w:after="0"/>
              <w:rPr>
                <w:sz w:val="20"/>
                <w:szCs w:val="20"/>
                <w:color w:val="auto"/>
              </w:rPr>
            </w:pPr>
            <w:r>
              <w:rPr>
                <w:rFonts w:ascii="Arial" w:cs="Arial" w:eastAsia="Arial" w:hAnsi="Arial"/>
                <w:sz w:val="18"/>
                <w:szCs w:val="18"/>
                <w:color w:val="auto"/>
              </w:rPr>
              <w:t>Total federal net operating losses</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w:t>
            </w:r>
          </w:p>
        </w:tc>
      </w:tr>
      <w:tr>
        <w:trPr>
          <w:trHeight w:val="20"/>
        </w:trPr>
        <w:tc>
          <w:tcPr>
            <w:tcW w:w="9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had state NOL carryforwards of approximately $4.296 billion. Several states adopt the federal NOL carryforward period such that our more recent state NOLs do not expire. The state NOL carryforwards are subject to apportioned amounts of the federal Section 382 limitations.</w:t>
      </w:r>
    </w:p>
    <w:p>
      <w:pPr>
        <w:spacing w:after="0" w:line="117"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As of December 31, 2024 and 2023, we have an income tax receivable of $32 million and $33 million included in other current assets within our consolidated balance sheets, respectively.</w:t>
      </w:r>
    </w:p>
    <w:p>
      <w:pPr>
        <w:spacing w:after="0" w:line="9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August 16, 2022, the President of the United States signed into law the Inflation Reduction Act of 2022 (“IRA”) which, among other things, includes provisions for a 15% corporate alternative minimum tax on book income for companies whose average book income exceeds $1 billion for any three consecutive years preceding the tax year. We believe that we are an applicable corporation beginning in 2024 for purposes of this alternative tax. We estimate no tax due to this as a result of the book loss.</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Accounting guidance for recognizing and measuring uncertain tax positions requires a more likely than not threshold condition be met on a tax position, based solely on the technical merits of being sustained, before any benefit of the tax position can be recognized in the financial statements. Guidance is also provided regarding recognition, classification and disclosure of uncertain tax positions. As of December 31, 2024 and 2023, the amount of unrecognized tax benefits related to NOL carryforwards, tax credit carryforwards, and tax liabilities associated with uncertain tax positions was $80 million and $68 million, respectively. As of December 31, 2024, $24 million is related to</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state tax receivables not expected to be recovered, $14 million is related to a liability for tax credits taken, $9 million is related to tax credit carryforwards, and the remainder is related to NOL carryforwards. As of December 31, 2023, $24 million is related to state tax receivables not expected to be recovered, $10 million is related to a liability for tax credits taken, and the remainder is related to NOL carryforwards. If recognized, $47 million of the uncertain tax positions identified would have an effect on the effective tax rate. As of December 31, 2024, we had $1 million accrued for interest related to these uncertain tax positions. As of December 31, 2023, we had no amounts accrued for interest related to these uncertain tax positions. We recognize interest related to uncertain tax positions as a component of interest expense. Penalties, if any, related to uncertain tax positions would be recorded in other expenses.</w:t>
      </w:r>
    </w:p>
    <w:p>
      <w:pPr>
        <w:spacing w:after="0" w:line="3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balances of unrecognized tax benefits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DBDBDB"/>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440" w:type="dxa"/>
            <w:vAlign w:val="bottom"/>
            <w:tcBorders>
              <w:bottom w:val="single" w:sz="8" w:color="auto"/>
            </w:tcBorders>
          </w:tcPr>
          <w:p>
            <w:pPr>
              <w:spacing w:after="0"/>
              <w:rPr>
                <w:sz w:val="19"/>
                <w:szCs w:val="19"/>
                <w:color w:val="auto"/>
              </w:rPr>
            </w:pP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5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Unrecognized tax benefits at beginning of period</w:t>
            </w:r>
          </w:p>
        </w:tc>
        <w:tc>
          <w:tcPr>
            <w:tcW w:w="1180" w:type="dxa"/>
            <w:vAlign w:val="bottom"/>
            <w:shd w:val="clear" w:color="auto" w:fill="DBDBDB"/>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Additions based on tax positions related to the current year</w:t>
            </w: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Additions to tax positions of prior years</w:t>
            </w:r>
          </w:p>
        </w:tc>
        <w:tc>
          <w:tcPr>
            <w:tcW w:w="118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Additions to tax positions related to acquisitions</w:t>
            </w: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Settlements</w:t>
            </w:r>
          </w:p>
        </w:tc>
        <w:tc>
          <w:tcPr>
            <w:tcW w:w="1180" w:type="dxa"/>
            <w:vAlign w:val="bottom"/>
            <w:shd w:val="clear" w:color="auto" w:fill="DBDBDB"/>
          </w:tcPr>
          <w:p>
            <w:pPr>
              <w:spacing w:after="0"/>
              <w:rPr>
                <w:sz w:val="19"/>
                <w:szCs w:val="19"/>
                <w:color w:val="auto"/>
              </w:rPr>
            </w:pPr>
          </w:p>
        </w:tc>
        <w:tc>
          <w:tcPr>
            <w:tcW w:w="6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140"/>
              <w:spacing w:after="0"/>
              <w:rPr>
                <w:sz w:val="20"/>
                <w:szCs w:val="20"/>
                <w:color w:val="auto"/>
              </w:rPr>
            </w:pPr>
            <w:r>
              <w:rPr>
                <w:rFonts w:ascii="Arial" w:cs="Arial" w:eastAsia="Arial" w:hAnsi="Arial"/>
                <w:sz w:val="18"/>
                <w:szCs w:val="18"/>
                <w:color w:val="auto"/>
              </w:rPr>
              <w:t>Expiration of the applicable statute of limitations</w:t>
            </w:r>
          </w:p>
        </w:tc>
        <w:tc>
          <w:tcPr>
            <w:tcW w:w="118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Reductions to tax positions of prior years</w:t>
            </w:r>
          </w:p>
        </w:tc>
        <w:tc>
          <w:tcPr>
            <w:tcW w:w="118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Unrecognized tax benefits at end of period</w:t>
            </w: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1"/>
        </w:trPr>
        <w:tc>
          <w:tcPr>
            <w:tcW w:w="5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federal and state income tax returns are subject to examination by federal and state tax authorities. Our tax years 2021 through 2024 remain open for all purposes of examination by the IRS as well as the Southwestern 2021 through 2023 returns, the Southwestern short period return for January 1, 2024 through October 1, 2024, and the Vine short period return for January 1, 2021 through November 1, 2021. However, certain earlier tax years remain open for adjustment to the extent of their NOL carryforwards available for future utilization.</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In addition, tax years 2021 through 2024 as well as certain earlier years remain open for examination by state tax authorities. We do not anticipate that the outcome of any federal or state audit will have a significant impact on our financial position or results of operations.</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ind w:left="8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00386C"/>
        </w:rPr>
        <w:t>10.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17780</wp:posOffset>
            </wp:positionV>
            <wp:extent cx="4286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w:t>
      </w:r>
    </w:p>
    <w:p>
      <w:pPr>
        <w:spacing w:after="0" w:line="169" w:lineRule="exact"/>
        <w:rPr>
          <w:sz w:val="20"/>
          <w:szCs w:val="20"/>
          <w:color w:val="auto"/>
        </w:rPr>
      </w:pPr>
    </w:p>
    <w:p>
      <w:pPr>
        <w:jc w:val="both"/>
        <w:ind w:left="80" w:firstLine="445"/>
        <w:spacing w:after="0" w:line="268" w:lineRule="auto"/>
        <w:rPr>
          <w:sz w:val="20"/>
          <w:szCs w:val="20"/>
          <w:color w:val="auto"/>
        </w:rPr>
      </w:pPr>
      <w:r>
        <w:rPr>
          <w:rFonts w:ascii="Arial" w:cs="Arial" w:eastAsia="Arial" w:hAnsi="Arial"/>
          <w:sz w:val="18"/>
          <w:szCs w:val="18"/>
          <w:color w:val="auto"/>
        </w:rPr>
        <w:t xml:space="preserve">On March 9, 2022, we completed the Marcellus Acquisition and issued 9,442,185 shares of common stock. On October 1, 2024, we issued 95,700,325 shares of our common stock to Southwestern’s shareholders in connection with the closing of the Southwestern Merger. See further discussion of both transactions in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36" w:lineRule="exact"/>
        <w:rPr>
          <w:sz w:val="20"/>
          <w:szCs w:val="20"/>
          <w:color w:val="auto"/>
        </w:rPr>
      </w:pPr>
    </w:p>
    <w:p>
      <w:pPr>
        <w:jc w:val="both"/>
        <w:ind w:left="80" w:firstLine="405"/>
        <w:spacing w:after="0" w:line="287" w:lineRule="auto"/>
        <w:rPr>
          <w:sz w:val="20"/>
          <w:szCs w:val="20"/>
          <w:color w:val="auto"/>
        </w:rPr>
      </w:pPr>
      <w:r>
        <w:rPr>
          <w:rFonts w:ascii="Arial" w:cs="Arial" w:eastAsia="Arial" w:hAnsi="Arial"/>
          <w:sz w:val="18"/>
          <w:szCs w:val="18"/>
          <w:color w:val="auto"/>
        </w:rPr>
        <w:t>During the years ended December 31, 2024, 2023 and 2022, 468,723, 12,089 and 439,370 reserved shares, respectively, were issued to resolve allowed General Unsecured Claims.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left="80" w:firstLine="405"/>
        <w:spacing w:after="0" w:line="262" w:lineRule="auto"/>
        <w:rPr>
          <w:sz w:val="20"/>
          <w:szCs w:val="20"/>
          <w:color w:val="auto"/>
        </w:rPr>
      </w:pPr>
      <w:r>
        <w:rPr>
          <w:rFonts w:ascii="Arial" w:cs="Arial" w:eastAsia="Arial" w:hAnsi="Arial"/>
          <w:sz w:val="18"/>
          <w:szCs w:val="18"/>
          <w:color w:val="auto"/>
        </w:rPr>
        <w:t>In May 2021, we initiated an annual base dividend on our shares of common stock, expected to be paid quarterly. In March 2022, we adopted a variable return program that resulted in the payment of an additional variable dividend equal to the sum of Adjusted Free Cash Flow from the prior quarter less the base quarterly dividend, multiplied by 50%. The following table summarizes our dividend payments during the years ended December 31, 2024, 2023 and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gridSpan w:val="2"/>
          </w:tcPr>
          <w:p>
            <w:pPr>
              <w:ind w:left="240"/>
              <w:spacing w:after="0"/>
              <w:rPr>
                <w:sz w:val="20"/>
                <w:szCs w:val="20"/>
                <w:color w:val="auto"/>
              </w:rPr>
            </w:pPr>
            <w:r>
              <w:rPr>
                <w:rFonts w:ascii="Arial" w:cs="Arial" w:eastAsia="Arial" w:hAnsi="Arial"/>
                <w:sz w:val="18"/>
                <w:szCs w:val="18"/>
                <w:b w:val="1"/>
                <w:bCs w:val="1"/>
                <w:color w:val="auto"/>
              </w:rPr>
              <w:t>Base</w:t>
            </w:r>
          </w:p>
        </w:tc>
        <w:tc>
          <w:tcPr>
            <w:tcW w:w="300" w:type="dxa"/>
            <w:vAlign w:val="bottom"/>
          </w:tcPr>
          <w:p>
            <w:pPr>
              <w:spacing w:after="0"/>
              <w:rPr>
                <w:sz w:val="20"/>
                <w:szCs w:val="20"/>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Variable</w:t>
            </w:r>
          </w:p>
        </w:tc>
        <w:tc>
          <w:tcPr>
            <w:tcW w:w="18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Rate Per Share</w:t>
            </w:r>
          </w:p>
        </w:tc>
        <w:tc>
          <w:tcPr>
            <w:tcW w:w="36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2023:</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0.63</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4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0.4375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1.7675</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424</w:t>
            </w:r>
          </w:p>
        </w:tc>
      </w:tr>
    </w:tbl>
    <w:p>
      <w:pPr>
        <w:spacing w:after="0" w:line="238" w:lineRule="exact"/>
        <w:rPr>
          <w:sz w:val="20"/>
          <w:szCs w:val="20"/>
          <w:color w:val="auto"/>
        </w:rPr>
      </w:pPr>
    </w:p>
    <w:p>
      <w:pPr>
        <w:jc w:val="both"/>
        <w:ind w:left="80" w:firstLine="445"/>
        <w:spacing w:after="0" w:line="271" w:lineRule="auto"/>
        <w:rPr>
          <w:sz w:val="20"/>
          <w:szCs w:val="20"/>
          <w:color w:val="auto"/>
        </w:rPr>
      </w:pPr>
      <w:r>
        <w:rPr>
          <w:rFonts w:ascii="Arial" w:cs="Arial" w:eastAsia="Arial" w:hAnsi="Arial"/>
          <w:sz w:val="18"/>
          <w:szCs w:val="18"/>
          <w:color w:val="auto"/>
        </w:rPr>
        <w:t>On February 26, 2025, we declared a base quarterly dividend payable of $0.575 per share, which will be paid on March 27, 2025 to stockholders of record at the close of business on March 11, 2025.</w:t>
      </w:r>
    </w:p>
    <w:p>
      <w:pPr>
        <w:spacing w:after="0" w:line="3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Share Repurchase Programs</w:t>
      </w:r>
    </w:p>
    <w:p>
      <w:pPr>
        <w:spacing w:after="0" w:line="169" w:lineRule="exact"/>
        <w:rPr>
          <w:sz w:val="20"/>
          <w:szCs w:val="20"/>
          <w:color w:val="auto"/>
        </w:rPr>
      </w:pPr>
    </w:p>
    <w:p>
      <w:pPr>
        <w:jc w:val="both"/>
        <w:ind w:left="80" w:firstLine="405"/>
        <w:spacing w:after="0" w:line="262" w:lineRule="auto"/>
        <w:rPr>
          <w:sz w:val="20"/>
          <w:szCs w:val="20"/>
          <w:color w:val="auto"/>
        </w:rPr>
      </w:pPr>
      <w:r>
        <w:rPr>
          <w:rFonts w:ascii="Arial" w:cs="Arial" w:eastAsia="Arial" w:hAnsi="Arial"/>
          <w:sz w:val="18"/>
          <w:szCs w:val="18"/>
          <w:color w:val="auto"/>
        </w:rPr>
        <w:t>As of December 2, 2021, the Company was authorized to purchase up to $1.0 billion of the Company’s common stock and/or warrants under a share repurchase program, and in March 2022, we commenced our share repurchase program. In June 2022, our Board of Directors authorized an expansion of the share repurchase program by $1.0 billion, bringing the total authorized share repurchase amount to $2.0 billion for common stock and/or warrants. The $2.0 billion share repurchase program expired on December 31, 2023.</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73660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shares purchased under the $2.0 billion share repurchase program.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30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Shares Purchased (thousands)</w:t>
            </w:r>
          </w:p>
        </w:tc>
        <w:tc>
          <w:tcPr>
            <w:tcW w:w="120" w:type="dxa"/>
            <w:vAlign w:val="bottom"/>
          </w:tcPr>
          <w:p>
            <w:pPr>
              <w:spacing w:after="0"/>
              <w:rPr>
                <w:sz w:val="17"/>
                <w:szCs w:val="17"/>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Dollar Value of Shares</w:t>
            </w:r>
          </w:p>
        </w:tc>
        <w:tc>
          <w:tcPr>
            <w:tcW w:w="220" w:type="dxa"/>
            <w:vAlign w:val="bottom"/>
          </w:tcPr>
          <w:p>
            <w:pPr>
              <w:spacing w:after="0"/>
              <w:rPr>
                <w:sz w:val="17"/>
                <w:szCs w:val="17"/>
                <w:color w:val="auto"/>
              </w:rPr>
            </w:pPr>
          </w:p>
        </w:tc>
        <w:tc>
          <w:tcPr>
            <w:tcW w:w="2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Average Price Per Share</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ind w:right="530"/>
              <w:spacing w:after="0"/>
              <w:rPr>
                <w:sz w:val="20"/>
                <w:szCs w:val="20"/>
                <w:color w:val="auto"/>
              </w:rPr>
            </w:pPr>
            <w:r>
              <w:rPr>
                <w:rFonts w:ascii="Arial" w:cs="Arial" w:eastAsia="Arial" w:hAnsi="Arial"/>
                <w:sz w:val="18"/>
                <w:szCs w:val="18"/>
                <w:b w:val="1"/>
                <w:bCs w:val="1"/>
                <w:color w:val="auto"/>
              </w:rPr>
              <w:t>Purchased</w:t>
            </w:r>
          </w:p>
        </w:tc>
        <w:tc>
          <w:tcPr>
            <w:tcW w:w="220" w:type="dxa"/>
            <w:vAlign w:val="bottom"/>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2022</w:t>
            </w:r>
          </w:p>
        </w:tc>
        <w:tc>
          <w:tcPr>
            <w:tcW w:w="278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4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83</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5,812</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515</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88.67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92.14</w:t>
            </w:r>
          </w:p>
        </w:tc>
        <w:tc>
          <w:tcPr>
            <w:tcW w:w="0" w:type="dxa"/>
            <w:vAlign w:val="bottom"/>
          </w:tcPr>
          <w:p>
            <w:pPr>
              <w:spacing w:after="0"/>
              <w:rPr>
                <w:sz w:val="1"/>
                <w:szCs w:val="1"/>
                <w:color w:val="auto"/>
              </w:rPr>
            </w:pPr>
          </w:p>
        </w:tc>
      </w:tr>
      <w:tr>
        <w:trPr>
          <w:trHeight w:val="230"/>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Fourth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4,105</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406</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First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793</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780" w:type="dxa"/>
            <w:vAlign w:val="bottom"/>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115</w:t>
            </w: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29"/>
        </w:trPr>
        <w:tc>
          <w:tcPr>
            <w:tcW w:w="3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Third Quarter</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10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Fourth Quarter</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100" w:type="dxa"/>
            <w:vAlign w:val="bottom"/>
            <w:tcBorders>
              <w:bottom w:val="single" w:sz="8" w:color="DBDBDB"/>
            </w:tcBorders>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82.03</w:t>
            </w:r>
          </w:p>
        </w:tc>
        <w:tc>
          <w:tcPr>
            <w:tcW w:w="0" w:type="dxa"/>
            <w:vAlign w:val="bottom"/>
          </w:tcPr>
          <w:p>
            <w:pPr>
              <w:spacing w:after="0"/>
              <w:rPr>
                <w:sz w:val="1"/>
                <w:szCs w:val="1"/>
                <w:color w:val="auto"/>
              </w:rPr>
            </w:pPr>
          </w:p>
        </w:tc>
      </w:tr>
      <w:tr>
        <w:trPr>
          <w:trHeight w:val="223"/>
        </w:trPr>
        <w:tc>
          <w:tcPr>
            <w:tcW w:w="37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16,040</w:t>
            </w:r>
          </w:p>
        </w:tc>
        <w:tc>
          <w:tcPr>
            <w:tcW w:w="2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1,430</w:t>
            </w:r>
          </w:p>
        </w:tc>
        <w:tc>
          <w:tcPr>
            <w:tcW w:w="22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repurchased shares of common stock were retired and recorded as a reduction to common stock and retained earnings. All share repurchases made after January 1, 2023 are subject to a 1% excise tax on share repurchases, as enacted under the Inflation Reduction Act of 2022. We are able to net this 1% excise tax on share repurchases against certain issuance of shares of our common stock. The impact of this 1% excise tax was immaterial during the year ended December 31, 2023.</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On October 22, 2024, our Board of Directors authorized the Company to repurchase up to $1.0 billion, in aggregate, of the Company’s common stock and/or warrants under a new share repurchase program.</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Enhanced Returns Framework</w:t>
      </w:r>
    </w:p>
    <w:p>
      <w:pPr>
        <w:spacing w:after="0" w:line="156" w:lineRule="exact"/>
        <w:rPr>
          <w:sz w:val="20"/>
          <w:szCs w:val="20"/>
          <w:color w:val="auto"/>
        </w:rPr>
      </w:pPr>
    </w:p>
    <w:p>
      <w:pPr>
        <w:jc w:val="both"/>
        <w:ind w:firstLine="405"/>
        <w:spacing w:after="0" w:line="247" w:lineRule="auto"/>
        <w:rPr>
          <w:sz w:val="20"/>
          <w:szCs w:val="20"/>
          <w:color w:val="auto"/>
        </w:rPr>
      </w:pPr>
      <w:r>
        <w:rPr>
          <w:rFonts w:ascii="Arial" w:cs="Arial" w:eastAsia="Arial" w:hAnsi="Arial"/>
          <w:sz w:val="18"/>
          <w:szCs w:val="18"/>
          <w:color w:val="auto"/>
        </w:rPr>
        <w:t>In October 2024, we announced our enhanced capital returns framework which is designed to more effectively return cash to shareholders and reduce net debt. The plan became effective January 1, 2025, and prioritizes the base dividend of $2.30 per share and a targeted $500 million of annual net debt reduction in 2025, which target will be redetermined annually. Once both have been funded, it is anticipated that 75% of remaining free cash flow will be distributed as market conditions warrant, between share repurchases and additional dividend payments. The remaining free cash flow will be maintained on the balance sheet.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ind w:left="460"/>
              <w:spacing w:after="0"/>
              <w:rPr>
                <w:sz w:val="20"/>
                <w:szCs w:val="20"/>
                <w:color w:val="auto"/>
              </w:rPr>
            </w:pPr>
            <w:r>
              <w:rPr>
                <w:rFonts w:ascii="Arial" w:cs="Arial" w:eastAsia="Arial" w:hAnsi="Arial"/>
                <w:sz w:val="18"/>
                <w:szCs w:val="18"/>
                <w:i w:val="1"/>
                <w:iCs w:val="1"/>
                <w:color w:val="auto"/>
              </w:rPr>
              <w:t>Warrants</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Class C Warrants</w:t>
            </w:r>
            <w:r>
              <w:rPr>
                <w:rFonts w:ascii="Arial" w:cs="Arial" w:eastAsia="Arial" w:hAnsi="Arial"/>
                <w:sz w:val="23"/>
                <w:szCs w:val="23"/>
                <w:b w:val="1"/>
                <w:bCs w:val="1"/>
                <w:color w:val="auto"/>
                <w:vertAlign w:val="superscript"/>
              </w:rPr>
              <w:t>(a)</w:t>
            </w:r>
          </w:p>
        </w:tc>
        <w:tc>
          <w:tcPr>
            <w:tcW w:w="0" w:type="dxa"/>
            <w:vAlign w:val="bottom"/>
          </w:tcPr>
          <w:p>
            <w:pPr>
              <w:spacing w:after="0"/>
              <w:rPr>
                <w:sz w:val="1"/>
                <w:szCs w:val="1"/>
                <w:color w:val="auto"/>
              </w:rPr>
            </w:pPr>
          </w:p>
        </w:tc>
      </w:tr>
      <w:tr>
        <w:trPr>
          <w:trHeight w:val="239"/>
        </w:trPr>
        <w:tc>
          <w:tcPr>
            <w:tcW w:w="4240" w:type="dxa"/>
            <w:vAlign w:val="bottom"/>
          </w:tcPr>
          <w:p>
            <w:pPr>
              <w:spacing w:after="0"/>
              <w:rPr>
                <w:sz w:val="20"/>
                <w:szCs w:val="20"/>
                <w:color w:val="auto"/>
              </w:rPr>
            </w:pPr>
          </w:p>
        </w:tc>
        <w:tc>
          <w:tcPr>
            <w:tcW w:w="2400" w:type="dxa"/>
            <w:vAlign w:val="bottom"/>
            <w:gridSpan w:val="2"/>
          </w:tcPr>
          <w:p>
            <w:pPr>
              <w:ind w:left="380"/>
              <w:spacing w:after="0"/>
              <w:rPr>
                <w:sz w:val="20"/>
                <w:szCs w:val="20"/>
                <w:color w:val="auto"/>
              </w:rPr>
            </w:pPr>
            <w:r>
              <w:rPr>
                <w:rFonts w:ascii="Arial" w:cs="Arial" w:eastAsia="Arial" w:hAnsi="Arial"/>
                <w:sz w:val="18"/>
                <w:szCs w:val="18"/>
                <w:b w:val="1"/>
                <w:bCs w:val="1"/>
                <w:color w:val="auto"/>
              </w:rPr>
              <w:t>Class A Warrants</w:t>
            </w:r>
          </w:p>
        </w:tc>
        <w:tc>
          <w:tcPr>
            <w:tcW w:w="2380" w:type="dxa"/>
            <w:vAlign w:val="bottom"/>
            <w:gridSpan w:val="2"/>
          </w:tcPr>
          <w:p>
            <w:pPr>
              <w:ind w:left="360"/>
              <w:spacing w:after="0"/>
              <w:rPr>
                <w:sz w:val="20"/>
                <w:szCs w:val="20"/>
                <w:color w:val="auto"/>
              </w:rPr>
            </w:pPr>
            <w:r>
              <w:rPr>
                <w:rFonts w:ascii="Arial" w:cs="Arial" w:eastAsia="Arial" w:hAnsi="Arial"/>
                <w:sz w:val="18"/>
                <w:szCs w:val="18"/>
                <w:b w:val="1"/>
                <w:bCs w:val="1"/>
                <w:color w:val="auto"/>
              </w:rPr>
              <w:t>Class B Warrants</w:t>
            </w: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2021</w:t>
            </w: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10,856,852</w:t>
            </w:r>
          </w:p>
        </w:tc>
        <w:tc>
          <w:tcPr>
            <w:tcW w:w="18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12,313,273</w:t>
            </w:r>
          </w:p>
        </w:tc>
        <w:tc>
          <w:tcPr>
            <w:tcW w:w="16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11,388,371</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line="230"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(1,609,641)</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(29,679)</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(959,247)</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Converted in warrant exchange offer</w:t>
            </w:r>
            <w:r>
              <w:rPr>
                <w:rFonts w:ascii="Arial" w:cs="Arial" w:eastAsia="Arial" w:hAnsi="Arial"/>
                <w:sz w:val="23"/>
                <w:szCs w:val="23"/>
                <w:color w:val="auto"/>
                <w:vertAlign w:val="superscript"/>
              </w:rPr>
              <w:t>(b)</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(4,752,207)</w:t>
            </w:r>
          </w:p>
        </w:tc>
        <w:tc>
          <w:tcPr>
            <w:tcW w:w="18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(7,879,030)</w:t>
            </w:r>
          </w:p>
        </w:tc>
        <w:tc>
          <w:tcPr>
            <w:tcW w:w="1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(7,252,004)</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829,109</w:t>
            </w:r>
          </w:p>
        </w:tc>
        <w:tc>
          <w:tcPr>
            <w:tcW w:w="0" w:type="dxa"/>
            <w:vAlign w:val="bottom"/>
          </w:tcPr>
          <w:p>
            <w:pPr>
              <w:spacing w:after="0"/>
              <w:rPr>
                <w:sz w:val="1"/>
                <w:szCs w:val="1"/>
                <w:color w:val="auto"/>
              </w:rPr>
            </w:pPr>
          </w:p>
        </w:tc>
      </w:tr>
      <w:tr>
        <w:trPr>
          <w:trHeight w:val="223"/>
        </w:trPr>
        <w:tc>
          <w:tcPr>
            <w:tcW w:w="42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2022</w:t>
            </w: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4,495,004</w:t>
            </w:r>
          </w:p>
        </w:tc>
        <w:tc>
          <w:tcPr>
            <w:tcW w:w="18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4,404,564</w:t>
            </w:r>
          </w:p>
        </w:tc>
        <w:tc>
          <w:tcPr>
            <w:tcW w:w="160" w:type="dxa"/>
            <w:vAlign w:val="bottom"/>
            <w:tcBorders>
              <w:top w:val="single" w:sz="8" w:color="DBDBDB"/>
            </w:tcBorders>
            <w:shd w:val="clear" w:color="auto" w:fill="DBDBDB"/>
          </w:tcPr>
          <w:p>
            <w:pPr>
              <w:spacing w:after="0"/>
              <w:rPr>
                <w:sz w:val="19"/>
                <w:szCs w:val="19"/>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4,006,229</w:t>
            </w:r>
          </w:p>
        </w:tc>
        <w:tc>
          <w:tcPr>
            <w:tcW w:w="0" w:type="dxa"/>
            <w:vAlign w:val="bottom"/>
          </w:tcPr>
          <w:p>
            <w:pPr>
              <w:spacing w:after="0"/>
              <w:rPr>
                <w:sz w:val="1"/>
                <w:szCs w:val="1"/>
                <w:color w:val="auto"/>
              </w:rPr>
            </w:pPr>
          </w:p>
        </w:tc>
      </w:tr>
      <w:tr>
        <w:trPr>
          <w:trHeight w:val="223"/>
        </w:trPr>
        <w:tc>
          <w:tcPr>
            <w:tcW w:w="4240" w:type="dxa"/>
            <w:vAlign w:val="bottom"/>
          </w:tcPr>
          <w:p>
            <w:pPr>
              <w:ind w:left="140"/>
              <w:spacing w:after="0" w:line="223"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(247,389)</w:t>
            </w:r>
          </w:p>
        </w:tc>
        <w:tc>
          <w:tcPr>
            <w:tcW w:w="1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30"/>
        </w:trPr>
        <w:tc>
          <w:tcPr>
            <w:tcW w:w="4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22,835</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Outstanding as of December 31, 2023</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4,247,615</w:t>
            </w:r>
          </w:p>
        </w:tc>
        <w:tc>
          <w:tcPr>
            <w:tcW w:w="18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4,403,064</w:t>
            </w:r>
          </w:p>
        </w:tc>
        <w:tc>
          <w:tcPr>
            <w:tcW w:w="160" w:type="dxa"/>
            <w:vAlign w:val="bottom"/>
            <w:tcBorders>
              <w:bottom w:val="single" w:sz="8" w:color="DBDBDB"/>
            </w:tcBorders>
          </w:tcPr>
          <w:p>
            <w:pPr>
              <w:spacing w:after="0"/>
              <w:rPr>
                <w:sz w:val="19"/>
                <w:szCs w:val="19"/>
                <w:color w:val="auto"/>
              </w:rPr>
            </w:pP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4,023,483</w:t>
            </w:r>
          </w:p>
        </w:tc>
        <w:tc>
          <w:tcPr>
            <w:tcW w:w="0" w:type="dxa"/>
            <w:vAlign w:val="bottom"/>
          </w:tcPr>
          <w:p>
            <w:pPr>
              <w:spacing w:after="0"/>
              <w:rPr>
                <w:sz w:val="1"/>
                <w:szCs w:val="1"/>
                <w:color w:val="auto"/>
              </w:rPr>
            </w:pPr>
          </w:p>
        </w:tc>
      </w:tr>
      <w:tr>
        <w:trPr>
          <w:trHeight w:val="223"/>
        </w:trPr>
        <w:tc>
          <w:tcPr>
            <w:tcW w:w="4240" w:type="dxa"/>
            <w:vAlign w:val="bottom"/>
            <w:shd w:val="clear" w:color="auto" w:fill="DBDBDB"/>
          </w:tcPr>
          <w:p>
            <w:pPr>
              <w:ind w:left="140"/>
              <w:spacing w:after="0" w:line="223" w:lineRule="exact"/>
              <w:rPr>
                <w:sz w:val="20"/>
                <w:szCs w:val="20"/>
                <w:color w:val="auto"/>
              </w:rPr>
            </w:pPr>
            <w:r>
              <w:rPr>
                <w:rFonts w:ascii="Arial" w:cs="Arial" w:eastAsia="Arial" w:hAnsi="Arial"/>
                <w:sz w:val="18"/>
                <w:szCs w:val="18"/>
                <w:color w:val="auto"/>
              </w:rPr>
              <w:t>Converted into common stock</w:t>
            </w:r>
            <w:r>
              <w:rPr>
                <w:rFonts w:ascii="Arial" w:cs="Arial" w:eastAsia="Arial" w:hAnsi="Arial"/>
                <w:sz w:val="23"/>
                <w:szCs w:val="23"/>
                <w:color w:val="auto"/>
                <w:vertAlign w:val="superscript"/>
              </w:rPr>
              <w:t>(b)</w:t>
            </w: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(2,993,136)</w:t>
            </w:r>
          </w:p>
        </w:tc>
        <w:tc>
          <w:tcPr>
            <w:tcW w:w="18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(1,329,870)</w:t>
            </w:r>
          </w:p>
        </w:tc>
        <w:tc>
          <w:tcPr>
            <w:tcW w:w="160" w:type="dxa"/>
            <w:vAlign w:val="bottom"/>
            <w:shd w:val="clear" w:color="auto" w:fill="DBDBDB"/>
          </w:tcPr>
          <w:p>
            <w:pPr>
              <w:spacing w:after="0"/>
              <w:rPr>
                <w:sz w:val="19"/>
                <w:szCs w:val="19"/>
                <w:color w:val="auto"/>
              </w:rPr>
            </w:pPr>
          </w:p>
        </w:tc>
        <w:tc>
          <w:tcPr>
            <w:tcW w:w="2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(524,242)</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Issued for General Unsecured Claims</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884,393</w:t>
            </w:r>
          </w:p>
        </w:tc>
        <w:tc>
          <w:tcPr>
            <w:tcW w:w="0" w:type="dxa"/>
            <w:vAlign w:val="bottom"/>
          </w:tcPr>
          <w:p>
            <w:pPr>
              <w:spacing w:after="0"/>
              <w:rPr>
                <w:sz w:val="1"/>
                <w:szCs w:val="1"/>
                <w:color w:val="auto"/>
              </w:rPr>
            </w:pPr>
          </w:p>
        </w:tc>
      </w:tr>
      <w:tr>
        <w:trPr>
          <w:trHeight w:val="248"/>
        </w:trPr>
        <w:tc>
          <w:tcPr>
            <w:tcW w:w="42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as of December 31, 2024</w:t>
            </w: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1,254,479</w:t>
            </w:r>
          </w:p>
        </w:tc>
        <w:tc>
          <w:tcPr>
            <w:tcW w:w="180" w:type="dxa"/>
            <w:vAlign w:val="bottom"/>
            <w:tcBorders>
              <w:top w:val="single" w:sz="8" w:color="DBDBDB"/>
              <w:bottom w:val="single" w:sz="8" w:color="DBDBDB"/>
            </w:tcBorders>
            <w:shd w:val="clear" w:color="auto" w:fill="DBDBDB"/>
          </w:tcPr>
          <w:p>
            <w:pPr>
              <w:spacing w:after="0"/>
              <w:rPr>
                <w:sz w:val="21"/>
                <w:szCs w:val="21"/>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3,073,194</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2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4,383,634</w:t>
            </w:r>
          </w:p>
        </w:tc>
        <w:tc>
          <w:tcPr>
            <w:tcW w:w="0" w:type="dxa"/>
            <w:vAlign w:val="bottom"/>
          </w:tcPr>
          <w:p>
            <w:pPr>
              <w:spacing w:after="0"/>
              <w:rPr>
                <w:sz w:val="1"/>
                <w:szCs w:val="1"/>
                <w:color w:val="auto"/>
              </w:rPr>
            </w:pPr>
          </w:p>
        </w:tc>
      </w:tr>
      <w:tr>
        <w:trPr>
          <w:trHeight w:val="20"/>
        </w:trPr>
        <w:tc>
          <w:tcPr>
            <w:tcW w:w="424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2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90"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December 31, 2024, we had 582,109 of reserved Class C Warrants.</w:t>
      </w:r>
    </w:p>
    <w:p>
      <w:pPr>
        <w:spacing w:after="0" w:line="90" w:lineRule="exact"/>
        <w:rPr>
          <w:rFonts w:ascii="Arial" w:cs="Arial" w:eastAsia="Arial" w:hAnsi="Arial"/>
          <w:sz w:val="18"/>
          <w:szCs w:val="18"/>
          <w:color w:val="auto"/>
        </w:rPr>
      </w:pPr>
    </w:p>
    <w:p>
      <w:pPr>
        <w:ind w:left="420" w:hanging="412"/>
        <w:spacing w:after="0" w:line="287" w:lineRule="auto"/>
        <w:tabs>
          <w:tab w:leader="none" w:pos="41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the years ended December 31, 2024 and December 31, 2023, we issued 4,083,103 and 221,952 common shares, respectively, as a result of Warrant exercises. During the year ended December 31, 2022, we</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issued 18,408,228 common shares as a result of Warrant exercises, inclusive of the shares issued as part of the Warrant exchange offers described below.</w:t>
      </w:r>
    </w:p>
    <w:p>
      <w:pPr>
        <w:spacing w:after="0" w:line="3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Class A, Class B and Class C Warrants were initially exercisable for one share of common stock per Warrant at initial exercise prices of $27.63, $32.13 and $36.18 per share, respectively, subject to adjustments pursuant to the terms of the Warrants. The Warrants are exercisable until February 9, 2026. The Warrants contain customary anti-dilution adjustments in the event of any stock split, reverse stock split, reclassification, stock dividend or other distributions. The exercise prices of the Warrants were adjusted to prevent the dilution of rights for the effects of the quarterly dividend distribution on December 4, 2024, and the adjusted exercise prices are $22.58, $26.25, and $29.56 per share for the Class A, Class B and Class C Warrants, respectively. Additionally, we have recalculated the number of shares of common stock issuable upon the exercise of each of the Class A, Class B and Class C Warrants, respectively, and as a result, 1.22 shares are issuable upon the exercise of a Class A, Class B or Class C Warrant.</w:t>
      </w:r>
    </w:p>
    <w:p>
      <w:pPr>
        <w:spacing w:after="0" w:line="131"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On August 18, 2022, we announced exchange offers relating to our outstanding Class A Warrants, Class B Warrants and Class C Warrants. The exchange offers expired on October 7, 2022 and resulted in the issuance of 16,305,984 shares of our common stock in exchange for the cancellation of (i) 4,752,207 Class A Warrants, (ii) 7,879,030 Class B Warrants and (iii) 7,252,004 Class C Warrants. Under the exchange offers, the Warrants were exchanged in a cashless transaction and were converted to shares of our common stock at a ratio of 0.8636 for Class A Warrants, 0.8224 for Class B Warrants and 0.7890 for Class C Warrants, respectively. As the fair value of the common stock issued was greater than the fair value of the Warrants tendered in the exchange offers due to stated exchange premiums, we recorded a non-cash deemed dividend of $67 million. Such fair values were determined using our stock price that is considered a Level 1 input.</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60" w:hanging="434"/>
        <w:spacing w:after="0"/>
        <w:tabs>
          <w:tab w:leader="none" w:pos="460" w:val="left"/>
        </w:tabs>
        <w:numPr>
          <w:ilvl w:val="0"/>
          <w:numId w:val="45"/>
        </w:numPr>
        <w:rPr>
          <w:rFonts w:ascii="Arial" w:cs="Arial" w:eastAsia="Arial" w:hAnsi="Arial"/>
          <w:sz w:val="18"/>
          <w:szCs w:val="18"/>
          <w:b w:val="1"/>
          <w:bCs w:val="1"/>
          <w:color w:val="00386C"/>
        </w:rPr>
      </w:pPr>
      <w:r>
        <w:rPr>
          <w:rFonts w:ascii="Arial" w:cs="Arial" w:eastAsia="Arial" w:hAnsi="Arial"/>
          <w:sz w:val="18"/>
          <w:szCs w:val="18"/>
          <w:b w:val="1"/>
          <w:bCs w:val="1"/>
          <w:color w:val="00386C"/>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5601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long-term incentive plan, as amended and adopted by our Board of Directors (the “LTIP”), provides for the grant of restricted stock units (“RSUs”), restricted stock awards, stock options, stock appreciation rights, performance awards and other stock awards to the Company’s employees and non-employee directors and has a share reserve equal to 6,800,000 shares of common stock.</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During the years ended December 31, 2024, 2023 and 2022, we granted RSUs to employees and non-employee directors under the LTIP, which will vest over a three-year to five-year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Unvested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Restricted Stock Units</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2021</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775</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29"/>
        </w:trPr>
        <w:tc>
          <w:tcPr>
            <w:tcW w:w="6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666</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DBDBDB"/>
            </w:tcBorders>
          </w:tcPr>
          <w:p>
            <w:pPr>
              <w:ind w:left="22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spacing w:after="0"/>
              <w:rPr>
                <w:sz w:val="20"/>
                <w:szCs w:val="20"/>
                <w:color w:val="auto"/>
              </w:rPr>
            </w:pPr>
            <w:r>
              <w:rPr>
                <w:rFonts w:ascii="Arial" w:cs="Arial" w:eastAsia="Arial" w:hAnsi="Arial"/>
                <w:sz w:val="18"/>
                <w:szCs w:val="18"/>
                <w:color w:val="auto"/>
              </w:rPr>
              <w:t>440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23"/>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23"/>
        </w:trPr>
        <w:tc>
          <w:tcPr>
            <w:tcW w:w="6400" w:type="dxa"/>
            <w:vAlign w:val="bottom"/>
          </w:tcPr>
          <w:p>
            <w:pPr>
              <w:ind w:left="220"/>
              <w:spacing w:after="0" w:line="223"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(a)</w:t>
            </w:r>
          </w:p>
        </w:tc>
        <w:tc>
          <w:tcPr>
            <w:tcW w:w="2280" w:type="dxa"/>
            <w:vAlign w:val="bottom"/>
          </w:tcPr>
          <w:p>
            <w:pPr>
              <w:jc w:val="right"/>
              <w:spacing w:after="0"/>
              <w:rPr>
                <w:sz w:val="20"/>
                <w:szCs w:val="20"/>
                <w:color w:val="auto"/>
              </w:rPr>
            </w:pPr>
            <w:r>
              <w:rPr>
                <w:rFonts w:ascii="Arial" w:cs="Arial" w:eastAsia="Arial" w:hAnsi="Arial"/>
                <w:sz w:val="18"/>
                <w:szCs w:val="18"/>
                <w:color w:val="auto"/>
              </w:rPr>
              <w:t>962</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83.09</w:t>
            </w: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(a)</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(925)</w:t>
            </w:r>
          </w:p>
        </w:tc>
        <w:tc>
          <w:tcPr>
            <w:tcW w:w="460" w:type="dxa"/>
            <w:vAlign w:val="bottom"/>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DBDBDB"/>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77.71</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December 31, 2024</w:t>
            </w:r>
          </w:p>
        </w:tc>
        <w:tc>
          <w:tcPr>
            <w:tcW w:w="2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460" w:type="dxa"/>
            <w:vAlign w:val="bottom"/>
            <w:tcBorders>
              <w:bottom w:val="single" w:sz="8" w:color="DBDBDB"/>
            </w:tcBorders>
            <w:gridSpan w:val="2"/>
            <w:shd w:val="clear" w:color="auto" w:fill="DBDBDB"/>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81.99</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22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w:t>
      </w:r>
    </w:p>
    <w:p>
      <w:pPr>
        <w:spacing w:after="0" w:line="104" w:lineRule="exact"/>
        <w:rPr>
          <w:sz w:val="20"/>
          <w:szCs w:val="20"/>
          <w:color w:val="auto"/>
        </w:rPr>
      </w:pPr>
    </w:p>
    <w:p>
      <w:pPr>
        <w:jc w:val="both"/>
        <w:ind w:left="420" w:hanging="412"/>
        <w:spacing w:after="0" w:line="262" w:lineRule="auto"/>
        <w:tabs>
          <w:tab w:leader="none" w:pos="41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Approximately 5.2 million Southwestern RSUs were converted to 478 thousand Company RSUs, of which approximately 384 thousand RSUs were accelerated. We recognized the accelerated share-based compensation expense related to these awards in other operating expense, net on our consolidated statements of operations. Additionally, approximately 105 thousand RSUs were accelerated related to one-time termination benefits for certain employees.</w:t>
      </w:r>
    </w:p>
    <w:p>
      <w:pPr>
        <w:spacing w:after="0" w:line="12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aggregate intrinsic value of RSUs that vested during the years ended December 31, 2024, 2023 and 2022 was approximately $77 million, $25 million and $26 million, respectively, based on the stock price at the time of vesting.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2024, there was approximately $46 million of total unrecognized compensation expense related to unvested RSUs.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2.04 years.</w:t>
      </w:r>
    </w:p>
    <w:p>
      <w:pPr>
        <w:spacing w:after="0" w:line="1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During the years ended December 31, 2024, 2023 and 2022, we granted performance share units (“PSUs”)</w:t>
      </w:r>
      <w:r>
        <w:rPr>
          <w:rFonts w:ascii="Arial" w:cs="Arial" w:eastAsia="Arial" w:hAnsi="Arial"/>
          <w:sz w:val="18"/>
          <w:szCs w:val="18"/>
          <w:i w:val="1"/>
          <w:iCs w:val="1"/>
          <w:color w:val="auto"/>
        </w:rPr>
        <w:t xml:space="preserve"> </w:t>
      </w:r>
      <w:r>
        <w:rPr>
          <w:rFonts w:ascii="Arial" w:cs="Arial" w:eastAsia="Arial" w:hAnsi="Arial"/>
          <w:sz w:val="18"/>
          <w:szCs w:val="18"/>
          <w:color w:val="auto"/>
        </w:rPr>
        <w:t>to senior management under the LTIP, 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assumptions used in the valuation of the PSUs granted during the years ended December 31, 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80" w:type="dxa"/>
            <w:vAlign w:val="bottom"/>
            <w:gridSpan w:val="2"/>
          </w:tcPr>
          <w:p>
            <w:pPr>
              <w:spacing w:after="0"/>
              <w:rPr>
                <w:sz w:val="20"/>
                <w:szCs w:val="20"/>
                <w:color w:val="auto"/>
              </w:rPr>
            </w:pPr>
            <w:r>
              <w:rPr>
                <w:rFonts w:ascii="Arial" w:cs="Arial" w:eastAsia="Arial" w:hAnsi="Arial"/>
                <w:sz w:val="18"/>
                <w:szCs w:val="18"/>
                <w:color w:val="auto"/>
              </w:rPr>
              <w:t>2023 and 2022.</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4080" w:type="dxa"/>
            <w:vAlign w:val="bottom"/>
            <w:gridSpan w:val="2"/>
          </w:tcPr>
          <w:p>
            <w:pPr>
              <w:ind w:left="20"/>
              <w:spacing w:after="0"/>
              <w:rPr>
                <w:sz w:val="20"/>
                <w:szCs w:val="20"/>
                <w:color w:val="auto"/>
              </w:rPr>
            </w:pPr>
            <w:r>
              <w:rPr>
                <w:rFonts w:ascii="Arial" w:cs="Arial" w:eastAsia="Arial" w:hAnsi="Arial"/>
                <w:sz w:val="18"/>
                <w:szCs w:val="18"/>
                <w:b w:val="1"/>
                <w:bCs w:val="1"/>
                <w:color w:val="auto"/>
              </w:rPr>
              <w:t>Assumption - TSR, rTSR</w:t>
            </w:r>
          </w:p>
        </w:tc>
        <w:tc>
          <w:tcPr>
            <w:tcW w:w="2420" w:type="dxa"/>
            <w:vAlign w:val="bottom"/>
            <w:gridSpan w:val="3"/>
          </w:tcPr>
          <w:p>
            <w:pPr>
              <w:ind w:left="380"/>
              <w:spacing w:after="0"/>
              <w:rPr>
                <w:sz w:val="20"/>
                <w:szCs w:val="20"/>
                <w:color w:val="auto"/>
              </w:rPr>
            </w:pPr>
            <w:r>
              <w:rPr>
                <w:rFonts w:ascii="Arial" w:cs="Arial" w:eastAsia="Arial" w:hAnsi="Arial"/>
                <w:sz w:val="18"/>
                <w:szCs w:val="18"/>
                <w:b w:val="1"/>
                <w:bCs w:val="1"/>
                <w:color w:val="auto"/>
              </w:rPr>
              <w:t>2024 PSU Awards</w:t>
            </w:r>
          </w:p>
        </w:tc>
        <w:tc>
          <w:tcPr>
            <w:tcW w:w="2440" w:type="dxa"/>
            <w:vAlign w:val="bottom"/>
            <w:gridSpan w:val="3"/>
          </w:tcPr>
          <w:p>
            <w:pPr>
              <w:ind w:left="400"/>
              <w:spacing w:after="0"/>
              <w:rPr>
                <w:sz w:val="20"/>
                <w:szCs w:val="20"/>
                <w:color w:val="auto"/>
              </w:rPr>
            </w:pPr>
            <w:r>
              <w:rPr>
                <w:rFonts w:ascii="Arial" w:cs="Arial" w:eastAsia="Arial" w:hAnsi="Arial"/>
                <w:sz w:val="18"/>
                <w:szCs w:val="18"/>
                <w:b w:val="1"/>
                <w:bCs w:val="1"/>
                <w:color w:val="auto"/>
              </w:rPr>
              <w:t>2023 PSU Awards</w:t>
            </w:r>
          </w:p>
        </w:tc>
        <w:tc>
          <w:tcPr>
            <w:tcW w:w="200" w:type="dxa"/>
            <w:vAlign w:val="bottom"/>
          </w:tcPr>
          <w:p>
            <w:pPr>
              <w:spacing w:after="0"/>
              <w:rPr>
                <w:sz w:val="24"/>
                <w:szCs w:val="24"/>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2022 PSU Awards</w:t>
            </w:r>
          </w:p>
        </w:tc>
        <w:tc>
          <w:tcPr>
            <w:tcW w:w="0" w:type="dxa"/>
            <w:vAlign w:val="bottom"/>
          </w:tcPr>
          <w:p>
            <w:pPr>
              <w:spacing w:after="0"/>
              <w:rPr>
                <w:sz w:val="1"/>
                <w:szCs w:val="1"/>
                <w:color w:val="auto"/>
              </w:rPr>
            </w:pPr>
          </w:p>
        </w:tc>
      </w:tr>
      <w:tr>
        <w:trPr>
          <w:trHeight w:val="223"/>
        </w:trPr>
        <w:tc>
          <w:tcPr>
            <w:tcW w:w="39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top w:val="single" w:sz="8" w:color="DBDBDB"/>
            </w:tcBorders>
            <w:shd w:val="clear" w:color="auto" w:fill="DBDBDB"/>
          </w:tcPr>
          <w:p>
            <w:pPr>
              <w:spacing w:after="0"/>
              <w:rPr>
                <w:sz w:val="19"/>
                <w:szCs w:val="19"/>
                <w:color w:val="auto"/>
              </w:rPr>
            </w:pPr>
          </w:p>
        </w:tc>
        <w:tc>
          <w:tcPr>
            <w:tcW w:w="2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4.55 %</w:t>
            </w:r>
          </w:p>
        </w:tc>
        <w:tc>
          <w:tcPr>
            <w:tcW w:w="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300" w:type="dxa"/>
            <w:vAlign w:val="bottom"/>
            <w:tcBorders>
              <w:top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3.85 %</w:t>
            </w:r>
          </w:p>
        </w:tc>
        <w:tc>
          <w:tcPr>
            <w:tcW w:w="1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2280" w:type="dxa"/>
            <w:vAlign w:val="bottom"/>
          </w:tcPr>
          <w:p>
            <w:pPr>
              <w:jc w:val="right"/>
              <w:spacing w:after="0"/>
              <w:rPr>
                <w:sz w:val="20"/>
                <w:szCs w:val="20"/>
                <w:color w:val="auto"/>
              </w:rPr>
            </w:pPr>
            <w:r>
              <w:rPr>
                <w:rFonts w:ascii="Arial" w:cs="Arial" w:eastAsia="Arial" w:hAnsi="Arial"/>
                <w:sz w:val="18"/>
                <w:szCs w:val="18"/>
                <w:color w:val="auto"/>
              </w:rPr>
              <w:t>39.36 %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64.4 %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70.2 %</w:t>
            </w:r>
          </w:p>
        </w:tc>
        <w:tc>
          <w:tcPr>
            <w:tcW w:w="0" w:type="dxa"/>
            <w:vAlign w:val="bottom"/>
          </w:tcPr>
          <w:p>
            <w:pPr>
              <w:spacing w:after="0"/>
              <w:rPr>
                <w:sz w:val="1"/>
                <w:szCs w:val="1"/>
                <w:color w:val="auto"/>
              </w:rPr>
            </w:pPr>
          </w:p>
        </w:tc>
      </w:tr>
      <w:tr>
        <w:trPr>
          <w:trHeight w:val="710"/>
        </w:trPr>
        <w:tc>
          <w:tcPr>
            <w:tcW w:w="6500" w:type="dxa"/>
            <w:vAlign w:val="bottom"/>
            <w:gridSpan w:val="5"/>
          </w:tcPr>
          <w:p>
            <w:pPr>
              <w:spacing w:after="0"/>
              <w:rPr>
                <w:sz w:val="20"/>
                <w:szCs w:val="20"/>
                <w:color w:val="auto"/>
              </w:rPr>
            </w:pPr>
            <w:r>
              <w:rPr>
                <w:rFonts w:ascii="Arial" w:cs="Arial" w:eastAsia="Arial" w:hAnsi="Arial"/>
                <w:sz w:val="18"/>
                <w:szCs w:val="18"/>
                <w:color w:val="auto"/>
              </w:rPr>
              <w:t>A summary of the changes in unvested PSUs is presented below:</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3"/>
            <w:vMerge w:val="restart"/>
          </w:tcPr>
          <w:p>
            <w:pPr>
              <w:jc w:val="center"/>
              <w:ind w:right="400"/>
              <w:spacing w:after="0"/>
              <w:rPr>
                <w:sz w:val="20"/>
                <w:szCs w:val="20"/>
                <w:color w:val="auto"/>
              </w:rPr>
            </w:pPr>
            <w:r>
              <w:rPr>
                <w:rFonts w:ascii="Arial" w:cs="Arial" w:eastAsia="Arial" w:hAnsi="Arial"/>
                <w:sz w:val="18"/>
                <w:szCs w:val="18"/>
                <w:b w:val="1"/>
                <w:bCs w:val="1"/>
                <w:color w:val="auto"/>
                <w:w w:val="99"/>
              </w:rPr>
              <w:t>Unvested Performance</w:t>
            </w:r>
          </w:p>
        </w:tc>
        <w:tc>
          <w:tcPr>
            <w:tcW w:w="200" w:type="dxa"/>
            <w:vAlign w:val="bottom"/>
          </w:tcPr>
          <w:p>
            <w:pPr>
              <w:spacing w:after="0"/>
              <w:rPr>
                <w:sz w:val="24"/>
                <w:szCs w:val="24"/>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Weighted Average</w:t>
            </w:r>
          </w:p>
        </w:tc>
        <w:tc>
          <w:tcPr>
            <w:tcW w:w="0" w:type="dxa"/>
            <w:vAlign w:val="bottom"/>
          </w:tcPr>
          <w:p>
            <w:pPr>
              <w:spacing w:after="0"/>
              <w:rPr>
                <w:sz w:val="1"/>
                <w:szCs w:val="1"/>
                <w:color w:val="auto"/>
              </w:rPr>
            </w:pPr>
          </w:p>
        </w:tc>
      </w:tr>
      <w:tr>
        <w:trPr>
          <w:trHeight w:val="181"/>
        </w:trPr>
        <w:tc>
          <w:tcPr>
            <w:tcW w:w="3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9"/>
              </w:rPr>
              <w:t>Grant Date</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Share Units</w:t>
            </w:r>
          </w:p>
        </w:tc>
        <w:tc>
          <w:tcPr>
            <w:tcW w:w="200" w:type="dxa"/>
            <w:vAlign w:val="bottom"/>
          </w:tcPr>
          <w:p>
            <w:pPr>
              <w:spacing w:after="0"/>
              <w:rPr>
                <w:sz w:val="19"/>
                <w:szCs w:val="19"/>
                <w:color w:val="auto"/>
              </w:rPr>
            </w:pP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Fair Value Per Share</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16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gridSpan w:val="2"/>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2021</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9"/>
        </w:trPr>
        <w:tc>
          <w:tcPr>
            <w:tcW w:w="408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109.65</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4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2022</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88.28</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440" w:type="dxa"/>
            <w:vAlign w:val="bottom"/>
            <w:gridSpan w:val="3"/>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DBDBDB"/>
            </w:tcBorders>
            <w:gridSpan w:val="2"/>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68.77</w:t>
            </w:r>
          </w:p>
        </w:tc>
        <w:tc>
          <w:tcPr>
            <w:tcW w:w="0" w:type="dxa"/>
            <w:vAlign w:val="bottom"/>
          </w:tcPr>
          <w:p>
            <w:pPr>
              <w:spacing w:after="0"/>
              <w:rPr>
                <w:sz w:val="1"/>
                <w:szCs w:val="1"/>
                <w:color w:val="auto"/>
              </w:rPr>
            </w:pPr>
          </w:p>
        </w:tc>
      </w:tr>
      <w:tr>
        <w:trPr>
          <w:trHeight w:val="223"/>
        </w:trPr>
        <w:tc>
          <w:tcPr>
            <w:tcW w:w="40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2023</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2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23"/>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95.33</w:t>
            </w: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71.29</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Forfeited</w:t>
            </w: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08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Unvested as of December 31, 2024</w:t>
            </w:r>
          </w:p>
        </w:tc>
        <w:tc>
          <w:tcPr>
            <w:tcW w:w="2280" w:type="dxa"/>
            <w:vAlign w:val="bottom"/>
            <w:tcBorders>
              <w:top w:val="single" w:sz="8" w:color="DBDBDB"/>
              <w:bottom w:val="single" w:sz="8" w:color="DBDBDB"/>
            </w:tcBorders>
            <w:shd w:val="clear" w:color="auto" w:fill="DBDBDB"/>
          </w:tcPr>
          <w:p>
            <w:pPr>
              <w:spacing w:after="0"/>
              <w:rPr>
                <w:sz w:val="21"/>
                <w:szCs w:val="21"/>
                <w:color w:val="auto"/>
              </w:rPr>
            </w:pP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spacing w:after="0"/>
              <w:rPr>
                <w:sz w:val="21"/>
                <w:szCs w:val="21"/>
                <w:color w:val="auto"/>
              </w:rPr>
            </w:pPr>
          </w:p>
        </w:tc>
        <w:tc>
          <w:tcPr>
            <w:tcW w:w="2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140" w:type="dxa"/>
            <w:vAlign w:val="bottom"/>
            <w:tcBorders>
              <w:top w:val="single" w:sz="8" w:color="DBDBDB"/>
              <w:bottom w:val="single" w:sz="8" w:color="DBDBDB"/>
            </w:tcBorders>
            <w:shd w:val="clear" w:color="auto" w:fill="DBDBDB"/>
          </w:tcPr>
          <w:p>
            <w:pPr>
              <w:spacing w:after="0"/>
              <w:rPr>
                <w:sz w:val="21"/>
                <w:szCs w:val="21"/>
                <w:color w:val="auto"/>
              </w:rPr>
            </w:pPr>
          </w:p>
        </w:tc>
        <w:tc>
          <w:tcPr>
            <w:tcW w:w="200" w:type="dxa"/>
            <w:vAlign w:val="bottom"/>
            <w:tcBorders>
              <w:top w:val="single" w:sz="8" w:color="DBDBDB"/>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79"/>
              </w:rPr>
              <w:t>$</w:t>
            </w:r>
          </w:p>
        </w:tc>
        <w:tc>
          <w:tcPr>
            <w:tcW w:w="210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94.67</w:t>
            </w:r>
          </w:p>
        </w:tc>
        <w:tc>
          <w:tcPr>
            <w:tcW w:w="0" w:type="dxa"/>
            <w:vAlign w:val="bottom"/>
          </w:tcPr>
          <w:p>
            <w:pPr>
              <w:spacing w:after="0"/>
              <w:rPr>
                <w:sz w:val="1"/>
                <w:szCs w:val="1"/>
                <w:color w:val="auto"/>
              </w:rPr>
            </w:pP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28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1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aggregate intrinsic value of PSUs that vested during the year ended December 31, 2024 was approximately $19 million based on the stock price at the time of vesting.</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2024, there was approximately $14 million of total unrecognized compensation expense related to unvested PSUs.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1.84 years.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Compensation.</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recognized the following compensation costs, net of actual forfeitures, related to RSUs and PSUs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4400" w:type="dxa"/>
            <w:vAlign w:val="bottom"/>
            <w:tcBorders>
              <w:bottom w:val="single" w:sz="8" w:color="DBDBDB"/>
            </w:tcBorders>
          </w:tcPr>
          <w:p>
            <w:pPr>
              <w:spacing w:after="0"/>
              <w:rPr>
                <w:sz w:val="19"/>
                <w:szCs w:val="19"/>
                <w:color w:val="auto"/>
              </w:rPr>
            </w:pPr>
          </w:p>
        </w:tc>
        <w:tc>
          <w:tcPr>
            <w:tcW w:w="2500" w:type="dxa"/>
            <w:vAlign w:val="bottom"/>
            <w:tcBorders>
              <w:bottom w:val="single" w:sz="8" w:color="DBDBDB"/>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expenses</w:t>
            </w:r>
          </w:p>
        </w:tc>
        <w:tc>
          <w:tcPr>
            <w:tcW w:w="25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Natural gas and oil properties</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Production expense</w:t>
            </w:r>
          </w:p>
        </w:tc>
        <w:tc>
          <w:tcPr>
            <w:tcW w:w="25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Separation and other termination costs</w:t>
            </w:r>
          </w:p>
        </w:tc>
        <w:tc>
          <w:tcPr>
            <w:tcW w:w="2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 operating expense, net</w:t>
            </w:r>
          </w:p>
        </w:tc>
        <w:tc>
          <w:tcPr>
            <w:tcW w:w="250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8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 RSU and PSU compensation</w:t>
            </w:r>
          </w:p>
        </w:tc>
        <w:tc>
          <w:tcPr>
            <w:tcW w:w="25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400" w:type="dxa"/>
            <w:vAlign w:val="bottom"/>
            <w:tcBorders>
              <w:bottom w:val="single" w:sz="8" w:color="DBDBDB"/>
            </w:tcBorders>
          </w:tcPr>
          <w:p>
            <w:pPr>
              <w:spacing w:after="0" w:line="20" w:lineRule="exact"/>
              <w:rPr>
                <w:sz w:val="1"/>
                <w:szCs w:val="1"/>
                <w:color w:val="auto"/>
              </w:rPr>
            </w:pPr>
          </w:p>
        </w:tc>
        <w:tc>
          <w:tcPr>
            <w:tcW w:w="25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4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Related income tax benefit</w:t>
            </w:r>
          </w:p>
        </w:tc>
        <w:tc>
          <w:tcPr>
            <w:tcW w:w="250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7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r>
      <w:tr>
        <w:trPr>
          <w:trHeight w:val="908"/>
        </w:trPr>
        <w:tc>
          <w:tcPr>
            <w:tcW w:w="4400" w:type="dxa"/>
            <w:vAlign w:val="bottom"/>
          </w:tcPr>
          <w:p>
            <w:pPr>
              <w:spacing w:after="0"/>
              <w:rPr>
                <w:sz w:val="24"/>
                <w:szCs w:val="24"/>
                <w:color w:val="auto"/>
              </w:rPr>
            </w:pPr>
          </w:p>
        </w:tc>
        <w:tc>
          <w:tcPr>
            <w:tcW w:w="2500" w:type="dxa"/>
            <w:vAlign w:val="bottom"/>
          </w:tcPr>
          <w:p>
            <w:pPr>
              <w:jc w:val="right"/>
              <w:ind w:right="850"/>
              <w:spacing w:after="0"/>
              <w:rPr>
                <w:sz w:val="20"/>
                <w:szCs w:val="20"/>
                <w:color w:val="auto"/>
              </w:rPr>
            </w:pPr>
            <w:r>
              <w:rPr>
                <w:rFonts w:ascii="Arial" w:cs="Arial" w:eastAsia="Arial" w:hAnsi="Arial"/>
                <w:sz w:val="18"/>
                <w:szCs w:val="18"/>
                <w:color w:val="auto"/>
              </w:rPr>
              <w:t>110</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34"/>
        <w:spacing w:after="0"/>
        <w:tabs>
          <w:tab w:leader="none" w:pos="460" w:val="left"/>
        </w:tabs>
        <w:numPr>
          <w:ilvl w:val="0"/>
          <w:numId w:val="47"/>
        </w:numPr>
        <w:rPr>
          <w:rFonts w:ascii="Arial" w:cs="Arial" w:eastAsia="Arial" w:hAnsi="Arial"/>
          <w:sz w:val="18"/>
          <w:szCs w:val="18"/>
          <w:b w:val="1"/>
          <w:bCs w:val="1"/>
          <w:color w:val="00386C"/>
        </w:rPr>
      </w:pPr>
      <w:r>
        <w:rPr>
          <w:rFonts w:ascii="Arial" w:cs="Arial" w:eastAsia="Arial" w:hAnsi="Arial"/>
          <w:sz w:val="18"/>
          <w:szCs w:val="18"/>
          <w:b w:val="1"/>
          <w:bCs w:val="1"/>
          <w:color w:val="00386C"/>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373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qualified 401(k) profit sharing plan (“401(k) Plan”) is the Expand Energy Corporation 401(k) Plan, which is open to employees of Expand Energy and all our subsidiaries. Eligible employees may elect to defer compensation through voluntary contributions to their 401(k) Plan accounts, subject to plan limits and those set by the IRS. We match employee contributions dollar for dollar (subject to a maximum contribution of 6% of an employee's base salary and performance bonus) in cash. In addition to our employer match contributions, in 2022 we commenced a discretionary fixed dollar contribution benefit for all employees, paid quarterly, which is based upon a calculation of 1% of Adjusted Free Cash Flow less the base quarterly dividend. This discretionary fixed dollar contribution is subject to an annual maximum contribution of $15,000 per employee. We contributed $8 million, $13 million and $22 million to the 401(k) Plan during the years ended December 31, 2024, 2023 and 2022, respectively.</w:t>
      </w:r>
    </w:p>
    <w:p>
      <w:pPr>
        <w:spacing w:after="0" w:line="200" w:lineRule="exact"/>
        <w:rPr>
          <w:sz w:val="20"/>
          <w:szCs w:val="20"/>
          <w:color w:val="auto"/>
        </w:rPr>
      </w:pPr>
    </w:p>
    <w:p>
      <w:pPr>
        <w:spacing w:after="0" w:line="255" w:lineRule="exact"/>
        <w:rPr>
          <w:sz w:val="20"/>
          <w:szCs w:val="20"/>
          <w:color w:val="auto"/>
        </w:rPr>
      </w:pPr>
    </w:p>
    <w:p>
      <w:pPr>
        <w:ind w:left="480" w:hanging="454"/>
        <w:spacing w:after="0"/>
        <w:tabs>
          <w:tab w:leader="none" w:pos="480" w:val="left"/>
        </w:tabs>
        <w:numPr>
          <w:ilvl w:val="0"/>
          <w:numId w:val="48"/>
        </w:numPr>
        <w:rPr>
          <w:rFonts w:ascii="Arial" w:cs="Arial" w:eastAsia="Arial" w:hAnsi="Arial"/>
          <w:sz w:val="18"/>
          <w:szCs w:val="18"/>
          <w:b w:val="1"/>
          <w:bCs w:val="1"/>
          <w:color w:val="00386C"/>
        </w:rPr>
      </w:pPr>
      <w:r>
        <w:rPr>
          <w:rFonts w:ascii="Arial" w:cs="Arial" w:eastAsia="Arial" w:hAnsi="Arial"/>
          <w:sz w:val="18"/>
          <w:szCs w:val="18"/>
          <w:b w:val="1"/>
          <w:bCs w:val="1"/>
          <w:color w:val="00386C"/>
        </w:rPr>
        <w:t>Derivative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8427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use derivative instruments to reduce our exposure to fluctuations in future commodity prices and to protect our expected operating cash flow against significant market movements or volatility. All of our natural gas, oil and NGL derivative instruments are net settled based on the difference between the fixed-price payment and the floating-price payment, resulting in a net amount due to or from the counterparty. None of our open natural gas, oil and NGL derivative instruments were designated for hedge accounting as of December 31, 2024 and 2023.</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Derivatives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2024 and 2023, our natural gas, oil and NGL derivative instruments consisted of the following types of instruments:</w:t>
      </w:r>
    </w:p>
    <w:p>
      <w:pPr>
        <w:spacing w:after="0" w:line="171" w:lineRule="exact"/>
        <w:rPr>
          <w:sz w:val="20"/>
          <w:szCs w:val="20"/>
          <w:color w:val="auto"/>
        </w:rPr>
      </w:pPr>
    </w:p>
    <w:p>
      <w:pPr>
        <w:ind w:left="660" w:hanging="247"/>
        <w:spacing w:after="0" w:line="287" w:lineRule="auto"/>
        <w:tabs>
          <w:tab w:leader="none" w:pos="65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Swaps</w:t>
      </w:r>
      <w:r>
        <w:rPr>
          <w:rFonts w:ascii="Arial" w:cs="Arial" w:eastAsia="Arial" w:hAnsi="Arial"/>
          <w:sz w:val="18"/>
          <w:szCs w:val="18"/>
          <w:color w:val="auto"/>
        </w:rPr>
        <w:t>: We receive a fixed price and pay a floating market price to the counterparty for the hedged commodity. In exchange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higher fixed prices on certain of our swap trades, we may sell call options and swap options.</w:t>
      </w:r>
    </w:p>
    <w:p>
      <w:pPr>
        <w:spacing w:after="0" w:line="98" w:lineRule="exact"/>
        <w:rPr>
          <w:rFonts w:ascii="Arial" w:cs="Arial" w:eastAsia="Arial" w:hAnsi="Arial"/>
          <w:sz w:val="18"/>
          <w:szCs w:val="18"/>
          <w:i w:val="1"/>
          <w:iCs w:val="1"/>
          <w:color w:val="auto"/>
        </w:rPr>
      </w:pPr>
    </w:p>
    <w:p>
      <w:pPr>
        <w:jc w:val="both"/>
        <w:ind w:left="660" w:hanging="247"/>
        <w:spacing w:after="0" w:line="268"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We have bought and sold call options in exchange for a premium. At the time of settlement, if the market price exceeded</w:t>
      </w:r>
      <w:r>
        <w:rPr>
          <w:rFonts w:ascii="Arial" w:cs="Arial" w:eastAsia="Arial" w:hAnsi="Arial"/>
          <w:sz w:val="18"/>
          <w:szCs w:val="18"/>
          <w:i w:val="1"/>
          <w:iCs w:val="1"/>
          <w:color w:val="auto"/>
        </w:rPr>
        <w:t xml:space="preserve"> </w:t>
      </w:r>
      <w:r>
        <w:rPr>
          <w:rFonts w:ascii="Arial" w:cs="Arial" w:eastAsia="Arial" w:hAnsi="Arial"/>
          <w:sz w:val="18"/>
          <w:szCs w:val="18"/>
          <w:color w:val="auto"/>
        </w:rPr>
        <w:t>the fixed price of the call option, we paid the counterparty the excess on sold call options and received the excess on bought call options. If the market price settled below the fixed price of the call option, no payment was due from either party.</w:t>
      </w:r>
    </w:p>
    <w:p>
      <w:pPr>
        <w:spacing w:after="0" w:line="116" w:lineRule="exact"/>
        <w:rPr>
          <w:rFonts w:ascii="Arial" w:cs="Arial" w:eastAsia="Arial" w:hAnsi="Arial"/>
          <w:sz w:val="18"/>
          <w:szCs w:val="18"/>
          <w:color w:val="auto"/>
        </w:rPr>
      </w:pPr>
    </w:p>
    <w:p>
      <w:pPr>
        <w:jc w:val="both"/>
        <w:ind w:left="660" w:hanging="247"/>
        <w:spacing w:after="0" w:line="259"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Collars</w:t>
      </w:r>
      <w:r>
        <w:rPr>
          <w:rFonts w:ascii="Arial" w:cs="Arial" w:eastAsia="Arial" w:hAnsi="Arial"/>
          <w:sz w:val="18"/>
          <w:szCs w:val="18"/>
          <w:color w:val="auto"/>
        </w:rPr>
        <w:t>: These instruments contain a fixed floor price (put) and ceiling price (call). If the market price exceeds the call strike price or</w:t>
      </w:r>
      <w:r>
        <w:rPr>
          <w:rFonts w:ascii="Arial" w:cs="Arial" w:eastAsia="Arial" w:hAnsi="Arial"/>
          <w:sz w:val="18"/>
          <w:szCs w:val="18"/>
          <w:i w:val="1"/>
          <w:iCs w:val="1"/>
          <w:color w:val="auto"/>
        </w:rPr>
        <w:t xml:space="preserve"> </w:t>
      </w:r>
      <w:r>
        <w:rPr>
          <w:rFonts w:ascii="Arial" w:cs="Arial" w:eastAsia="Arial" w:hAnsi="Arial"/>
          <w:sz w:val="18"/>
          <w:szCs w:val="18"/>
          <w:color w:val="auto"/>
        </w:rPr>
        <w:t>falls below the put strike price, we receive the fixed price and pay the market price. If the market price is between the put and the call strike prices, no payments are due from either party. Three-way collars included the sale by us of an additional put option in exchange for a more favorable strike price on the call option. This eliminated the counterparty’s downside exposure below the second put option strike price.</w:t>
      </w:r>
    </w:p>
    <w:p>
      <w:pPr>
        <w:spacing w:after="0" w:line="125" w:lineRule="exact"/>
        <w:rPr>
          <w:rFonts w:ascii="Arial" w:cs="Arial" w:eastAsia="Arial" w:hAnsi="Arial"/>
          <w:sz w:val="18"/>
          <w:szCs w:val="18"/>
          <w:color w:val="auto"/>
        </w:rPr>
      </w:pPr>
    </w:p>
    <w:p>
      <w:pPr>
        <w:jc w:val="both"/>
        <w:ind w:left="660" w:hanging="247"/>
        <w:spacing w:after="0" w:line="268" w:lineRule="auto"/>
        <w:tabs>
          <w:tab w:leader="none" w:pos="655"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Basis Protection Swaps</w:t>
      </w:r>
      <w:r>
        <w:rPr>
          <w:rFonts w:ascii="Arial" w:cs="Arial" w:eastAsia="Arial" w:hAnsi="Arial"/>
          <w:sz w:val="18"/>
          <w:szCs w:val="18"/>
          <w:color w:val="auto"/>
        </w:rPr>
        <w:t>: These instruments are arrangements that guarantee a fixed price differential to NYMEX from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point. We receive the fixed price differential and pay the floating market price differential to the counterparty for the hedged commodity.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Contingent Consideration Arrangement</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November 2023, we sold the final portion of our Eagle Ford assets to SilverBow. As part of the divestiture agreement, SilverBow agreed to pay the Company an additional contingent payment of $25 million should WTI NYMEX prices average between $75 and $80 per barrel or $50 million should WTI NYMEX prices average above $80 per barrel during the year following the close of the transaction. On July 30, 2024, Crescent acquired SilverBow. The changes in fair value, and the realized gains were recognized as a gain or loss in earnings in the period they occurred within natural gas, oil and NGL derivatives in our consolidated statements of operations. During 2024, we received the contingent payment of $25 million from Crescent based upon the average NYMEX prices during the year following the close of the transaction.</w:t>
      </w:r>
    </w:p>
    <w:p>
      <w:pPr>
        <w:spacing w:after="0" w:line="30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estimated fair values of our natural gas, oil and NGL derivative instrument assets (liabilities) as of December 31, 2024 and 2023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December 31, 2024</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30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442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Notional Volume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Notional Volume</w:t>
            </w:r>
          </w:p>
        </w:tc>
        <w:tc>
          <w:tcPr>
            <w:tcW w:w="24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Natural gas (Bcf):</w:t>
            </w:r>
          </w:p>
        </w:tc>
        <w:tc>
          <w:tcPr>
            <w:tcW w:w="15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200" w:type="dxa"/>
            <w:vAlign w:val="bottom"/>
            <w:tcBorders>
              <w:top w:val="single" w:sz="8" w:color="auto"/>
            </w:tcBorders>
            <w:shd w:val="clear" w:color="auto" w:fill="DBDBDB"/>
          </w:tcPr>
          <w:p>
            <w:pPr>
              <w:spacing w:after="0"/>
              <w:rPr>
                <w:sz w:val="18"/>
                <w:szCs w:val="18"/>
                <w:color w:val="auto"/>
              </w:rPr>
            </w:pPr>
          </w:p>
        </w:tc>
        <w:tc>
          <w:tcPr>
            <w:tcW w:w="340" w:type="dxa"/>
            <w:vAlign w:val="bottom"/>
            <w:tcBorders>
              <w:top w:val="single" w:sz="8" w:color="auto"/>
            </w:tcBorders>
            <w:shd w:val="clear" w:color="auto" w:fill="DBDBDB"/>
          </w:tcPr>
          <w:p>
            <w:pPr>
              <w:spacing w:after="0"/>
              <w:rPr>
                <w:sz w:val="18"/>
                <w:szCs w:val="18"/>
                <w:color w:val="auto"/>
              </w:rPr>
            </w:pPr>
          </w:p>
        </w:tc>
        <w:tc>
          <w:tcPr>
            <w:tcW w:w="220" w:type="dxa"/>
            <w:vAlign w:val="bottom"/>
            <w:tcBorders>
              <w:top w:val="single" w:sz="8" w:color="DBDBDB"/>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320" w:type="dxa"/>
            <w:vAlign w:val="bottom"/>
            <w:tcBorders>
              <w:top w:val="single" w:sz="8" w:color="auto"/>
            </w:tcBorders>
            <w:shd w:val="clear" w:color="auto" w:fill="DBDBDB"/>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Fixed-price swaps</w:t>
            </w:r>
          </w:p>
        </w:tc>
        <w:tc>
          <w:tcPr>
            <w:tcW w:w="1560" w:type="dxa"/>
            <w:vAlign w:val="bottom"/>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(28)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Collars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1,098</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3"/>
              </w:rPr>
              <w:t>(27)</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442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Call options (purchased)</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DBDBDB"/>
          </w:tcPr>
          <w:p>
            <w:pPr>
              <w:spacing w:after="0"/>
              <w:rPr>
                <w:sz w:val="19"/>
                <w:szCs w:val="19"/>
                <w:color w:val="auto"/>
              </w:rPr>
            </w:pPr>
          </w:p>
        </w:tc>
        <w:tc>
          <w:tcPr>
            <w:tcW w:w="17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Call options (sold)</w:t>
            </w:r>
          </w:p>
        </w:tc>
        <w:tc>
          <w:tcPr>
            <w:tcW w:w="156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(16)</w:t>
            </w:r>
          </w:p>
        </w:tc>
        <w:tc>
          <w:tcPr>
            <w:tcW w:w="2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Basis protection swaps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3"/>
              </w:rPr>
              <w:t>(39)</w:t>
            </w:r>
          </w:p>
        </w:tc>
        <w:tc>
          <w:tcPr>
            <w:tcW w:w="17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natural gas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w:t>
            </w:r>
          </w:p>
        </w:tc>
        <w:tc>
          <w:tcPr>
            <w:tcW w:w="200" w:type="dxa"/>
            <w:vAlign w:val="bottom"/>
            <w:tcBorders>
              <w:bottom w:val="single" w:sz="8" w:color="DBDBDB"/>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(49)</w:t>
            </w:r>
          </w:p>
        </w:tc>
        <w:tc>
          <w:tcPr>
            <w:tcW w:w="220" w:type="dxa"/>
            <w:vAlign w:val="bottom"/>
            <w:tcBorders>
              <w:bottom w:val="single" w:sz="8" w:color="DBDBDB"/>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Oil (MMBbls):</w:t>
            </w:r>
          </w:p>
        </w:tc>
        <w:tc>
          <w:tcPr>
            <w:tcW w:w="1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Three-way collars</w:t>
            </w: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oil</w:t>
            </w: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DBDBDB"/>
            </w:tcBorders>
            <w:shd w:val="clear" w:color="auto" w:fill="DBDBDB"/>
          </w:tcPr>
          <w:p>
            <w:pPr>
              <w:spacing w:after="0"/>
              <w:rPr>
                <w:sz w:val="19"/>
                <w:szCs w:val="19"/>
                <w:color w:val="auto"/>
              </w:rPr>
            </w:pPr>
          </w:p>
        </w:tc>
        <w:tc>
          <w:tcPr>
            <w:tcW w:w="1200" w:type="dxa"/>
            <w:vAlign w:val="bottom"/>
            <w:tcBorders>
              <w:top w:val="single" w:sz="8" w:color="auto"/>
              <w:bottom w:val="single" w:sz="8" w:color="auto"/>
            </w:tcBorders>
            <w:shd w:val="clear" w:color="auto" w:fill="DBDBDB"/>
          </w:tcPr>
          <w:p>
            <w:pPr>
              <w:spacing w:after="0"/>
              <w:rPr>
                <w:sz w:val="19"/>
                <w:szCs w:val="19"/>
                <w:color w:val="auto"/>
              </w:rPr>
            </w:pPr>
          </w:p>
        </w:tc>
        <w:tc>
          <w:tcPr>
            <w:tcW w:w="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bottom w:val="single" w:sz="8" w:color="auto"/>
            </w:tcBorders>
            <w:shd w:val="clear" w:color="auto" w:fill="DBDBDB"/>
          </w:tcPr>
          <w:p>
            <w:pPr>
              <w:spacing w:after="0"/>
              <w:rPr>
                <w:sz w:val="19"/>
                <w:szCs w:val="19"/>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b w:val="1"/>
                <w:bCs w:val="1"/>
                <w:color w:val="auto"/>
              </w:rPr>
              <w:t>NGLs (MMBbls):</w:t>
            </w: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44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Fixed-price swaps</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DBDBDB"/>
          </w:tcPr>
          <w:p>
            <w:pPr>
              <w:spacing w:after="0"/>
              <w:rPr>
                <w:sz w:val="19"/>
                <w:szCs w:val="19"/>
                <w:color w:val="auto"/>
              </w:rPr>
            </w:pPr>
          </w:p>
        </w:tc>
        <w:tc>
          <w:tcPr>
            <w:tcW w:w="17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Total NGL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DBDBDB"/>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DBDBDB"/>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Contingent Consideration:</w:t>
            </w:r>
          </w:p>
        </w:tc>
        <w:tc>
          <w:tcPr>
            <w:tcW w:w="15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320" w:type="dxa"/>
            <w:vAlign w:val="bottom"/>
            <w:shd w:val="clear" w:color="auto" w:fill="DBDBDB"/>
          </w:tcPr>
          <w:p>
            <w:pPr>
              <w:spacing w:after="0"/>
              <w:rPr>
                <w:sz w:val="18"/>
                <w:szCs w:val="18"/>
                <w:color w:val="auto"/>
              </w:rPr>
            </w:pPr>
          </w:p>
        </w:tc>
      </w:tr>
      <w:tr>
        <w:trPr>
          <w:trHeight w:val="230"/>
        </w:trPr>
        <w:tc>
          <w:tcPr>
            <w:tcW w:w="442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Eagle Ford divestiture</w:t>
            </w:r>
          </w:p>
        </w:tc>
        <w:tc>
          <w:tcPr>
            <w:tcW w:w="156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tcPr>
          <w:p>
            <w:pPr>
              <w:spacing w:after="0"/>
              <w:rPr>
                <w:sz w:val="19"/>
                <w:szCs w:val="19"/>
                <w:color w:val="auto"/>
              </w:rPr>
            </w:pPr>
          </w:p>
        </w:tc>
        <w:tc>
          <w:tcPr>
            <w:tcW w:w="1540" w:type="dxa"/>
            <w:vAlign w:val="bottom"/>
            <w:tcBorders>
              <w:bottom w:val="single" w:sz="8" w:color="DBDBDB"/>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442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estimated fair value</w:t>
            </w:r>
          </w:p>
        </w:tc>
        <w:tc>
          <w:tcPr>
            <w:tcW w:w="156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auto"/>
            </w:tcBorders>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3"/>
              </w:rPr>
              <w:t>(54)</w:t>
            </w:r>
          </w:p>
        </w:tc>
        <w:tc>
          <w:tcPr>
            <w:tcW w:w="220" w:type="dxa"/>
            <w:vAlign w:val="bottom"/>
            <w:tcBorders>
              <w:bottom w:val="single" w:sz="8" w:color="DBDBDB"/>
            </w:tcBorders>
            <w:shd w:val="clear" w:color="auto" w:fill="DBDBDB"/>
          </w:tcPr>
          <w:p>
            <w:pPr>
              <w:spacing w:after="0"/>
              <w:rPr>
                <w:sz w:val="21"/>
                <w:szCs w:val="21"/>
                <w:color w:val="auto"/>
              </w:rPr>
            </w:pPr>
          </w:p>
        </w:tc>
        <w:tc>
          <w:tcPr>
            <w:tcW w:w="15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699</w:t>
            </w:r>
          </w:p>
        </w:tc>
      </w:tr>
      <w:tr>
        <w:trPr>
          <w:trHeight w:val="20"/>
        </w:trPr>
        <w:tc>
          <w:tcPr>
            <w:tcW w:w="442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Effect of Derivative Instruments – Consolidated Balance Sheets</w:t>
      </w:r>
    </w:p>
    <w:p>
      <w:pPr>
        <w:spacing w:after="0" w:line="16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presents the fair value and location of each classification of derivative instrument included in the consolidated balance sheets as of December 31, 2024 and 2023 on a gross basis and after same-counterparty netting: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Amounts Netted</w:t>
            </w:r>
          </w:p>
        </w:tc>
        <w:tc>
          <w:tcPr>
            <w:tcW w:w="240" w:type="dxa"/>
            <w:vAlign w:val="bottom"/>
          </w:tcPr>
          <w:p>
            <w:pPr>
              <w:spacing w:after="0"/>
              <w:rPr>
                <w:sz w:val="17"/>
                <w:szCs w:val="17"/>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Net Fair Value</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6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Gross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40"/>
              <w:spacing w:after="0" w:line="176" w:lineRule="exact"/>
              <w:rPr>
                <w:sz w:val="20"/>
                <w:szCs w:val="20"/>
                <w:color w:val="auto"/>
              </w:rPr>
            </w:pPr>
            <w:r>
              <w:rPr>
                <w:rFonts w:ascii="Arial" w:cs="Arial" w:eastAsia="Arial" w:hAnsi="Arial"/>
                <w:sz w:val="18"/>
                <w:szCs w:val="18"/>
                <w:b w:val="1"/>
                <w:bCs w:val="1"/>
                <w:color w:val="auto"/>
                <w:w w:val="99"/>
              </w:rPr>
              <w:t>in the</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9"/>
              </w:rPr>
              <w:t>Presented in the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2"/>
          </w:tcPr>
          <w:p>
            <w:pPr>
              <w:jc w:val="center"/>
              <w:ind w:right="460"/>
              <w:spacing w:after="0" w:line="176" w:lineRule="exact"/>
              <w:rPr>
                <w:sz w:val="20"/>
                <w:szCs w:val="20"/>
                <w:color w:val="auto"/>
              </w:rPr>
            </w:pPr>
            <w:r>
              <w:rPr>
                <w:rFonts w:ascii="Arial" w:cs="Arial" w:eastAsia="Arial" w:hAnsi="Arial"/>
                <w:sz w:val="18"/>
                <w:szCs w:val="18"/>
                <w:b w:val="1"/>
                <w:bCs w:val="1"/>
                <w:color w:val="auto"/>
                <w:w w:val="99"/>
              </w:rPr>
              <w:t>Consolidated</w:t>
            </w:r>
          </w:p>
        </w:tc>
        <w:tc>
          <w:tcPr>
            <w:tcW w:w="240" w:type="dxa"/>
            <w:vAlign w:val="bottom"/>
          </w:tcPr>
          <w:p>
            <w:pPr>
              <w:spacing w:after="0"/>
              <w:rPr>
                <w:sz w:val="15"/>
                <w:szCs w:val="15"/>
                <w:color w:val="auto"/>
              </w:rPr>
            </w:pPr>
          </w:p>
        </w:tc>
        <w:tc>
          <w:tcPr>
            <w:tcW w:w="19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8"/>
              </w:rPr>
              <w:t>Consolidated</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1"/>
                <w:szCs w:val="21"/>
                <w:color w:val="auto"/>
              </w:rPr>
            </w:pPr>
          </w:p>
        </w:tc>
        <w:tc>
          <w:tcPr>
            <w:tcW w:w="1620" w:type="dxa"/>
            <w:vAlign w:val="bottom"/>
          </w:tcPr>
          <w:p>
            <w:pPr>
              <w:jc w:val="right"/>
              <w:spacing w:after="0" w:line="24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Balance Sheets</w:t>
            </w:r>
          </w:p>
        </w:tc>
        <w:tc>
          <w:tcPr>
            <w:tcW w:w="240" w:type="dxa"/>
            <w:vAlign w:val="bottom"/>
          </w:tcPr>
          <w:p>
            <w:pPr>
              <w:spacing w:after="0"/>
              <w:rPr>
                <w:sz w:val="21"/>
                <w:szCs w:val="21"/>
                <w:color w:val="auto"/>
              </w:rPr>
            </w:pPr>
          </w:p>
        </w:tc>
        <w:tc>
          <w:tcPr>
            <w:tcW w:w="1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Balance Sheets</w:t>
            </w:r>
          </w:p>
        </w:tc>
        <w:tc>
          <w:tcPr>
            <w:tcW w:w="0" w:type="dxa"/>
            <w:vAlign w:val="bottom"/>
          </w:tcPr>
          <w:p>
            <w:pPr>
              <w:spacing w:after="0"/>
              <w:rPr>
                <w:sz w:val="1"/>
                <w:szCs w:val="1"/>
                <w:color w:val="auto"/>
              </w:rPr>
            </w:pPr>
          </w:p>
        </w:tc>
      </w:tr>
      <w:tr>
        <w:trPr>
          <w:trHeight w:val="210"/>
        </w:trPr>
        <w:tc>
          <w:tcPr>
            <w:tcW w:w="4380" w:type="dxa"/>
            <w:vAlign w:val="bottom"/>
            <w:tcBorders>
              <w:top w:val="single" w:sz="8" w:color="DBDBDB"/>
            </w:tcBorders>
            <w:shd w:val="clear" w:color="auto" w:fill="DBDBDB"/>
          </w:tcPr>
          <w:p>
            <w:pPr>
              <w:jc w:val="center"/>
              <w:ind w:right="2130"/>
              <w:spacing w:after="0"/>
              <w:rPr>
                <w:sz w:val="20"/>
                <w:szCs w:val="20"/>
                <w:color w:val="auto"/>
              </w:rPr>
            </w:pPr>
            <w:r>
              <w:rPr>
                <w:rFonts w:ascii="Arial" w:cs="Arial" w:eastAsia="Arial" w:hAnsi="Arial"/>
                <w:sz w:val="18"/>
                <w:szCs w:val="18"/>
                <w:b w:val="1"/>
                <w:bCs w:val="1"/>
                <w:color w:val="auto"/>
                <w:w w:val="99"/>
              </w:rPr>
              <w:t>As of December 31, 2024</w:t>
            </w:r>
          </w:p>
        </w:tc>
        <w:tc>
          <w:tcPr>
            <w:tcW w:w="1620" w:type="dxa"/>
            <w:vAlign w:val="bottom"/>
            <w:tcBorders>
              <w:top w:val="single" w:sz="8" w:color="auto"/>
            </w:tcBorders>
            <w:shd w:val="clear" w:color="auto" w:fill="DBDBDB"/>
          </w:tcPr>
          <w:p>
            <w:pPr>
              <w:spacing w:after="0"/>
              <w:rPr>
                <w:sz w:val="18"/>
                <w:szCs w:val="18"/>
                <w:color w:val="auto"/>
              </w:rPr>
            </w:pPr>
          </w:p>
        </w:tc>
        <w:tc>
          <w:tcPr>
            <w:tcW w:w="5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240" w:type="dxa"/>
            <w:vAlign w:val="bottom"/>
            <w:tcBorders>
              <w:top w:val="single" w:sz="8" w:color="auto"/>
            </w:tcBorders>
            <w:shd w:val="clear" w:color="auto" w:fill="DBDBDB"/>
          </w:tcPr>
          <w:p>
            <w:pPr>
              <w:spacing w:after="0"/>
              <w:rPr>
                <w:sz w:val="18"/>
                <w:szCs w:val="18"/>
                <w:color w:val="auto"/>
              </w:rPr>
            </w:pPr>
          </w:p>
        </w:tc>
        <w:tc>
          <w:tcPr>
            <w:tcW w:w="192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Contingent Consideration:</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380" w:type="dxa"/>
            <w:vAlign w:val="bottom"/>
            <w:tcBorders>
              <w:top w:val="single" w:sz="8" w:color="DBDBDB"/>
              <w:bottom w:val="single" w:sz="8" w:color="DBDBDB"/>
            </w:tcBorders>
            <w:shd w:val="clear" w:color="auto" w:fill="DBDBDB"/>
          </w:tcPr>
          <w:p>
            <w:pPr>
              <w:jc w:val="center"/>
              <w:ind w:right="209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top w:val="single" w:sz="8" w:color="auto"/>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438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DBDBDB"/>
          </w:tcPr>
          <w:p>
            <w:pPr>
              <w:jc w:val="center"/>
              <w:ind w:right="2130"/>
              <w:spacing w:after="0"/>
              <w:rPr>
                <w:sz w:val="20"/>
                <w:szCs w:val="20"/>
                <w:color w:val="auto"/>
              </w:rPr>
            </w:pPr>
            <w:r>
              <w:rPr>
                <w:rFonts w:ascii="Arial" w:cs="Arial" w:eastAsia="Arial" w:hAnsi="Arial"/>
                <w:sz w:val="18"/>
                <w:szCs w:val="18"/>
                <w:b w:val="1"/>
                <w:bCs w:val="1"/>
                <w:color w:val="auto"/>
                <w:w w:val="99"/>
              </w:rPr>
              <w:t>As of December 31, 2023</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1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Long-term derivative liability</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3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Contingent Consideration:</w:t>
            </w:r>
          </w:p>
        </w:tc>
        <w:tc>
          <w:tcPr>
            <w:tcW w:w="162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9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Short-term derivative asset</w:t>
            </w:r>
          </w:p>
        </w:tc>
        <w:tc>
          <w:tcPr>
            <w:tcW w:w="16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380" w:type="dxa"/>
            <w:vAlign w:val="bottom"/>
            <w:tcBorders>
              <w:top w:val="single" w:sz="8" w:color="DBDBDB"/>
              <w:bottom w:val="single" w:sz="8" w:color="DBDBDB"/>
            </w:tcBorders>
            <w:shd w:val="clear" w:color="auto" w:fill="DBDBDB"/>
          </w:tcPr>
          <w:p>
            <w:pPr>
              <w:jc w:val="center"/>
              <w:ind w:right="2090"/>
              <w:spacing w:after="0"/>
              <w:rPr>
                <w:sz w:val="20"/>
                <w:szCs w:val="20"/>
                <w:color w:val="auto"/>
              </w:rPr>
            </w:pPr>
            <w:r>
              <w:rPr>
                <w:rFonts w:ascii="Arial" w:cs="Arial" w:eastAsia="Arial" w:hAnsi="Arial"/>
                <w:sz w:val="18"/>
                <w:szCs w:val="18"/>
                <w:color w:val="auto"/>
                <w:w w:val="97"/>
              </w:rPr>
              <w:t>Total derivatives</w:t>
            </w:r>
          </w:p>
        </w:tc>
        <w:tc>
          <w:tcPr>
            <w:tcW w:w="1620" w:type="dxa"/>
            <w:vAlign w:val="bottom"/>
            <w:tcBorders>
              <w:top w:val="single" w:sz="8" w:color="auto"/>
              <w:bottom w:val="single" w:sz="8" w:color="auto"/>
            </w:tcBorders>
            <w:shd w:val="clear" w:color="auto" w:fill="DBDBDB"/>
          </w:tcPr>
          <w:p>
            <w:pPr>
              <w:jc w:val="right"/>
              <w:ind w:right="14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438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financial assets (liabilities) are measured at fair value on a recurring basis utilizing significant other observable inputs; see further discussion on fair value measurements below.</w:t>
      </w:r>
    </w:p>
    <w:p>
      <w:pPr>
        <w:spacing w:after="0" w:line="10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1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fair value of our commodity derivatives is based on third-party pricing models, which utilize inputs that are either readily available in the public market, such as natural gas, oil and NGL forward curves and discount rates, or can be corroborated from active markets or broker quotes, and, as such, are classified as Level 2. These values are compared to the values given by our counterparties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 The valuation of the contingent consideration is based on an option pricing model using significant Level 2 inputs that include quoted future commodity prices based on active markets.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 Considerations</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derivative instruments expose us to our counterparties’ credit risk. To mitigate this risk, we only enter into commodity contracts derivatives with counterparties that are highly rated or deemed by us to have acceptable credit strength and deemed by management to be competent and competitive market-makers, and we attempt to limit our exposure to non-performance by any single counterparty. As of December 31, 2024, our commodity contracts derivative instruments were spread among 20 counterparties.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Hedging Arrangements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Certain of our hedging arrangements are with counterparties that are also Lenders (or affiliates of Lenders) under our Credit Facility. The contracts entered into with these counterparties were previously secured by the same collateral that secured the Pre-IG Credit Facility, but such collateral was released on October 28, 2024 in connection with the Investment Grade Credit Agreement Amendment. We do not expect to post cash or letters of credit to secure our obligations under such contracts while we have the investment grade ratings described in </w:t>
      </w:r>
      <w:r>
        <w:rPr>
          <w:rFonts w:ascii="Arial" w:cs="Arial" w:eastAsia="Arial" w:hAnsi="Arial"/>
          <w:sz w:val="18"/>
          <w:szCs w:val="18"/>
          <w:u w:val="single" w:color="auto"/>
          <w:color w:val="0000FF"/>
        </w:rPr>
        <w:t>Note 4</w:t>
      </w:r>
      <w:r>
        <w:rPr>
          <w:rFonts w:ascii="Arial" w:cs="Arial" w:eastAsia="Arial" w:hAnsi="Arial"/>
          <w:sz w:val="18"/>
          <w:szCs w:val="18"/>
          <w:color w:val="auto"/>
        </w:rPr>
        <w:t>. The obligations under these contracts must be secured by cash or letters of credit to the extent that any mark-to-market amounts exceed defined thresholds. As of December 31, 2024, we did not have any cash or letters of credit posted as collateral for our commodity derivatives.</w:t>
      </w:r>
    </w:p>
    <w:p>
      <w:pPr>
        <w:spacing w:after="0" w:line="210" w:lineRule="exact"/>
        <w:rPr>
          <w:sz w:val="20"/>
          <w:szCs w:val="20"/>
          <w:color w:val="auto"/>
        </w:rPr>
      </w:pPr>
    </w:p>
    <w:p>
      <w:pPr>
        <w:ind w:left="480" w:hanging="454"/>
        <w:spacing w:after="0"/>
        <w:tabs>
          <w:tab w:leader="none" w:pos="480" w:val="left"/>
        </w:tabs>
        <w:numPr>
          <w:ilvl w:val="0"/>
          <w:numId w:val="51"/>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714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other property and equipment held for use and the estimated useful lives thereof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Estimated</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15"/>
                <w:szCs w:val="15"/>
                <w:color w:val="auto"/>
              </w:rPr>
            </w:pPr>
          </w:p>
        </w:tc>
        <w:tc>
          <w:tcPr>
            <w:tcW w:w="19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tcPr>
          <w:p>
            <w:pPr>
              <w:spacing w:after="0"/>
              <w:rPr>
                <w:sz w:val="15"/>
                <w:szCs w:val="15"/>
                <w:color w:val="auto"/>
              </w:rPr>
            </w:pPr>
          </w:p>
        </w:tc>
        <w:tc>
          <w:tcPr>
            <w:tcW w:w="12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Useful</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c>
          <w:tcPr>
            <w:tcW w:w="0" w:type="dxa"/>
            <w:vAlign w:val="bottom"/>
          </w:tcPr>
          <w:p>
            <w:pPr>
              <w:spacing w:after="0"/>
              <w:rPr>
                <w:sz w:val="1"/>
                <w:szCs w:val="1"/>
                <w:color w:val="auto"/>
              </w:rPr>
            </w:pPr>
          </w:p>
        </w:tc>
      </w:tr>
      <w:tr>
        <w:trPr>
          <w:trHeight w:val="230"/>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Buildings and improvements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316</w:t>
            </w:r>
          </w:p>
        </w:tc>
        <w:tc>
          <w:tcPr>
            <w:tcW w:w="1440" w:type="dxa"/>
            <w:vAlign w:val="bottom"/>
            <w:gridSpan w:val="2"/>
            <w:shd w:val="clear" w:color="auto" w:fill="DBDBDB"/>
          </w:tcPr>
          <w:p>
            <w:pPr>
              <w:jc w:val="center"/>
              <w:ind w:left="110"/>
              <w:spacing w:after="0"/>
              <w:rPr>
                <w:sz w:val="20"/>
                <w:szCs w:val="20"/>
                <w:color w:val="auto"/>
              </w:rPr>
            </w:pPr>
            <w:r>
              <w:rPr>
                <w:rFonts w:ascii="Arial" w:cs="Arial" w:eastAsia="Arial" w:hAnsi="Arial"/>
                <w:sz w:val="18"/>
                <w:szCs w:val="18"/>
                <w:color w:val="auto"/>
                <w:w w:val="99"/>
              </w:rPr>
              <w:t>10 - 39</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94</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30"/>
        </w:trPr>
        <w:tc>
          <w:tcPr>
            <w:tcW w:w="538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Gathering and water systems</w:t>
            </w:r>
            <w:r>
              <w:rPr>
                <w:rFonts w:ascii="Arial" w:cs="Arial" w:eastAsia="Arial" w:hAnsi="Arial"/>
                <w:sz w:val="23"/>
                <w:szCs w:val="23"/>
                <w:color w:val="auto"/>
                <w:vertAlign w:val="superscript"/>
              </w:rPr>
              <w:t>(a)</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BDBDB"/>
          </w:tcPr>
          <w:p>
            <w:pPr>
              <w:jc w:val="center"/>
              <w:ind w:left="90"/>
              <w:spacing w:after="0"/>
              <w:rPr>
                <w:sz w:val="20"/>
                <w:szCs w:val="20"/>
                <w:color w:val="auto"/>
              </w:rPr>
            </w:pPr>
            <w:r>
              <w:rPr>
                <w:rFonts w:ascii="Arial" w:cs="Arial" w:eastAsia="Arial" w:hAnsi="Arial"/>
                <w:sz w:val="18"/>
                <w:szCs w:val="18"/>
                <w:color w:val="auto"/>
                <w:w w:val="99"/>
              </w:rPr>
              <w:t>7 - 20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w:t>
            </w:r>
          </w:p>
        </w:tc>
        <w:tc>
          <w:tcPr>
            <w:tcW w:w="144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7 - 10</w:t>
            </w:r>
          </w:p>
        </w:tc>
        <w:tc>
          <w:tcPr>
            <w:tcW w:w="0" w:type="dxa"/>
            <w:vAlign w:val="bottom"/>
          </w:tcPr>
          <w:p>
            <w:pPr>
              <w:spacing w:after="0"/>
              <w:rPr>
                <w:sz w:val="1"/>
                <w:szCs w:val="1"/>
                <w:color w:val="auto"/>
              </w:rPr>
            </w:pPr>
          </w:p>
        </w:tc>
      </w:tr>
      <w:tr>
        <w:trPr>
          <w:trHeight w:val="229"/>
        </w:trPr>
        <w:tc>
          <w:tcPr>
            <w:tcW w:w="5380" w:type="dxa"/>
            <w:vAlign w:val="bottom"/>
            <w:shd w:val="clear" w:color="auto" w:fill="DBDBDB"/>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40" w:type="dxa"/>
            <w:vAlign w:val="bottom"/>
            <w:tcBorders>
              <w:bottom w:val="single" w:sz="8" w:color="DBDBDB"/>
            </w:tcBorders>
            <w:gridSpan w:val="2"/>
          </w:tcPr>
          <w:p>
            <w:pPr>
              <w:jc w:val="center"/>
              <w:ind w:left="90"/>
              <w:spacing w:after="0"/>
              <w:rPr>
                <w:sz w:val="20"/>
                <w:szCs w:val="20"/>
                <w:color w:val="auto"/>
              </w:rPr>
            </w:pPr>
            <w:r>
              <w:rPr>
                <w:rFonts w:ascii="Arial" w:cs="Arial" w:eastAsia="Arial" w:hAnsi="Arial"/>
                <w:sz w:val="18"/>
                <w:szCs w:val="18"/>
                <w:color w:val="auto"/>
                <w:w w:val="99"/>
              </w:rPr>
              <w:t>3 - 30</w:t>
            </w:r>
          </w:p>
        </w:tc>
        <w:tc>
          <w:tcPr>
            <w:tcW w:w="0" w:type="dxa"/>
            <w:vAlign w:val="bottom"/>
          </w:tcPr>
          <w:p>
            <w:pPr>
              <w:spacing w:after="0"/>
              <w:rPr>
                <w:sz w:val="1"/>
                <w:szCs w:val="1"/>
                <w:color w:val="auto"/>
              </w:rPr>
            </w:pPr>
          </w:p>
        </w:tc>
      </w:tr>
      <w:tr>
        <w:trPr>
          <w:trHeight w:val="223"/>
        </w:trPr>
        <w:tc>
          <w:tcPr>
            <w:tcW w:w="53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other property and equipment, at cost</w:t>
            </w: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other property and equipment, net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2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407</w:t>
            </w:r>
          </w:p>
        </w:tc>
        <w:tc>
          <w:tcPr>
            <w:tcW w:w="2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These assets were acquired as a result of the Southwestern Merger.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discussion of this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00" w:hanging="374"/>
        <w:spacing w:after="0"/>
        <w:tabs>
          <w:tab w:leader="none" w:pos="400" w:val="left"/>
        </w:tabs>
        <w:numPr>
          <w:ilvl w:val="1"/>
          <w:numId w:val="52"/>
        </w:numPr>
        <w:rPr>
          <w:rFonts w:ascii="Arial" w:cs="Arial" w:eastAsia="Arial" w:hAnsi="Arial"/>
          <w:sz w:val="18"/>
          <w:szCs w:val="18"/>
          <w:b w:val="1"/>
          <w:bCs w:val="1"/>
          <w:color w:val="00386C"/>
        </w:rPr>
      </w:pPr>
      <w:r>
        <w:rPr>
          <w:rFonts w:ascii="Arial" w:cs="Arial" w:eastAsia="Arial" w:hAnsi="Arial"/>
          <w:sz w:val="18"/>
          <w:szCs w:val="18"/>
          <w:b w:val="1"/>
          <w:bCs w:val="1"/>
          <w:color w:val="00386C"/>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17780</wp:posOffset>
            </wp:positionV>
            <wp:extent cx="7454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Momentum Sustainable Ventures LLC. </w:t>
      </w:r>
      <w:r>
        <w:rPr>
          <w:rFonts w:ascii="Arial" w:cs="Arial" w:eastAsia="Arial" w:hAnsi="Arial"/>
          <w:sz w:val="18"/>
          <w:szCs w:val="18"/>
          <w:color w:val="auto"/>
        </w:rPr>
        <w:t>During the fourth quarter of 2022, the Company entered into an agreement with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Sustainable Ventures LLC to build a new natural gas gathering pipeline and carbon capture project, which will gather and treat natural gas produced in the Haynesville Shale for re-delivery to Gulf Coast markets, including LNG export. The pipeline is expected to have an initial capacity of 1.7 Bcf/d expandable to 2.2 Bcf/d. The carbon capture portion of the project anticipates capturing approximately 1.0 million tons per annum of CO2 and delivering the CO2 to ExxonMobil Low Carbon Solutions Onshore Storage, LLC for additional transportation and storage. The natural gas gathering pipeline is projected for a potential in-service date in the fourth quarter of 2025. We have a 35% interest in the joint venture entity. We have accounted for this investment as an equity method investment, and its carrying value, which is reflected within other long-term assets on the consolidated balance sheets, was $307 million and $238 million as of December 31, 2024 and December 31, 2023, respectively. As of December 31, 2024, the carrying value of our investment included approximately $17 million of capitalized interest related to the project.</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 w:hanging="454"/>
        <w:spacing w:after="0"/>
        <w:tabs>
          <w:tab w:leader="none" w:pos="480" w:val="left"/>
        </w:tabs>
        <w:numPr>
          <w:ilvl w:val="0"/>
          <w:numId w:val="53"/>
        </w:numPr>
        <w:rPr>
          <w:rFonts w:ascii="Arial" w:cs="Arial" w:eastAsia="Arial" w:hAnsi="Arial"/>
          <w:sz w:val="18"/>
          <w:szCs w:val="18"/>
          <w:b w:val="1"/>
          <w:bCs w:val="1"/>
          <w:color w:val="00386C"/>
        </w:rPr>
      </w:pPr>
      <w:r>
        <w:rPr>
          <w:rFonts w:ascii="Arial" w:cs="Arial" w:eastAsia="Arial" w:hAnsi="Arial"/>
          <w:sz w:val="18"/>
          <w:szCs w:val="18"/>
          <w:b w:val="1"/>
          <w:bCs w:val="1"/>
          <w:color w:val="00386C"/>
        </w:rPr>
        <w:t>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6370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change in our asset retirement obligations are shown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60" w:type="dxa"/>
            <w:vAlign w:val="bottom"/>
          </w:tcPr>
          <w:p>
            <w:pPr>
              <w:spacing w:after="0"/>
              <w:rPr>
                <w:sz w:val="20"/>
                <w:szCs w:val="20"/>
                <w:color w:val="auto"/>
              </w:rPr>
            </w:pPr>
          </w:p>
        </w:tc>
        <w:tc>
          <w:tcPr>
            <w:tcW w:w="39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Years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DBDBDB"/>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23"/>
        </w:trPr>
        <w:tc>
          <w:tcPr>
            <w:tcW w:w="6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1560" w:type="dxa"/>
            <w:vAlign w:val="bottom"/>
            <w:shd w:val="clear" w:color="auto" w:fill="DBDBDB"/>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DBDBDB"/>
          </w:tcPr>
          <w:p>
            <w:pPr>
              <w:spacing w:after="0"/>
              <w:rPr>
                <w:sz w:val="19"/>
                <w:szCs w:val="19"/>
                <w:color w:val="auto"/>
              </w:rPr>
            </w:pPr>
          </w:p>
        </w:tc>
        <w:tc>
          <w:tcPr>
            <w:tcW w:w="1540" w:type="dxa"/>
            <w:vAlign w:val="bottom"/>
            <w:shd w:val="clear" w:color="auto" w:fill="DBDBDB"/>
          </w:tcPr>
          <w:p>
            <w:pPr>
              <w:jc w:val="right"/>
              <w:ind w:right="13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(a)</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660" w:type="dxa"/>
            <w:vAlign w:val="bottom"/>
            <w:shd w:val="clear" w:color="auto" w:fill="DBDBDB"/>
          </w:tcPr>
          <w:p>
            <w:pPr>
              <w:ind w:left="140"/>
              <w:spacing w:after="0" w:line="230" w:lineRule="exact"/>
              <w:rPr>
                <w:sz w:val="20"/>
                <w:szCs w:val="20"/>
                <w:color w:val="auto"/>
              </w:rPr>
            </w:pPr>
            <w:r>
              <w:rPr>
                <w:rFonts w:ascii="Arial" w:cs="Arial" w:eastAsia="Arial" w:hAnsi="Arial"/>
                <w:sz w:val="18"/>
                <w:szCs w:val="18"/>
                <w:color w:val="auto"/>
              </w:rPr>
              <w:t>Revisions</w:t>
            </w:r>
            <w:r>
              <w:rPr>
                <w:rFonts w:ascii="Arial" w:cs="Arial" w:eastAsia="Arial" w:hAnsi="Arial"/>
                <w:sz w:val="23"/>
                <w:szCs w:val="23"/>
                <w:color w:val="auto"/>
                <w:vertAlign w:val="superscript"/>
              </w:rPr>
              <w:t>(b)</w:t>
            </w:r>
          </w:p>
        </w:tc>
        <w:tc>
          <w:tcPr>
            <w:tcW w:w="156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660" w:type="dxa"/>
            <w:vAlign w:val="bottom"/>
          </w:tcPr>
          <w:p>
            <w:pPr>
              <w:ind w:left="140"/>
              <w:spacing w:after="0" w:line="230" w:lineRule="exact"/>
              <w:rPr>
                <w:sz w:val="20"/>
                <w:szCs w:val="20"/>
                <w:color w:val="auto"/>
              </w:rPr>
            </w:pPr>
            <w:r>
              <w:rPr>
                <w:rFonts w:ascii="Arial" w:cs="Arial" w:eastAsia="Arial" w:hAnsi="Arial"/>
                <w:sz w:val="18"/>
                <w:szCs w:val="18"/>
                <w:color w:val="auto"/>
              </w:rPr>
              <w:t>Settlements and disposals</w:t>
            </w:r>
            <w:r>
              <w:rPr>
                <w:rFonts w:ascii="Arial" w:cs="Arial" w:eastAsia="Arial" w:hAnsi="Arial"/>
                <w:sz w:val="23"/>
                <w:szCs w:val="23"/>
                <w:color w:val="auto"/>
                <w:vertAlign w:val="superscript"/>
              </w:rPr>
              <w:t>(c)</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6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Accretion expense</w:t>
            </w:r>
          </w:p>
        </w:tc>
        <w:tc>
          <w:tcPr>
            <w:tcW w:w="156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66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Less current portion</w:t>
            </w:r>
          </w:p>
        </w:tc>
        <w:tc>
          <w:tcPr>
            <w:tcW w:w="156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DBDBDB"/>
          </w:tcPr>
          <w:p>
            <w:pPr>
              <w:spacing w:after="0"/>
              <w:rPr>
                <w:sz w:val="19"/>
                <w:szCs w:val="19"/>
                <w:color w:val="auto"/>
              </w:rPr>
            </w:pPr>
          </w:p>
        </w:tc>
        <w:tc>
          <w:tcPr>
            <w:tcW w:w="154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Asset retirement obligations, long-term</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1"/>
        </w:trPr>
        <w:tc>
          <w:tcPr>
            <w:tcW w:w="6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412"/>
        <w:spacing w:after="0" w:line="287" w:lineRule="auto"/>
        <w:tabs>
          <w:tab w:leader="none" w:pos="4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During the year ended December 31, 2024, approximately $251 million of additions relate to the Southwestern Merger.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discussion of this transaction.</w:t>
      </w:r>
    </w:p>
    <w:p>
      <w:pPr>
        <w:spacing w:after="0" w:line="17" w:lineRule="exact"/>
        <w:rPr>
          <w:rFonts w:ascii="Arial" w:cs="Arial" w:eastAsia="Arial" w:hAnsi="Arial"/>
          <w:sz w:val="18"/>
          <w:szCs w:val="18"/>
          <w:color w:val="auto"/>
        </w:rPr>
      </w:pPr>
    </w:p>
    <w:p>
      <w:pPr>
        <w:ind w:left="420" w:hanging="412"/>
        <w:spacing w:after="0" w:line="287" w:lineRule="auto"/>
        <w:tabs>
          <w:tab w:leader="none" w:pos="4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Revisions primarily represent changes in the present value of liabilities resulting from changes in estimated costs and economic lives of producing properties.</w:t>
      </w:r>
    </w:p>
    <w:p>
      <w:pPr>
        <w:spacing w:after="0" w:line="31" w:lineRule="exact"/>
        <w:rPr>
          <w:rFonts w:ascii="Arial" w:cs="Arial" w:eastAsia="Arial" w:hAnsi="Arial"/>
          <w:sz w:val="18"/>
          <w:szCs w:val="18"/>
          <w:color w:val="auto"/>
        </w:rPr>
      </w:pPr>
    </w:p>
    <w:p>
      <w:pPr>
        <w:ind w:left="420" w:right="20" w:hanging="412"/>
        <w:spacing w:after="0" w:line="287" w:lineRule="auto"/>
        <w:tabs>
          <w:tab w:leader="none" w:pos="45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During the year ended December 31, 2023, approximately $64 million of disposals related to the divestitures of our Eagle Ford assets.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further discussion of these transactions.</w:t>
      </w:r>
    </w:p>
    <w:p>
      <w:pPr>
        <w:spacing w:after="0" w:line="200" w:lineRule="exact"/>
        <w:rPr>
          <w:rFonts w:ascii="Arial" w:cs="Arial" w:eastAsia="Arial" w:hAnsi="Arial"/>
          <w:sz w:val="18"/>
          <w:szCs w:val="18"/>
          <w:color w:val="auto"/>
        </w:rPr>
      </w:pPr>
    </w:p>
    <w:p>
      <w:pPr>
        <w:spacing w:after="0" w:line="222" w:lineRule="exact"/>
        <w:rPr>
          <w:rFonts w:ascii="Arial" w:cs="Arial" w:eastAsia="Arial" w:hAnsi="Arial"/>
          <w:sz w:val="18"/>
          <w:szCs w:val="18"/>
          <w:color w:val="auto"/>
        </w:rPr>
      </w:pPr>
    </w:p>
    <w:p>
      <w:pPr>
        <w:ind w:left="480" w:hanging="454"/>
        <w:spacing w:after="0"/>
        <w:tabs>
          <w:tab w:leader="none" w:pos="480" w:val="left"/>
        </w:tabs>
        <w:numPr>
          <w:ilvl w:val="1"/>
          <w:numId w:val="54"/>
        </w:numPr>
        <w:rPr>
          <w:rFonts w:ascii="Arial" w:cs="Arial" w:eastAsia="Arial" w:hAnsi="Arial"/>
          <w:sz w:val="18"/>
          <w:szCs w:val="18"/>
          <w:b w:val="1"/>
          <w:bCs w:val="1"/>
          <w:color w:val="00386C"/>
        </w:rPr>
      </w:pPr>
      <w:r>
        <w:rPr>
          <w:rFonts w:ascii="Arial" w:cs="Arial" w:eastAsia="Arial" w:hAnsi="Arial"/>
          <w:sz w:val="18"/>
          <w:szCs w:val="18"/>
          <w:b w:val="1"/>
          <w:bCs w:val="1"/>
          <w:color w:val="00386C"/>
        </w:rPr>
        <w:t>Supplemental Cash Flow Information</w:t>
      </w:r>
    </w:p>
    <w:p>
      <w:pPr>
        <w:spacing w:after="0" w:line="279" w:lineRule="exact"/>
        <w:rPr>
          <w:rFonts w:ascii="Arial" w:cs="Arial" w:eastAsia="Arial" w:hAnsi="Arial"/>
          <w:sz w:val="18"/>
          <w:szCs w:val="18"/>
          <w:b w:val="1"/>
          <w:bCs w:val="1"/>
          <w:color w:val="00386C"/>
        </w:rPr>
      </w:pPr>
    </w:p>
    <w:p>
      <w:pPr>
        <w:ind w:left="460"/>
        <w:spacing w:after="0"/>
        <w:rPr>
          <w:rFonts w:ascii="Arial" w:cs="Arial" w:eastAsia="Arial" w:hAnsi="Arial"/>
          <w:sz w:val="18"/>
          <w:szCs w:val="18"/>
          <w:b w:val="1"/>
          <w:bCs w:val="1"/>
          <w:color w:val="00386C"/>
        </w:rPr>
      </w:pPr>
      <w:r>
        <w:rPr>
          <w:rFonts w:ascii="Arial" w:cs="Arial" w:eastAsia="Arial" w:hAnsi="Arial"/>
          <w:sz w:val="18"/>
          <w:szCs w:val="18"/>
          <w:color w:val="auto"/>
        </w:rPr>
        <w:t>Supplemental disclosures to the consolidated statements of cash flows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-290195</wp:posOffset>
            </wp:positionV>
            <wp:extent cx="2168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478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r>
      <w:tr>
        <w:trPr>
          <w:trHeight w:val="20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24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3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24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4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61"/>
        </w:trPr>
        <w:tc>
          <w:tcPr>
            <w:tcW w:w="47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30"/>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24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Interest paid, net of capitalized interest</w:t>
            </w:r>
          </w:p>
        </w:tc>
        <w:tc>
          <w:tcPr>
            <w:tcW w:w="23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paid (refunds received), net</w:t>
            </w:r>
          </w:p>
        </w:tc>
        <w:tc>
          <w:tcPr>
            <w:tcW w:w="2320" w:type="dxa"/>
            <w:vAlign w:val="bottom"/>
            <w:gridSpan w:val="2"/>
            <w:shd w:val="clear" w:color="auto" w:fill="DBDBDB"/>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193</w:t>
            </w:r>
          </w:p>
        </w:tc>
      </w:tr>
      <w:tr>
        <w:trPr>
          <w:trHeight w:val="95"/>
        </w:trPr>
        <w:tc>
          <w:tcPr>
            <w:tcW w:w="4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tcPr>
          <w:p>
            <w:pPr>
              <w:spacing w:after="0"/>
              <w:rPr>
                <w:sz w:val="8"/>
                <w:szCs w:val="8"/>
                <w:color w:val="auto"/>
              </w:rPr>
            </w:pPr>
          </w:p>
        </w:tc>
      </w:tr>
      <w:tr>
        <w:trPr>
          <w:trHeight w:val="175"/>
        </w:trPr>
        <w:tc>
          <w:tcPr>
            <w:tcW w:w="478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Supplemental disclosure of significant</w:t>
            </w:r>
          </w:p>
        </w:tc>
        <w:tc>
          <w:tcPr>
            <w:tcW w:w="12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240" w:type="dxa"/>
            <w:vAlign w:val="bottom"/>
            <w:shd w:val="clear" w:color="auto" w:fill="DBDBDB"/>
          </w:tcPr>
          <w:p>
            <w:pPr>
              <w:spacing w:after="0"/>
              <w:rPr>
                <w:sz w:val="15"/>
                <w:szCs w:val="15"/>
                <w:color w:val="auto"/>
              </w:rPr>
            </w:pPr>
          </w:p>
        </w:tc>
      </w:tr>
      <w:tr>
        <w:trPr>
          <w:trHeight w:val="243"/>
        </w:trPr>
        <w:tc>
          <w:tcPr>
            <w:tcW w:w="4780" w:type="dxa"/>
            <w:vAlign w:val="bottom"/>
            <w:shd w:val="clear" w:color="auto" w:fill="DBDBDB"/>
          </w:tcPr>
          <w:p>
            <w:pPr>
              <w:ind w:left="120"/>
              <w:spacing w:after="0"/>
              <w:rPr>
                <w:sz w:val="20"/>
                <w:szCs w:val="20"/>
                <w:color w:val="auto"/>
              </w:rPr>
            </w:pPr>
            <w:r>
              <w:rPr>
                <w:rFonts w:ascii="Arial" w:cs="Arial" w:eastAsia="Arial" w:hAnsi="Arial"/>
                <w:sz w:val="18"/>
                <w:szCs w:val="18"/>
                <w:b w:val="1"/>
                <w:bCs w:val="1"/>
                <w:color w:val="auto"/>
              </w:rPr>
              <w:t>non-cash investing and financing activities:</w:t>
            </w:r>
          </w:p>
        </w:tc>
        <w:tc>
          <w:tcPr>
            <w:tcW w:w="124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0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Change in accrued drilling and completion costs</w:t>
            </w:r>
          </w:p>
        </w:tc>
        <w:tc>
          <w:tcPr>
            <w:tcW w:w="23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30"/>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Common stock issued for business combination</w:t>
            </w:r>
          </w:p>
        </w:tc>
        <w:tc>
          <w:tcPr>
            <w:tcW w:w="2320" w:type="dxa"/>
            <w:vAlign w:val="bottom"/>
            <w:gridSpan w:val="2"/>
            <w:shd w:val="clear" w:color="auto" w:fill="DBDBDB"/>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7,888</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764</w:t>
            </w:r>
          </w:p>
        </w:tc>
      </w:tr>
      <w:tr>
        <w:trPr>
          <w:trHeight w:val="239"/>
        </w:trPr>
        <w:tc>
          <w:tcPr>
            <w:tcW w:w="4780" w:type="dxa"/>
            <w:vAlign w:val="bottom"/>
          </w:tcPr>
          <w:p>
            <w:pPr>
              <w:ind w:left="20"/>
              <w:spacing w:after="0"/>
              <w:rPr>
                <w:sz w:val="20"/>
                <w:szCs w:val="20"/>
                <w:color w:val="auto"/>
              </w:rPr>
            </w:pPr>
            <w:r>
              <w:rPr>
                <w:rFonts w:ascii="Arial" w:cs="Arial" w:eastAsia="Arial" w:hAnsi="Arial"/>
                <w:sz w:val="18"/>
                <w:szCs w:val="18"/>
                <w:color w:val="auto"/>
              </w:rPr>
              <w:t>Operating lease obligations recognized</w:t>
            </w:r>
          </w:p>
        </w:tc>
        <w:tc>
          <w:tcPr>
            <w:tcW w:w="232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886"/>
        </w:trPr>
        <w:tc>
          <w:tcPr>
            <w:tcW w:w="47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34"/>
        <w:spacing w:after="0"/>
        <w:tabs>
          <w:tab w:leader="none" w:pos="460" w:val="left"/>
        </w:tabs>
        <w:numPr>
          <w:ilvl w:val="0"/>
          <w:numId w:val="55"/>
        </w:numPr>
        <w:rPr>
          <w:rFonts w:ascii="Arial" w:cs="Arial" w:eastAsia="Arial" w:hAnsi="Arial"/>
          <w:sz w:val="18"/>
          <w:szCs w:val="18"/>
          <w:b w:val="1"/>
          <w:bCs w:val="1"/>
          <w:color w:val="00386C"/>
        </w:rPr>
      </w:pPr>
      <w:r>
        <w:rPr>
          <w:rFonts w:ascii="Arial" w:cs="Arial" w:eastAsia="Arial" w:hAnsi="Arial"/>
          <w:sz w:val="18"/>
          <w:szCs w:val="18"/>
          <w:b w:val="1"/>
          <w:bCs w:val="1"/>
          <w:color w:val="00386C"/>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2515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Operating segments are defined as components of an enterprise that engage in activities from which it may earn revenues and incur expenses for which separate operational financial information is available and is regularly evaluated by the CODM, who is our Chief Executive Officer, for the purpose of allocating an enterprise’s resources and assessing its operating performance. Our revenues are derived from the production, marketing and sale of natural gas, oil and NGL. Additional information on our revenues, including the disaggregation of our revenues and major customers, is found in </w:t>
      </w:r>
      <w:r>
        <w:rPr>
          <w:rFonts w:ascii="Arial" w:cs="Arial" w:eastAsia="Arial" w:hAnsi="Arial"/>
          <w:sz w:val="18"/>
          <w:szCs w:val="18"/>
          <w:u w:val="single" w:color="auto"/>
          <w:color w:val="0000FF"/>
        </w:rPr>
        <w:t>Note 8</w:t>
      </w:r>
      <w:r>
        <w:rPr>
          <w:rFonts w:ascii="Arial" w:cs="Arial" w:eastAsia="Arial" w:hAnsi="Arial"/>
          <w:sz w:val="18"/>
          <w:szCs w:val="18"/>
          <w:color w:val="auto"/>
        </w:rPr>
        <w:t>. As of December 31, 2024, we considered each of our operating areas as operating segments, however, we have aggregated those operating segments into one reportable segment due to the similar nature of the exploration and production business across Expand Energy and its consolidated subsidiaries and the fact that our marketing activities are ancillary to our operations.</w:t>
      </w:r>
    </w:p>
    <w:p>
      <w:pPr>
        <w:spacing w:after="0" w:line="13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Our CODM uses consolidated net income (loss), for purposes of allocating resources and in assessing Expand Energy’s operating performance. Additionally, our CODM is regularly provided information on production expense, gathering, processing and transportation expense, severance and ad valorem taxes and general and administrative expense, which are our significant segment expenses. Other segment items primarily consist of depreciation, depletion and amortization, marketing expense, interest expense and income tax expense (benefit). Our significant segment expenses and other segment items are derived from, and can be found within the consolidated statements of operations.</w:t>
      </w:r>
    </w:p>
    <w:p>
      <w:pPr>
        <w:spacing w:after="0" w:line="12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 xml:space="preserve">The measure of segment assets is total assets as reported on our consolidated balance sheets, and as of December 31, 2024 and 2023 our total assets were $ 27,894 million and $14,376 million, respectively. Additionally, in analyzing company performance, our CODM reviews capital expenditures. During the years ended December 31, 2024, 2023 and 2022, our capital expenditures were $1,529 million, $1,782 million and $1,936 million, respectively. During the years ended December 31, 2024, 2023 and 2022, we contributed approximately $58 million, $220 million and $18 million, respectively, to equity method investments, which primarily consisted of our investment with Momentum Sustainable Ventures LLC. Additional discussion around our investment with Momentum Sustainable Ventures LLC is in </w:t>
      </w:r>
      <w:r>
        <w:rPr>
          <w:rFonts w:ascii="Arial" w:cs="Arial" w:eastAsia="Arial" w:hAnsi="Arial"/>
          <w:sz w:val="18"/>
          <w:szCs w:val="18"/>
          <w:u w:val="single" w:color="auto"/>
          <w:color w:val="0000FF"/>
        </w:rPr>
        <w:t>Note 15</w:t>
      </w:r>
      <w:r>
        <w:rPr>
          <w:rFonts w:ascii="Arial" w:cs="Arial" w:eastAsia="Arial" w:hAnsi="Arial"/>
          <w:sz w:val="18"/>
          <w:szCs w:val="18"/>
          <w:color w:val="auto"/>
        </w:rPr>
        <w:t>. Our interest revenue during the years ended December 31, 2024, 2023 and 2022 was $45 million, $29 million and $1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Supplemental Disclosures About Natural Gas, Oil and NGL Producing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0063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500634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Capitalized Costs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Capitalized costs related to our natural gas, oil and NGL producing activities are summarized as follows: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2024</w:t>
            </w:r>
          </w:p>
        </w:tc>
        <w:tc>
          <w:tcPr>
            <w:tcW w:w="18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2023</w:t>
            </w:r>
          </w:p>
        </w:tc>
      </w:tr>
      <w:tr>
        <w:trPr>
          <w:trHeight w:val="209"/>
        </w:trPr>
        <w:tc>
          <w:tcPr>
            <w:tcW w:w="67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and oil properties:</w:t>
            </w:r>
          </w:p>
        </w:tc>
        <w:tc>
          <w:tcPr>
            <w:tcW w:w="16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80" w:type="dxa"/>
            <w:vAlign w:val="bottom"/>
            <w:tcBorders>
              <w:top w:val="single" w:sz="8" w:color="auto"/>
            </w:tcBorders>
            <w:shd w:val="clear" w:color="auto" w:fill="DBDBDB"/>
          </w:tcPr>
          <w:p>
            <w:pPr>
              <w:spacing w:after="0"/>
              <w:rPr>
                <w:sz w:val="18"/>
                <w:szCs w:val="18"/>
                <w:color w:val="auto"/>
              </w:rPr>
            </w:pPr>
          </w:p>
        </w:tc>
        <w:tc>
          <w:tcPr>
            <w:tcW w:w="1940" w:type="dxa"/>
            <w:vAlign w:val="bottom"/>
            <w:tcBorders>
              <w:top w:val="single" w:sz="8" w:color="auto"/>
            </w:tcBorders>
            <w:shd w:val="clear" w:color="auto" w:fill="DBDBDB"/>
          </w:tcPr>
          <w:p>
            <w:pPr>
              <w:spacing w:after="0"/>
              <w:rPr>
                <w:sz w:val="18"/>
                <w:szCs w:val="18"/>
                <w:color w:val="auto"/>
              </w:rPr>
            </w:pP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Proved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23,093</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11,468</w:t>
            </w:r>
          </w:p>
        </w:tc>
      </w:tr>
      <w:tr>
        <w:trPr>
          <w:trHeight w:val="229"/>
        </w:trPr>
        <w:tc>
          <w:tcPr>
            <w:tcW w:w="67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Unproved</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5,897</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1,806</w:t>
            </w:r>
          </w:p>
        </w:tc>
      </w:tr>
      <w:tr>
        <w:trPr>
          <w:trHeight w:val="223"/>
        </w:trPr>
        <w:tc>
          <w:tcPr>
            <w:tcW w:w="6720" w:type="dxa"/>
            <w:vAlign w:val="bottom"/>
            <w:tcBorders>
              <w:bottom w:val="single" w:sz="8" w:color="DBDBDB"/>
            </w:tcBorders>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28,990</w:t>
            </w:r>
          </w:p>
        </w:tc>
        <w:tc>
          <w:tcPr>
            <w:tcW w:w="20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13,274</w:t>
            </w:r>
          </w:p>
        </w:tc>
      </w:tr>
      <w:tr>
        <w:trPr>
          <w:trHeight w:val="223"/>
        </w:trPr>
        <w:tc>
          <w:tcPr>
            <w:tcW w:w="6720" w:type="dxa"/>
            <w:vAlign w:val="bottom"/>
            <w:shd w:val="clear" w:color="auto" w:fill="DBDBDB"/>
          </w:tcPr>
          <w:p>
            <w:pPr>
              <w:ind w:left="12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(5,235)</w:t>
            </w:r>
          </w:p>
        </w:tc>
        <w:tc>
          <w:tcPr>
            <w:tcW w:w="2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(3,584)</w:t>
            </w: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Net capitalized costs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23,755</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9,690</w:t>
            </w:r>
          </w:p>
        </w:tc>
      </w:tr>
      <w:tr>
        <w:trPr>
          <w:trHeight w:val="21"/>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Unproved properties as of December 31, 2024 consisted mainly of leasehold acquired through our Southwestern Merger in 2024 and Marcellus Acquisition in 2022 and unproved properties as of December 31, 2023, consisted mainly of leasehold acquired through our Marcellus Acquisition in 2022. We will continue to evaluate our unproved properties, and although the timing of the ultimate evaluation or disposition of the properties cannot be determined, we can expect the majority of our unproved properties not held by production to be transferred into the amortization base over the next five years.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Costs Incurred in Natural Gas and Oil Property Acquisition, Exploration and Development</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Costs incurred in natural gas and oil property acquisition, exploration and development, including capitalized interest and asset retirement costs, are summarized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0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0"/>
        </w:trPr>
        <w:tc>
          <w:tcPr>
            <w:tcW w:w="6020" w:type="dxa"/>
            <w:vAlign w:val="bottom"/>
            <w:shd w:val="clear" w:color="auto" w:fill="DBDBDB"/>
          </w:tcPr>
          <w:p>
            <w:pPr>
              <w:ind w:left="20"/>
              <w:spacing w:after="0" w:line="210" w:lineRule="exact"/>
              <w:rPr>
                <w:sz w:val="20"/>
                <w:szCs w:val="20"/>
                <w:color w:val="auto"/>
              </w:rPr>
            </w:pPr>
            <w:r>
              <w:rPr>
                <w:rFonts w:ascii="Arial" w:cs="Arial" w:eastAsia="Arial" w:hAnsi="Arial"/>
                <w:sz w:val="18"/>
                <w:szCs w:val="18"/>
                <w:color w:val="auto"/>
              </w:rPr>
              <w:t>Acquisition of properties</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3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r>
      <w:tr>
        <w:trPr>
          <w:trHeight w:val="230"/>
        </w:trPr>
        <w:tc>
          <w:tcPr>
            <w:tcW w:w="6020" w:type="dxa"/>
            <w:vAlign w:val="bottom"/>
          </w:tcPr>
          <w:p>
            <w:pPr>
              <w:ind w:left="240"/>
              <w:spacing w:after="0"/>
              <w:rPr>
                <w:sz w:val="20"/>
                <w:szCs w:val="20"/>
                <w:color w:val="auto"/>
              </w:rPr>
            </w:pPr>
            <w:r>
              <w:rPr>
                <w:rFonts w:ascii="Arial" w:cs="Arial" w:eastAsia="Arial" w:hAnsi="Arial"/>
                <w:sz w:val="18"/>
                <w:szCs w:val="18"/>
                <w:color w:val="auto"/>
              </w:rPr>
              <w:t>Proved properties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10,010</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2,321</w:t>
            </w:r>
          </w:p>
        </w:tc>
      </w:tr>
      <w:tr>
        <w:trPr>
          <w:trHeight w:val="229"/>
        </w:trPr>
        <w:tc>
          <w:tcPr>
            <w:tcW w:w="6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Unproved properties</w:t>
            </w: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4,393</w:t>
            </w:r>
          </w:p>
        </w:tc>
        <w:tc>
          <w:tcPr>
            <w:tcW w:w="2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795</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Exploratory costs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Development costs</w:t>
            </w:r>
          </w:p>
        </w:tc>
        <w:tc>
          <w:tcPr>
            <w:tcW w:w="36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1,721</w:t>
            </w:r>
          </w:p>
        </w:tc>
        <w:tc>
          <w:tcPr>
            <w:tcW w:w="2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1,918</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Costs incurred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w:t>
            </w:r>
          </w:p>
        </w:tc>
        <w:tc>
          <w:tcPr>
            <w:tcW w:w="2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jc w:val="both"/>
        <w:ind w:left="420" w:hanging="372"/>
        <w:spacing w:after="0" w:line="268"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$10.0 billion and $4.3 billion of proved and unproved property acquisitions, respectively, related to the Southwestern Merger in 2024. Includes $2.3 billion and $0.8 billion of proved and unproved property acquisitions, respectively, related to our Marcellus Acquisition in 2022.</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Results of Operations from Natural Gas, Oil and NGL Producing Activities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includes revenues and expenses associated directly with our natural gas, oil and NGL producing activities for the periods presented. It does not include any derivative activity, interest costs or indirect general and administrative costs and, therefore, is not necessarily indicative of the contribution to consolidated net operating results of our natural gas, oil and NGL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62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3,547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9,892</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Production expenses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29"/>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 expenses</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(1,035)</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Exploration</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Depletion and 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(1,703)</w:t>
            </w:r>
          </w:p>
        </w:tc>
      </w:tr>
      <w:tr>
        <w:trPr>
          <w:trHeight w:val="230"/>
        </w:trPr>
        <w:tc>
          <w:tcPr>
            <w:tcW w:w="6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Accretion of asset retirement obligations</w:t>
            </w:r>
          </w:p>
        </w:tc>
        <w:tc>
          <w:tcPr>
            <w:tcW w:w="28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220" w:type="dxa"/>
            <w:vAlign w:val="bottom"/>
            <w:tcBorders>
              <w:bottom w:val="single" w:sz="8" w:color="DBDBDB"/>
            </w:tcBorders>
          </w:tcPr>
          <w:p>
            <w:pPr>
              <w:ind w:left="20"/>
              <w:spacing w:after="0" w:line="230" w:lineRule="exact"/>
              <w:rPr>
                <w:sz w:val="20"/>
                <w:szCs w:val="20"/>
                <w:color w:val="auto"/>
              </w:rPr>
            </w:pPr>
            <w:r>
              <w:rPr>
                <w:rFonts w:ascii="Arial" w:cs="Arial" w:eastAsia="Arial" w:hAnsi="Arial"/>
                <w:sz w:val="18"/>
                <w:szCs w:val="18"/>
                <w:color w:val="auto"/>
              </w:rPr>
              <w:t>Imputed income tax provision</w:t>
            </w:r>
            <w:r>
              <w:rPr>
                <w:rFonts w:ascii="Arial" w:cs="Arial" w:eastAsia="Arial" w:hAnsi="Arial"/>
                <w:sz w:val="23"/>
                <w:szCs w:val="23"/>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r>
      <w:tr>
        <w:trPr>
          <w:trHeight w:val="248"/>
        </w:trPr>
        <w:tc>
          <w:tcPr>
            <w:tcW w:w="62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Results of operations from natural gas, oil and NGL producing activities</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4,933</w:t>
            </w:r>
          </w:p>
        </w:tc>
      </w:tr>
      <w:tr>
        <w:trPr>
          <w:trHeight w:val="20"/>
        </w:trPr>
        <w:tc>
          <w:tcPr>
            <w:tcW w:w="62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jc w:val="both"/>
        <w:ind w:left="420" w:hanging="372"/>
        <w:spacing w:after="0" w:line="268" w:lineRule="auto"/>
        <w:tabs>
          <w:tab w:leader="none" w:pos="4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imputed income tax provision is hypothetical (at the statutory tax rate) and determined without regard to our deduction for general and administrative expenses, interest costs and other income tax credits and deductions, nor whether the hypothetical tax provision (benefit) will be payable (receivable).</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Natural Gas, Oil and NGL Reserve Quantities</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Our petroleum engineers estimated all of our proved reserves as of December 31, 2024, 2023 and 2022. Independent petroleum engineering firm Netherland, Sewell &amp; Associates, Inc. audited our total proved reserves as of December 31, 2024.</w:t>
      </w:r>
    </w:p>
    <w:p>
      <w:pPr>
        <w:spacing w:after="0" w:line="9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Proved natural gas, oil and NGL reserves are those quantities of natural gas, oil and NGL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regardless of whether deterministic or probabilistic methods are used for the estimation. Existing economic conditions include prices and costs at which economic producibility from a reservoir is to be determined. Based on reserve reporting rules, the price is calculated using the average price during the 12-month period prior to the ending date of the period covered by the report, determined as an unweighted arithmetic average of the first-day-of-the-month price for each month within the period, unless prices are defined by contractual arrangements, excluding escalations based upon future conditions. A project to extract hydrocarbons must have commenced or the operator must be reasonably certain that it will commence the project within a reasonable time. The area of the reservoir considered as proved includes: (i) the area identified by drilling and limited by fluid contacts, if any, and (ii) adjacent undrilled portions of the reservoir that can, with reasonable certainty, be judged to be continuous with it and to contain economically producible natural gas or oil on the basis of available geoscience and engineering data. In the absence of data on fluid contacts, proved quantities in a reservoir are limited by the lowest known hydrocarbons as seen in a well penetration unless geoscience, engineering or performance data and reliable technology establish a lower contact with reasonable certainty. Where direct observation from well penetrations has defined a highest known oil elevation and the potential exists for an associated natural gas cap, proved oil reserves may be assigned in the structurally higher portions of the reservoir only if geoscience, engineering or performance data and reliable technology establish the higher contact with reasonable certainty. Reserves which can be produced economically through application of improved recovery techniques (including, but not limited to, fluid injection) are included in the proved classification when: (i) 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w:t>
      </w: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was based; and (ii) the project has been approved for development by all necessary parties and entities, including governmental entities.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provided below on our natural gas, oil and NGL reserves is presented in accordance with regulations prescribed by the SEC. Our reserve estimates are generally based upon extrapolation of historical production trends, analogy to similar properties and volumetric calculations. Accordingly, these estimates will change as future information becomes available and as commodity prices change. These changes could be material and could occur in the near term.</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summary of changes in estimated proved reserves for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2024</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(1,654)</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29"/>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(1,321)</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2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10,087</w:t>
            </w:r>
          </w:p>
        </w:tc>
        <w:tc>
          <w:tcPr>
            <w:tcW w:w="200" w:type="dxa"/>
            <w:vAlign w:val="bottom"/>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69.1</w:t>
            </w:r>
          </w:p>
        </w:tc>
        <w:tc>
          <w:tcPr>
            <w:tcW w:w="220" w:type="dxa"/>
            <w:vAlign w:val="bottom"/>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585.9</w:t>
            </w:r>
          </w:p>
        </w:tc>
        <w:tc>
          <w:tcPr>
            <w:tcW w:w="160" w:type="dxa"/>
            <w:vAlign w:val="bottom"/>
            <w:shd w:val="clear" w:color="auto" w:fill="D9D9D9"/>
          </w:tcPr>
          <w:p>
            <w:pPr>
              <w:spacing w:after="0"/>
              <w:rPr>
                <w:sz w:val="19"/>
                <w:szCs w:val="19"/>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14,017</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14,418</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383.0</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16,958</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3,325</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2,506</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9"/>
        </w:trPr>
        <w:tc>
          <w:tcPr>
            <w:tcW w:w="62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0"/>
        </w:trPr>
        <w:tc>
          <w:tcPr>
            <w:tcW w:w="6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2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30"/>
        </w:trPr>
        <w:tc>
          <w:tcPr>
            <w:tcW w:w="6200" w:type="dxa"/>
            <w:vAlign w:val="bottom"/>
            <w:shd w:val="clear" w:color="auto" w:fill="D9D9D9"/>
          </w:tcPr>
          <w:p>
            <w:pPr>
              <w:ind w:left="240"/>
              <w:spacing w:after="0"/>
              <w:rPr>
                <w:sz w:val="20"/>
                <w:szCs w:val="20"/>
                <w:color w:val="auto"/>
              </w:rPr>
            </w:pPr>
            <w:r>
              <w:rPr>
                <w:rFonts w:ascii="Arial" w:cs="Arial" w:eastAsia="Arial" w:hAnsi="Arial"/>
                <w:sz w:val="18"/>
                <w:szCs w:val="18"/>
                <w:color w:val="auto"/>
              </w:rPr>
              <w:t>Purchase of reserves-in-place</w:t>
            </w:r>
          </w:p>
        </w:tc>
        <w:tc>
          <w:tcPr>
            <w:tcW w:w="200" w:type="dxa"/>
            <w:vAlign w:val="bottom"/>
            <w:shd w:val="clear" w:color="auto" w:fill="DBDBDB"/>
          </w:tcPr>
          <w:p>
            <w:pPr>
              <w:spacing w:after="0"/>
              <w:rPr>
                <w:sz w:val="19"/>
                <w:szCs w:val="19"/>
                <w:color w:val="auto"/>
              </w:rPr>
            </w:pPr>
          </w:p>
        </w:tc>
        <w:tc>
          <w:tcPr>
            <w:tcW w:w="10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9D9D9"/>
          </w:tcPr>
          <w:p>
            <w:pPr>
              <w:spacing w:after="0"/>
              <w:rPr>
                <w:sz w:val="19"/>
                <w:szCs w:val="19"/>
                <w:color w:val="auto"/>
              </w:rPr>
            </w:pPr>
          </w:p>
        </w:tc>
        <w:tc>
          <w:tcPr>
            <w:tcW w:w="1260" w:type="dxa"/>
            <w:vAlign w:val="bottom"/>
            <w:gridSpan w:val="2"/>
            <w:shd w:val="clear" w:color="auto" w:fill="D9D9D9"/>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9D9D9"/>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shd w:val="clear" w:color="auto" w:fill="D9D9D9"/>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200" w:type="dxa"/>
            <w:vAlign w:val="bottom"/>
            <w:shd w:val="clear" w:color="auto" w:fill="DBDBDB"/>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0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040" w:type="dxa"/>
            <w:vAlign w:val="bottom"/>
            <w:shd w:val="clear" w:color="auto" w:fill="D9D9D9"/>
          </w:tcPr>
          <w:p>
            <w:pPr>
              <w:spacing w:after="0"/>
              <w:rPr>
                <w:sz w:val="17"/>
                <w:szCs w:val="17"/>
                <w:color w:val="auto"/>
              </w:rPr>
            </w:pPr>
          </w:p>
        </w:tc>
        <w:tc>
          <w:tcPr>
            <w:tcW w:w="160" w:type="dxa"/>
            <w:vAlign w:val="bottom"/>
            <w:shd w:val="clear" w:color="auto" w:fill="D9D9D9"/>
          </w:tcPr>
          <w:p>
            <w:pPr>
              <w:spacing w:after="0"/>
              <w:rPr>
                <w:sz w:val="17"/>
                <w:szCs w:val="17"/>
                <w:color w:val="auto"/>
              </w:rPr>
            </w:pPr>
          </w:p>
        </w:tc>
        <w:tc>
          <w:tcPr>
            <w:tcW w:w="114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6200" w:type="dxa"/>
            <w:vAlign w:val="bottom"/>
            <w:tcBorders>
              <w:bottom w:val="single" w:sz="8" w:color="D9D9D9"/>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9D9D9"/>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9D9D9"/>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6,363</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bottom w:val="single" w:sz="8" w:color="D9D9D9"/>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220" w:type="dxa"/>
            <w:vAlign w:val="bottom"/>
            <w:tcBorders>
              <w:top w:val="single" w:sz="8" w:color="D9D9D9"/>
            </w:tcBorders>
          </w:tcPr>
          <w:p>
            <w:pPr>
              <w:spacing w:after="0" w:line="20" w:lineRule="exact"/>
              <w:rPr>
                <w:sz w:val="1"/>
                <w:szCs w:val="1"/>
                <w:color w:val="auto"/>
              </w:rPr>
            </w:pPr>
          </w:p>
        </w:tc>
        <w:tc>
          <w:tcPr>
            <w:tcW w:w="1040" w:type="dxa"/>
            <w:vAlign w:val="bottom"/>
            <w:tcBorders>
              <w:top w:val="single" w:sz="8" w:color="D9D9D9"/>
              <w:bottom w:val="single" w:sz="8" w:color="auto"/>
            </w:tcBorders>
          </w:tcPr>
          <w:p>
            <w:pPr>
              <w:spacing w:after="0" w:line="20" w:lineRule="exact"/>
              <w:rPr>
                <w:sz w:val="1"/>
                <w:szCs w:val="1"/>
                <w:color w:val="auto"/>
              </w:rPr>
            </w:pPr>
          </w:p>
        </w:tc>
        <w:tc>
          <w:tcPr>
            <w:tcW w:w="160" w:type="dxa"/>
            <w:vAlign w:val="bottom"/>
            <w:tcBorders>
              <w:top w:val="single" w:sz="8" w:color="D9D9D9"/>
            </w:tcBorders>
          </w:tcPr>
          <w:p>
            <w:pPr>
              <w:spacing w:after="0" w:line="20" w:lineRule="exact"/>
              <w:rPr>
                <w:sz w:val="1"/>
                <w:szCs w:val="1"/>
                <w:color w:val="auto"/>
              </w:rPr>
            </w:pPr>
          </w:p>
        </w:tc>
        <w:tc>
          <w:tcPr>
            <w:tcW w:w="1140" w:type="dxa"/>
            <w:vAlign w:val="bottom"/>
            <w:tcBorders>
              <w:top w:val="single" w:sz="8" w:color="D9D9D9"/>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200" w:type="dxa"/>
            <w:vAlign w:val="bottom"/>
            <w:tcBorders>
              <w:bottom w:val="single" w:sz="8" w:color="D9D9D9"/>
            </w:tcBorders>
            <w:shd w:val="clear" w:color="auto" w:fill="D9D9D9"/>
          </w:tcPr>
          <w:p>
            <w:pPr>
              <w:ind w:left="24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3,984</w:t>
            </w:r>
          </w:p>
        </w:tc>
        <w:tc>
          <w:tcPr>
            <w:tcW w:w="20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Borders>
              <w:bottom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bottom w:val="single" w:sz="8" w:color="D9D9D9"/>
            </w:tcBorders>
            <w:shd w:val="clear" w:color="auto" w:fill="D9D9D9"/>
          </w:tcPr>
          <w:p>
            <w:pPr>
              <w:spacing w:after="0"/>
              <w:rPr>
                <w:sz w:val="21"/>
                <w:szCs w:val="21"/>
                <w:color w:val="auto"/>
              </w:rPr>
            </w:pPr>
          </w:p>
        </w:tc>
        <w:tc>
          <w:tcPr>
            <w:tcW w:w="1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20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9D9D9"/>
            </w:tcBorders>
          </w:tcPr>
          <w:p>
            <w:pPr>
              <w:spacing w:after="0" w:line="20" w:lineRule="exact"/>
              <w:rPr>
                <w:sz w:val="1"/>
                <w:szCs w:val="1"/>
                <w:color w:val="auto"/>
              </w:rPr>
            </w:pPr>
          </w:p>
        </w:tc>
        <w:tc>
          <w:tcPr>
            <w:tcW w:w="200" w:type="dxa"/>
            <w:vAlign w:val="bottom"/>
            <w:tcBorders>
              <w:top w:val="single" w:sz="8" w:color="D9D9D9"/>
            </w:tcBorders>
          </w:tcPr>
          <w:p>
            <w:pPr>
              <w:spacing w:after="0" w:line="20" w:lineRule="exact"/>
              <w:rPr>
                <w:sz w:val="1"/>
                <w:szCs w:val="1"/>
                <w:color w:val="auto"/>
              </w:rPr>
            </w:pPr>
          </w:p>
        </w:tc>
        <w:tc>
          <w:tcPr>
            <w:tcW w:w="1260" w:type="dxa"/>
            <w:vAlign w:val="bottom"/>
            <w:tcBorders>
              <w:top w:val="single" w:sz="8" w:color="D9D9D9"/>
            </w:tcBorders>
            <w:gridSpan w:val="2"/>
          </w:tcPr>
          <w:p>
            <w:pPr>
              <w:spacing w:after="0" w:line="20" w:lineRule="exact"/>
              <w:rPr>
                <w:sz w:val="1"/>
                <w:szCs w:val="1"/>
                <w:color w:val="auto"/>
              </w:rPr>
            </w:pPr>
          </w:p>
        </w:tc>
        <w:tc>
          <w:tcPr>
            <w:tcW w:w="1200" w:type="dxa"/>
            <w:vAlign w:val="bottom"/>
            <w:tcBorders>
              <w:top w:val="single" w:sz="8" w:color="D9D9D9"/>
            </w:tcBorders>
            <w:gridSpan w:val="2"/>
          </w:tcPr>
          <w:p>
            <w:pPr>
              <w:spacing w:after="0" w:line="20" w:lineRule="exact"/>
              <w:rPr>
                <w:sz w:val="1"/>
                <w:szCs w:val="1"/>
                <w:color w:val="auto"/>
              </w:rPr>
            </w:pPr>
          </w:p>
        </w:tc>
        <w:tc>
          <w:tcPr>
            <w:tcW w:w="1140" w:type="dxa"/>
            <w:vAlign w:val="bottom"/>
            <w:tcBorders>
              <w:top w:val="single" w:sz="8" w:color="D9D9D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Natural</w:t>
            </w: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b w:val="1"/>
                <w:bCs w:val="1"/>
                <w:color w:val="auto"/>
              </w:rPr>
              <w:t>Oil</w:t>
            </w:r>
          </w:p>
        </w:tc>
        <w:tc>
          <w:tcPr>
            <w:tcW w:w="120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NGL</w:t>
            </w: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Gas</w:t>
            </w:r>
          </w:p>
        </w:tc>
        <w:tc>
          <w:tcPr>
            <w:tcW w:w="126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400" w:type="dxa"/>
            <w:vAlign w:val="bottom"/>
          </w:tcPr>
          <w:p>
            <w:pPr>
              <w:spacing w:after="0"/>
              <w:rPr>
                <w:sz w:val="20"/>
                <w:szCs w:val="20"/>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(Bcf)</w:t>
            </w:r>
          </w:p>
        </w:tc>
        <w:tc>
          <w:tcPr>
            <w:tcW w:w="200" w:type="dxa"/>
            <w:vAlign w:val="bottom"/>
          </w:tcPr>
          <w:p>
            <w:pPr>
              <w:spacing w:after="0"/>
              <w:rPr>
                <w:sz w:val="20"/>
                <w:szCs w:val="20"/>
                <w:color w:val="auto"/>
              </w:rPr>
            </w:pP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(MMBbl)</w:t>
            </w:r>
          </w:p>
        </w:tc>
        <w:tc>
          <w:tcPr>
            <w:tcW w:w="220" w:type="dxa"/>
            <w:vAlign w:val="bottom"/>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(MMBbl)</w:t>
            </w:r>
          </w:p>
        </w:tc>
        <w:tc>
          <w:tcPr>
            <w:tcW w:w="160" w:type="dxa"/>
            <w:vAlign w:val="bottom"/>
          </w:tcPr>
          <w:p>
            <w:pPr>
              <w:spacing w:after="0"/>
              <w:rPr>
                <w:sz w:val="20"/>
                <w:szCs w:val="20"/>
                <w:color w:val="auto"/>
              </w:rPr>
            </w:pP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(Bcfe)</w:t>
            </w:r>
          </w:p>
        </w:tc>
        <w:tc>
          <w:tcPr>
            <w:tcW w:w="0" w:type="dxa"/>
            <w:vAlign w:val="bottom"/>
          </w:tcPr>
          <w:p>
            <w:pPr>
              <w:spacing w:after="0"/>
              <w:rPr>
                <w:sz w:val="1"/>
                <w:szCs w:val="1"/>
                <w:color w:val="auto"/>
              </w:rPr>
            </w:pPr>
          </w:p>
        </w:tc>
      </w:tr>
      <w:tr>
        <w:trPr>
          <w:trHeight w:val="523"/>
        </w:trPr>
        <w:tc>
          <w:tcPr>
            <w:tcW w:w="6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December 31, 2022</w:t>
            </w:r>
          </w:p>
        </w:tc>
        <w:tc>
          <w:tcPr>
            <w:tcW w:w="10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beginning of period</w:t>
            </w:r>
          </w:p>
        </w:tc>
        <w:tc>
          <w:tcPr>
            <w:tcW w:w="1040" w:type="dxa"/>
            <w:vAlign w:val="bottom"/>
          </w:tcPr>
          <w:p>
            <w:pPr>
              <w:jc w:val="right"/>
              <w:spacing w:after="0"/>
              <w:rPr>
                <w:sz w:val="20"/>
                <w:szCs w:val="20"/>
                <w:color w:val="auto"/>
              </w:rPr>
            </w:pPr>
            <w:r>
              <w:rPr>
                <w:rFonts w:ascii="Arial" w:cs="Arial" w:eastAsia="Arial" w:hAnsi="Arial"/>
                <w:sz w:val="18"/>
                <w:szCs w:val="18"/>
                <w:color w:val="auto"/>
              </w:rPr>
              <w:t>7,824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Extensions, discoveries and other additions</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Revisions of previous estimates</w:t>
            </w:r>
          </w:p>
        </w:tc>
        <w:tc>
          <w:tcPr>
            <w:tcW w:w="1040" w:type="dxa"/>
            <w:vAlign w:val="bottom"/>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Production</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Sale of reserves-in-place</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64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Purchase of reserves-in-place</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2,926</w:t>
            </w:r>
          </w:p>
        </w:tc>
        <w:tc>
          <w:tcPr>
            <w:tcW w:w="200" w:type="dxa"/>
            <w:vAlign w:val="bottom"/>
            <w:shd w:val="clear" w:color="auto" w:fill="DBDBDB"/>
          </w:tcPr>
          <w:p>
            <w:pPr>
              <w:spacing w:after="0"/>
              <w:rPr>
                <w:sz w:val="19"/>
                <w:szCs w:val="19"/>
                <w:color w:val="auto"/>
              </w:rPr>
            </w:pPr>
          </w:p>
        </w:tc>
        <w:tc>
          <w:tcPr>
            <w:tcW w:w="126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2,926</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Proved reserves, end of period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13,002</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color w:val="auto"/>
              </w:rPr>
              <w:t>Proved developed reserves:</w:t>
            </w:r>
          </w:p>
        </w:tc>
        <w:tc>
          <w:tcPr>
            <w:tcW w:w="10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End of period</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7,385</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58.9</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Proved undeveloped reserves:</w:t>
            </w: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Beginning of period</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3,578</w:t>
            </w:r>
          </w:p>
        </w:tc>
        <w:tc>
          <w:tcPr>
            <w:tcW w:w="2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ind w:left="240"/>
              <w:spacing w:after="0" w:line="203" w:lineRule="exact"/>
              <w:rPr>
                <w:sz w:val="20"/>
                <w:szCs w:val="20"/>
                <w:color w:val="auto"/>
              </w:rPr>
            </w:pPr>
            <w:r>
              <w:rPr>
                <w:rFonts w:ascii="Arial" w:cs="Arial" w:eastAsia="Arial" w:hAnsi="Arial"/>
                <w:sz w:val="18"/>
                <w:szCs w:val="18"/>
                <w:color w:val="auto"/>
              </w:rPr>
              <w:t>End of period</w:t>
            </w:r>
            <w:r>
              <w:rPr>
                <w:rFonts w:ascii="Arial" w:cs="Arial" w:eastAsia="Arial" w:hAnsi="Arial"/>
                <w:sz w:val="23"/>
                <w:szCs w:val="23"/>
                <w:color w:val="auto"/>
                <w:vertAlign w:val="superscript"/>
              </w:rPr>
              <w:t>(a)</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3,984</w:t>
            </w:r>
          </w:p>
        </w:tc>
        <w:tc>
          <w:tcPr>
            <w:tcW w:w="20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41.2</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90" w:lineRule="exact"/>
        <w:rPr>
          <w:sz w:val="20"/>
          <w:szCs w:val="20"/>
          <w:color w:val="auto"/>
        </w:rPr>
      </w:pPr>
    </w:p>
    <w:p>
      <w:pPr>
        <w:ind w:left="460" w:hanging="41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of December 31, 2024, 2023 and 2022, there were no PUDs that had remained undeveloped for five years or more.</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During 2024, we acquired 14,017 Bcfe, primarily related to the Southwestern Merger. We recorded extensions and discoveries of 124 Bcfe, primarily related to new PUDs in Northeast Appalachia and previously unproved producing wells in both Northeast Appalachia and Haynesville. We recorded 1,654 Bcfe of downward revisions of previous estimates, with 2,395 Bcfe of downward revisions due to lower natural gas, oil and NGL prices in 2024, partially offset by 741 Bcfe of non-price related positive revisions. The non-price revisions primarily consisted of 750 Bcfe of reserves increases on existing proved properties, related to increases in PUD forecasts and aligning forecasts for proved developed wells with latest production trends, increased ownership interests in some of the locations, and improved differentials in Haynesville. Also included within the non-price revisions were 174 Bcfe of new PUDs and producing wells in areas previously classified as proved, and 183 Bcfe of downward revisions due to development plan and other changes in Northeast Appalachia and Haynesville. The natural gas, oil and NGL prices used in computing our reserves as of December 31, 2024, were $2.13 per Mcf, $75.48 per Bbl and $75.48 per Bbl, respectively, before basis differential adjustments.</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2023, we divested 2,127 Bcfe, primarily related to our Eagle Ford divestitures. We recorded extensions and discoveries of 415 Bcfe, primarily related to new PUDs and previously unproved producing wells in the Upper Marcellus and Bossier Shales. We recorded 325 Bcfe of downward revisions of previous estimates, with 1,623 Bcfe of downward revisions due to lower natural gas, oil and NGL prices in 2023, partially offset by 1,298 Bcfe of non-price related positive revisions. The non-price revisions primarily consisted of 1,517 Bcfe from new PUDs and producing wells added in previously proved areas, 469 Bcfe of positive revisions to previously recorded PUD reserves primarily due to expected longer laterals in both Northeast Appalachia and Haynesville, partially offset by downward revisions of 451 Bcfe due to development plan and other changes in Northeast Appalachia and Haynesville, and a downward revision of 237 Bcfe on proved developed reserves related to aligning forecasts with latest production trends. The natural gas, oil and NGL prices used in computing our reserves as of December 31, 2023, were $2.64 per Mcf, $78.22 per Bbl and $28.61 per Bbl, respectively, before basis differential adjustments.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2022, we acquired 2,926 Bcfe, primarily related to the Marcellus Acquisition. We recorded extensions and discoveries of 82 Bcfe, primarily related to new PUDs and previously unproved producing wells in emerging plays. We recorded 2,155 Bcfe of upward revisions of previous estimates, which consisted of 866 Bcfe of revisions to PUDs, primarily due to development plan optimization through prioritizing longer laterals and multi-well pad development in the Haynesville, 1,156 Bcfe of revisions to existing or new proved developed properties, primarily due to performance and 133 Bcfe of revisions due to higher natural gas, oil and NGL prices in 2022. The natural gas, oil and NGL prices used in computing our reserves as of December 31, 2022, were $6.36 per Mcf, $93.67 per Bbl and $43.58 per Bbl, respectively, before basis differential adjustments.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Standardized Measure of Discounted Future Net Cash Flows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Accounting Standards Codification Topic 932 prescribes guidelines for computing a standardized measure of future net cash flows and changes therein relating to estimated proved reserves. Expand Energy has followed these guidelines which are briefly discussed below.</w:t>
      </w:r>
    </w:p>
    <w:p>
      <w:pPr>
        <w:spacing w:after="0" w:line="9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Future cash inflows and future production and development costs as of December 31, 2024, 2023 and 2022 were determined by applying the average of the first-day-of-the-month prices for the 12 months of the year and year-end costs to the estimated quantities of natural gas, oil and NGL to be produced. Actual future prices and costs may be materially higher or lower than the prices and costs used. For each year, estimates are made of quantities of proved reserves and the future periods during which they are expected to be produced based on continuation of the economic conditions applied for that year. Estimated future income taxes are computed using current statutory income tax rates including consideration of the current tax basis of the properties and related carryforwards, giving effect to permanent differences and tax credits. The resulting future net cash flows are reduced to present value amounts by applying a 10% annual discount factor.</w:t>
      </w:r>
    </w:p>
    <w:p>
      <w:pPr>
        <w:spacing w:after="0" w:line="12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assumptions used to compute the standardized measure are those prescribed by the Financial Accounting Standards Board and do not necessarily reflect our expectations of actual revenue to be derived from those reserves nor their present worth. The limitations inherent in the reserve quantity estimation process, as discussed previously, are equally applicable to the standardized measure computations since these estimates reflect the valuation process.</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following summary sets forth our future net cash flows relating to proved natural gas, oil and NGL reserves based on the standardized measure: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3"/>
        </w:trPr>
        <w:tc>
          <w:tcPr>
            <w:tcW w:w="682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cash inflows</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24,213</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(a)</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14,659</w:t>
            </w:r>
          </w:p>
        </w:tc>
        <w:tc>
          <w:tcPr>
            <w:tcW w:w="320" w:type="dxa"/>
            <w:vAlign w:val="bottom"/>
            <w:shd w:val="clear" w:color="auto" w:fill="DBDBDB"/>
          </w:tcPr>
          <w:p>
            <w:pPr>
              <w:spacing w:after="0" w:line="120" w:lineRule="exact"/>
              <w:rPr>
                <w:sz w:val="20"/>
                <w:szCs w:val="20"/>
                <w:color w:val="auto"/>
              </w:rPr>
            </w:pPr>
            <w:r>
              <w:rPr>
                <w:rFonts w:ascii="Arial" w:cs="Arial" w:eastAsia="Arial" w:hAnsi="Arial"/>
                <w:sz w:val="11"/>
                <w:szCs w:val="11"/>
                <w:color w:val="auto"/>
              </w:rPr>
              <w:t>(b)</w:t>
            </w: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76,626</w:t>
            </w:r>
          </w:p>
        </w:tc>
        <w:tc>
          <w:tcPr>
            <w:tcW w:w="340" w:type="dxa"/>
            <w:vAlign w:val="bottom"/>
            <w:shd w:val="clear" w:color="auto" w:fill="DBDBDB"/>
          </w:tcPr>
          <w:p>
            <w:pPr>
              <w:ind w:left="20"/>
              <w:spacing w:after="0" w:line="120" w:lineRule="exact"/>
              <w:rPr>
                <w:sz w:val="20"/>
                <w:szCs w:val="20"/>
                <w:color w:val="auto"/>
              </w:rPr>
            </w:pPr>
            <w:r>
              <w:rPr>
                <w:rFonts w:ascii="Arial" w:cs="Arial" w:eastAsia="Arial" w:hAnsi="Arial"/>
                <w:sz w:val="11"/>
                <w:szCs w:val="11"/>
                <w:color w:val="auto"/>
              </w:rPr>
              <w:t>(c)</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Future production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(10,177)</w:t>
            </w:r>
          </w:p>
        </w:tc>
        <w:tc>
          <w:tcPr>
            <w:tcW w:w="340" w:type="dxa"/>
            <w:vAlign w:val="bottom"/>
          </w:tcPr>
          <w:p>
            <w:pPr>
              <w:spacing w:after="0"/>
              <w:rPr>
                <w:sz w:val="19"/>
                <w:szCs w:val="19"/>
                <w:color w:val="auto"/>
              </w:rPr>
            </w:pPr>
          </w:p>
        </w:tc>
      </w:tr>
      <w:tr>
        <w:trPr>
          <w:trHeight w:val="230"/>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development costs</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(3,537)</w:t>
            </w:r>
          </w:p>
        </w:tc>
        <w:tc>
          <w:tcPr>
            <w:tcW w:w="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(d)</w:t>
            </w:r>
          </w:p>
        </w:tc>
        <w:tc>
          <w:tcPr>
            <w:tcW w:w="24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(2,779)</w:t>
            </w:r>
          </w:p>
        </w:tc>
        <w:tc>
          <w:tcPr>
            <w:tcW w:w="320" w:type="dxa"/>
            <w:vAlign w:val="bottom"/>
            <w:shd w:val="clear" w:color="auto" w:fill="DBDBDB"/>
          </w:tcPr>
          <w:p>
            <w:pPr>
              <w:spacing w:after="0"/>
              <w:rPr>
                <w:sz w:val="20"/>
                <w:szCs w:val="20"/>
                <w:color w:val="auto"/>
              </w:rPr>
            </w:pPr>
            <w:r>
              <w:rPr>
                <w:rFonts w:ascii="Arial" w:cs="Arial" w:eastAsia="Arial" w:hAnsi="Arial"/>
                <w:sz w:val="11"/>
                <w:szCs w:val="11"/>
                <w:color w:val="auto"/>
              </w:rPr>
              <w:t>(e)</w:t>
            </w:r>
          </w:p>
        </w:tc>
        <w:tc>
          <w:tcPr>
            <w:tcW w:w="320" w:type="dxa"/>
            <w:vAlign w:val="bottom"/>
            <w:shd w:val="clear" w:color="auto" w:fill="DBDBDB"/>
          </w:tcPr>
          <w:p>
            <w:pPr>
              <w:spacing w:after="0"/>
              <w:rPr>
                <w:sz w:val="19"/>
                <w:szCs w:val="19"/>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(5,343)</w:t>
            </w:r>
          </w:p>
        </w:tc>
        <w:tc>
          <w:tcPr>
            <w:tcW w:w="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w:t>
            </w:r>
          </w:p>
        </w:tc>
      </w:tr>
      <w:tr>
        <w:trPr>
          <w:trHeight w:val="229"/>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Future income tax provisions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(10,440)</w:t>
            </w:r>
          </w:p>
        </w:tc>
        <w:tc>
          <w:tcPr>
            <w:tcW w:w="340" w:type="dxa"/>
            <w:vAlign w:val="bottom"/>
            <w:tcBorders>
              <w:bottom w:val="single" w:sz="8" w:color="DBDBDB"/>
            </w:tcBorders>
          </w:tcPr>
          <w:p>
            <w:pPr>
              <w:spacing w:after="0"/>
              <w:rPr>
                <w:sz w:val="19"/>
                <w:szCs w:val="19"/>
                <w:color w:val="auto"/>
              </w:rPr>
            </w:pPr>
          </w:p>
        </w:tc>
      </w:tr>
      <w:tr>
        <w:trPr>
          <w:trHeight w:val="223"/>
        </w:trPr>
        <w:tc>
          <w:tcPr>
            <w:tcW w:w="6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Future net cash flows</w:t>
            </w: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13,550</w:t>
            </w:r>
          </w:p>
        </w:tc>
        <w:tc>
          <w:tcPr>
            <w:tcW w:w="34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8,380</w:t>
            </w:r>
          </w:p>
        </w:tc>
        <w:tc>
          <w:tcPr>
            <w:tcW w:w="3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50,666</w:t>
            </w:r>
          </w:p>
        </w:tc>
        <w:tc>
          <w:tcPr>
            <w:tcW w:w="340" w:type="dxa"/>
            <w:vAlign w:val="bottom"/>
            <w:shd w:val="clear" w:color="auto" w:fill="DBDBDB"/>
          </w:tcPr>
          <w:p>
            <w:pPr>
              <w:spacing w:after="0"/>
              <w:rPr>
                <w:sz w:val="19"/>
                <w:szCs w:val="19"/>
                <w:color w:val="auto"/>
              </w:rPr>
            </w:pPr>
          </w:p>
        </w:tc>
      </w:tr>
      <w:tr>
        <w:trPr>
          <w:trHeight w:val="223"/>
        </w:trPr>
        <w:tc>
          <w:tcPr>
            <w:tcW w:w="68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Less effect of a 10% discount factor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(6,019)</w:t>
            </w:r>
          </w:p>
        </w:tc>
        <w:tc>
          <w:tcPr>
            <w:tcW w:w="34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3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(24,361)</w:t>
            </w:r>
          </w:p>
        </w:tc>
        <w:tc>
          <w:tcPr>
            <w:tcW w:w="340" w:type="dxa"/>
            <w:vAlign w:val="bottom"/>
            <w:tcBorders>
              <w:bottom w:val="single" w:sz="8" w:color="DBDBDB"/>
            </w:tcBorders>
          </w:tcPr>
          <w:p>
            <w:pPr>
              <w:spacing w:after="0"/>
              <w:rPr>
                <w:sz w:val="19"/>
                <w:szCs w:val="19"/>
                <w:color w:val="auto"/>
              </w:rPr>
            </w:pPr>
          </w:p>
        </w:tc>
      </w:tr>
      <w:tr>
        <w:trPr>
          <w:trHeight w:val="248"/>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7,531</w:t>
            </w:r>
          </w:p>
        </w:tc>
        <w:tc>
          <w:tcPr>
            <w:tcW w:w="34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auto"/>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32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340" w:type="dxa"/>
            <w:vAlign w:val="bottom"/>
            <w:tcBorders>
              <w:bottom w:val="single" w:sz="8" w:color="DBDBDB"/>
            </w:tcBorders>
            <w:shd w:val="clear" w:color="auto" w:fill="DBDBDB"/>
          </w:tcPr>
          <w:p>
            <w:pPr>
              <w:spacing w:after="0"/>
              <w:rPr>
                <w:sz w:val="21"/>
                <w:szCs w:val="21"/>
                <w:color w:val="auto"/>
              </w:rPr>
            </w:pP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420" w:hanging="372"/>
        <w:spacing w:after="0" w:line="287" w:lineRule="auto"/>
        <w:tabs>
          <w:tab w:leader="none" w:pos="5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using prices of $2.13 per Mcf of natural gas, $75.48 per Bbl of oil and $75.48 per Bbl of NGL, before basis differential adjustments.</w:t>
      </w:r>
    </w:p>
    <w:p>
      <w:pPr>
        <w:spacing w:after="0" w:line="31" w:lineRule="exact"/>
        <w:rPr>
          <w:rFonts w:ascii="Arial" w:cs="Arial" w:eastAsia="Arial" w:hAnsi="Arial"/>
          <w:sz w:val="18"/>
          <w:szCs w:val="18"/>
          <w:color w:val="auto"/>
        </w:rPr>
      </w:pPr>
    </w:p>
    <w:p>
      <w:pPr>
        <w:ind w:left="460" w:hanging="41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using prices of $2.64 per Mcf of natural gas, before basis differential adjustments.</w:t>
      </w:r>
    </w:p>
    <w:p>
      <w:pPr>
        <w:spacing w:after="0" w:line="90" w:lineRule="exact"/>
        <w:rPr>
          <w:rFonts w:ascii="Arial" w:cs="Arial" w:eastAsia="Arial" w:hAnsi="Arial"/>
          <w:sz w:val="18"/>
          <w:szCs w:val="18"/>
          <w:color w:val="auto"/>
        </w:rPr>
      </w:pPr>
    </w:p>
    <w:p>
      <w:pPr>
        <w:ind w:left="420" w:hanging="372"/>
        <w:spacing w:after="0" w:line="287" w:lineRule="auto"/>
        <w:tabs>
          <w:tab w:leader="none" w:pos="5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Calculated using prices of $6.36 per Mcf of natural gas, $93.67 per Bbl of oil and $43.58 per Bbl of NGL, before basis differential adjustments.</w:t>
      </w:r>
    </w:p>
    <w:p>
      <w:pPr>
        <w:spacing w:after="0" w:line="31" w:lineRule="exact"/>
        <w:rPr>
          <w:rFonts w:ascii="Arial" w:cs="Arial" w:eastAsia="Arial" w:hAnsi="Arial"/>
          <w:sz w:val="18"/>
          <w:szCs w:val="18"/>
          <w:color w:val="auto"/>
        </w:rPr>
      </w:pPr>
    </w:p>
    <w:p>
      <w:pPr>
        <w:ind w:left="460" w:hanging="41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approximately $1,625 million of future plugging and abandonment costs as of December 31, 2024.</w:t>
      </w:r>
    </w:p>
    <w:p>
      <w:pPr>
        <w:spacing w:after="0" w:line="103" w:lineRule="exact"/>
        <w:rPr>
          <w:rFonts w:ascii="Arial" w:cs="Arial" w:eastAsia="Arial" w:hAnsi="Arial"/>
          <w:sz w:val="18"/>
          <w:szCs w:val="18"/>
          <w:color w:val="auto"/>
        </w:rPr>
      </w:pPr>
    </w:p>
    <w:p>
      <w:pPr>
        <w:ind w:left="460" w:hanging="41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approximately $730 million of future plugging and abandonment costs as of December 31, 2023.</w:t>
      </w:r>
    </w:p>
    <w:p>
      <w:pPr>
        <w:spacing w:after="0" w:line="90" w:lineRule="exact"/>
        <w:rPr>
          <w:rFonts w:ascii="Arial" w:cs="Arial" w:eastAsia="Arial" w:hAnsi="Arial"/>
          <w:sz w:val="18"/>
          <w:szCs w:val="18"/>
          <w:color w:val="auto"/>
        </w:rPr>
      </w:pPr>
    </w:p>
    <w:p>
      <w:pPr>
        <w:ind w:left="420" w:hanging="37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Included approximately $979 million of future plugging and abandonment costs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1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SUPPLEMENTARY INFORMATION -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principal sources of change in the standardized measure of discounted future net cash flows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Standardized measure, beginning of period</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12,287</w:t>
            </w: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rPr>
              <w:t>Sales of natural gas and oil produced, net of production costs</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(2,171)</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line="243" w:lineRule="exact"/>
              <w:rPr>
                <w:sz w:val="20"/>
                <w:szCs w:val="20"/>
                <w:color w:val="auto"/>
              </w:rPr>
            </w:pPr>
            <w:r>
              <w:rPr>
                <w:rFonts w:ascii="Arial" w:cs="Arial" w:eastAsia="Arial" w:hAnsi="Arial"/>
                <w:sz w:val="18"/>
                <w:szCs w:val="18"/>
                <w:color w:val="auto"/>
              </w:rPr>
              <w:t>and gathering, processing and transportation</w:t>
            </w:r>
            <w:r>
              <w:rPr>
                <w:rFonts w:ascii="Arial" w:cs="Arial" w:eastAsia="Arial" w:hAnsi="Arial"/>
                <w:sz w:val="23"/>
                <w:szCs w:val="23"/>
                <w:color w:val="auto"/>
                <w:vertAlign w:val="superscript"/>
              </w:rPr>
              <w:t>(a)</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changes in prices and production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(2,266)</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(23,535)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176"/>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rPr>
              <w:t>Extensions and discoveries, net of production and</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7180" w:type="dxa"/>
            <w:vAlign w:val="bottom"/>
          </w:tcPr>
          <w:p>
            <w:pPr>
              <w:ind w:left="120"/>
              <w:spacing w:after="0"/>
              <w:rPr>
                <w:sz w:val="20"/>
                <w:szCs w:val="20"/>
                <w:color w:val="auto"/>
              </w:rPr>
            </w:pPr>
            <w:r>
              <w:rPr>
                <w:rFonts w:ascii="Arial" w:cs="Arial" w:eastAsia="Arial" w:hAnsi="Arial"/>
                <w:sz w:val="18"/>
                <w:szCs w:val="18"/>
                <w:color w:val="auto"/>
              </w:rPr>
              <w:t>development costs</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Changes in estimated future development costs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652</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0"/>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Revisions of previous quantity estimates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6,697</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Purchase of reserves-in-place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of reserves-in-place</w:t>
            </w:r>
          </w:p>
        </w:tc>
        <w:tc>
          <w:tcPr>
            <w:tcW w:w="2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(7,158)</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7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6,301</w:t>
            </w:r>
          </w:p>
        </w:tc>
        <w:tc>
          <w:tcPr>
            <w:tcW w:w="2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Changes in production rates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DBDBDB"/>
            </w:tcBorders>
            <w:shd w:val="clear" w:color="auto" w:fill="DBDBDB"/>
          </w:tcPr>
          <w:p>
            <w:pPr>
              <w:ind w:left="20"/>
              <w:spacing w:after="0" w:line="223" w:lineRule="exact"/>
              <w:rPr>
                <w:sz w:val="20"/>
                <w:szCs w:val="20"/>
                <w:color w:val="auto"/>
              </w:rPr>
            </w:pPr>
            <w:r>
              <w:rPr>
                <w:rFonts w:ascii="Arial" w:cs="Arial" w:eastAsia="Arial" w:hAnsi="Arial"/>
                <w:sz w:val="18"/>
                <w:szCs w:val="18"/>
                <w:color w:val="auto"/>
              </w:rPr>
              <w:t>Standardized measure, end of period</w:t>
            </w:r>
            <w:r>
              <w:rPr>
                <w:rFonts w:ascii="Arial" w:cs="Arial" w:eastAsia="Arial" w:hAnsi="Arial"/>
                <w:sz w:val="23"/>
                <w:szCs w:val="23"/>
                <w:color w:val="auto"/>
                <w:vertAlign w:val="superscript"/>
              </w:rPr>
              <w:t>(a)</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4,477</w:t>
            </w:r>
          </w:p>
        </w:tc>
        <w:tc>
          <w:tcPr>
            <w:tcW w:w="2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26,305</w:t>
            </w:r>
          </w:p>
        </w:tc>
        <w:tc>
          <w:tcPr>
            <w:tcW w:w="0" w:type="dxa"/>
            <w:vAlign w:val="bottom"/>
          </w:tcPr>
          <w:p>
            <w:pPr>
              <w:spacing w:after="0"/>
              <w:rPr>
                <w:sz w:val="1"/>
                <w:szCs w:val="1"/>
                <w:color w:val="auto"/>
              </w:rPr>
            </w:pPr>
          </w:p>
        </w:tc>
      </w:tr>
      <w:tr>
        <w:trPr>
          <w:trHeight w:val="20"/>
        </w:trPr>
        <w:tc>
          <w:tcPr>
            <w:tcW w:w="71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04" w:lineRule="exact"/>
        <w:rPr>
          <w:sz w:val="20"/>
          <w:szCs w:val="20"/>
          <w:color w:val="auto"/>
        </w:rPr>
      </w:pPr>
    </w:p>
    <w:p>
      <w:pPr>
        <w:ind w:left="5680" w:right="2660" w:hanging="5632"/>
        <w:spacing w:after="0" w:line="976" w:lineRule="auto"/>
        <w:tabs>
          <w:tab w:leader="none" w:pos="4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Excludes gains and losses on derivatives. Production costs includes severance and ad valorem taxes.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9.</w:t>
      </w:r>
      <w:r>
        <w:rPr>
          <w:sz w:val="20"/>
          <w:szCs w:val="20"/>
          <w:color w:val="auto"/>
        </w:rPr>
        <w:tab/>
      </w:r>
      <w:r>
        <w:rPr>
          <w:rFonts w:ascii="Arial" w:cs="Arial" w:eastAsia="Arial" w:hAnsi="Arial"/>
          <w:sz w:val="17"/>
          <w:szCs w:val="17"/>
          <w:b w:val="1"/>
          <w:bCs w:val="1"/>
          <w:i w:val="1"/>
          <w:iCs w:val="1"/>
          <w:color w:val="00386C"/>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928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4"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9A.</w:t>
      </w:r>
      <w:r>
        <w:rPr>
          <w:sz w:val="20"/>
          <w:szCs w:val="20"/>
          <w:color w:val="auto"/>
        </w:rPr>
        <w:tab/>
      </w:r>
      <w:r>
        <w:rPr>
          <w:rFonts w:ascii="Arial" w:cs="Arial" w:eastAsia="Arial" w:hAnsi="Arial"/>
          <w:sz w:val="17"/>
          <w:szCs w:val="17"/>
          <w:b w:val="1"/>
          <w:bCs w:val="1"/>
          <w:i w:val="1"/>
          <w:iCs w:val="1"/>
          <w:color w:val="00386C"/>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reports we file or submit under the Securities Exchange Act of 1934, as amended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spacing w:after="0" w:line="68"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management, including our Chief Executive Officer and Chief Financial Officer, of the effectiveness of the design and operation of our disclosure controls and procedures pursuant to Exchange Act Rule 13a-15(b). Based on that evaluation, our Chief Executive Officer and Chief Financial Officer concluded as of December 31, 2024 that our disclosure controls and procedures were effective.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5"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2024 that have materially affected, or are reasonably likely to materially affect, our internal control over financial reporting.</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It is the responsibility of the management of Expand Energy Corporation to establish and maintain adequate internal control over financial reporting (as defined in Rule 13a-15(f) under the Securities Exchange Act of 1934). Management utilized the Committee of Sponsoring Organizations of the Treadway Commission's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in conducting the required assessment of effectiveness of the Company's internal control over financial reporting.</w:t>
      </w:r>
    </w:p>
    <w:p>
      <w:pPr>
        <w:spacing w:after="0" w:line="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Management has performed an assessment of the effectiveness of the Company's internal control over financial reporting and has determined the Company’s internal control over financial reporting was effective as of December 31, 2024.</w:t>
      </w:r>
    </w:p>
    <w:p>
      <w:pPr>
        <w:spacing w:after="0" w:line="4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Management’s assessment and conclusion on the effectiveness of the Company’s internal control over financial reporting as of December 31, 2024 excludes an assessment of the internal control over financial reporting of Southwestern Energy, which was acquired in a business combination on October 1, 2024. Southwestern Energy represents approximately 56% of our consolidated total assets as of December 31, 2024 and approximately 35% of our consolidated revenues for the year ended December 31, 2024.</w:t>
      </w:r>
    </w:p>
    <w:p>
      <w:pPr>
        <w:spacing w:after="0" w:line="6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effectiveness of our internal control over financial reporting as of December 31, 2024 has been audited by PricewaterhouseCoopers LLP, an independent registered public accounting firm, as stated in its report which appears herein.</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DOMENIC J. DELL'OSSO,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Domenic J. Dell'Osso, Jr.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President and Chief Executive Officer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 MOHIT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17780</wp:posOffset>
            </wp:positionV>
            <wp:extent cx="67208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72084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Mohit Singh</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Vice President and Chief Financial Officer</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February 26, 2025</w:t>
      </w:r>
    </w:p>
    <w:p>
      <w:pPr>
        <w:spacing w:after="0" w:line="33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8"/>
          <w:szCs w:val="18"/>
          <w:b w:val="1"/>
          <w:bCs w:val="1"/>
          <w:color w:val="00386C"/>
        </w:rPr>
        <w:t>Item 9B.</w:t>
      </w:r>
      <w:r>
        <w:rPr>
          <w:sz w:val="20"/>
          <w:szCs w:val="20"/>
          <w:color w:val="auto"/>
        </w:rPr>
        <w:tab/>
      </w:r>
      <w:r>
        <w:rPr>
          <w:rFonts w:ascii="Arial" w:cs="Arial" w:eastAsia="Arial" w:hAnsi="Arial"/>
          <w:sz w:val="17"/>
          <w:szCs w:val="17"/>
          <w:b w:val="1"/>
          <w:bCs w:val="1"/>
          <w:i w:val="1"/>
          <w:iCs w:val="1"/>
          <w:color w:val="00386C"/>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17780</wp:posOffset>
            </wp:positionV>
            <wp:extent cx="1028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Rule 10b5-1 Trading Arrangements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During the three months ended December 31, 2024, no director or officer of the Company adopted or terminated a “Rule 10b5-1 trading arrangement” or “non-Rule 10b5-1 trading arrangement”, as each term is defined in Item 408 of Regulation S-K.</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Compensatory Arrangements</w:t>
      </w:r>
    </w:p>
    <w:p>
      <w:pPr>
        <w:spacing w:after="0" w:line="11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February 21, 2025, our Compensation Committee approved a supplement to outstanding restricted stock unit and performance share unit award agreements under the LTIP (the “Global Supplement”) held by certain of our employees, including our executive officers. The Global Supplement provides for a pro rata acceleration and vesting of such awards in connection with a termination by the Company without Cause (as defined in the LTIP); provided, however, that such acceleration will not apply (1) if the holder of such awards has not been employed for at least one year as of the date of termination or (2) if such awards are already subject to full acceleration pursuant to another agreement with the Company.</w:t>
      </w:r>
    </w:p>
    <w:p>
      <w:pPr>
        <w:spacing w:after="0" w:line="7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This summary of the Global Supplement does not purport to be complete and is subject to, and qualified in its entirety by reference to, the full text of the Global Supplement, which is filed as Exhibit 10.34 to this Annual Report on Form 10-K and incorporated herein by reference.</w:t>
      </w:r>
    </w:p>
    <w:p>
      <w:pPr>
        <w:spacing w:after="0" w:line="198"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9C.</w:t>
      </w:r>
      <w:r>
        <w:rPr>
          <w:sz w:val="20"/>
          <w:szCs w:val="20"/>
          <w:color w:val="auto"/>
        </w:rPr>
        <w:tab/>
      </w:r>
      <w:r>
        <w:rPr>
          <w:rFonts w:ascii="Arial" w:cs="Arial" w:eastAsia="Arial" w:hAnsi="Arial"/>
          <w:sz w:val="17"/>
          <w:szCs w:val="17"/>
          <w:b w:val="1"/>
          <w:bCs w:val="1"/>
          <w:i w:val="1"/>
          <w:iCs w:val="1"/>
          <w:color w:val="00386C"/>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7719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PART III</w:t>
      </w:r>
    </w:p>
    <w:p>
      <w:pPr>
        <w:spacing w:after="0" w:line="234"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10.</w:t>
      </w:r>
      <w:r>
        <w:rPr>
          <w:sz w:val="20"/>
          <w:szCs w:val="20"/>
          <w:color w:val="auto"/>
        </w:rPr>
        <w:tab/>
      </w:r>
      <w:r>
        <w:rPr>
          <w:rFonts w:ascii="Arial" w:cs="Arial" w:eastAsia="Arial" w:hAnsi="Arial"/>
          <w:sz w:val="17"/>
          <w:szCs w:val="17"/>
          <w:b w:val="1"/>
          <w:bCs w:val="1"/>
          <w:i w:val="1"/>
          <w:iCs w:val="1"/>
          <w:color w:val="00386C"/>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1032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9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names of executive officers of the Company and their ages, titles and biographies as of the date hereof are incorporated by reference from Item 1 of Part I of this report. The other information called for by this Item 10 is incorporated herein by reference to the definitive proxy statement to be filed by Expand Energy pursuant to Regulation 14A of the General Rules and Regulations under the Securities Exchange Act of 1934 no later than 120 days following the fiscal year ended December 31, 2024 (the “2025 Proxy Statement”).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Code of Business Conduct</w:t>
      </w:r>
    </w:p>
    <w:p>
      <w:pPr>
        <w:spacing w:after="0" w:line="1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has adopted a Code of Business Conduct that applies to all of its officers, directors and employees. We have posted a copy of our Code of Business Conduct on the “Sustainability” section of our website at www.expandenergy.com. Any amendments to, or waivers from, our Code of Business Conduct that apply to our executive officers and directors will be posted on the “Sustainability” section of our website at www.expandenergy.com. Note that the information on the Company’s website is not incorporated by reference into this filing.</w:t>
      </w:r>
    </w:p>
    <w:p>
      <w:pPr>
        <w:spacing w:after="0" w:line="20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11.</w:t>
      </w:r>
      <w:r>
        <w:rPr>
          <w:sz w:val="20"/>
          <w:szCs w:val="20"/>
          <w:color w:val="auto"/>
        </w:rPr>
        <w:tab/>
      </w:r>
      <w:r>
        <w:rPr>
          <w:rFonts w:ascii="Arial" w:cs="Arial" w:eastAsia="Arial" w:hAnsi="Arial"/>
          <w:sz w:val="17"/>
          <w:szCs w:val="17"/>
          <w:b w:val="1"/>
          <w:bCs w:val="1"/>
          <w:i w:val="1"/>
          <w:iCs w:val="1"/>
          <w:color w:val="00386C"/>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423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11 is incorporated herein by reference to the 2025 Proxy Statement.</w:t>
      </w:r>
    </w:p>
    <w:p>
      <w:pPr>
        <w:spacing w:after="0" w:line="212" w:lineRule="exact"/>
        <w:rPr>
          <w:sz w:val="20"/>
          <w:szCs w:val="20"/>
          <w:color w:val="auto"/>
        </w:rPr>
      </w:pPr>
    </w:p>
    <w:p>
      <w:pPr>
        <w:ind w:left="1020" w:right="2360" w:hanging="984"/>
        <w:spacing w:after="0" w:line="247" w:lineRule="auto"/>
        <w:tabs>
          <w:tab w:leader="none" w:pos="1000" w:val="left"/>
        </w:tabs>
        <w:rPr>
          <w:sz w:val="20"/>
          <w:szCs w:val="20"/>
          <w:color w:val="auto"/>
        </w:rPr>
      </w:pPr>
      <w:r>
        <w:rPr>
          <w:rFonts w:ascii="Arial" w:cs="Arial" w:eastAsia="Arial" w:hAnsi="Arial"/>
          <w:sz w:val="35"/>
          <w:szCs w:val="35"/>
          <w:b w:val="1"/>
          <w:bCs w:val="1"/>
          <w:color w:val="00386C"/>
          <w:vertAlign w:val="superscript"/>
        </w:rPr>
        <w:t>Item 12.</w:t>
      </w:r>
      <w:r>
        <w:rPr>
          <w:sz w:val="20"/>
          <w:szCs w:val="20"/>
          <w:color w:val="auto"/>
        </w:rPr>
        <w:tab/>
      </w:r>
      <w:r>
        <w:rPr>
          <w:rFonts w:ascii="Arial" w:cs="Arial" w:eastAsia="Arial" w:hAnsi="Arial"/>
          <w:sz w:val="18"/>
          <w:szCs w:val="18"/>
          <w:b w:val="1"/>
          <w:bCs w:val="1"/>
          <w:i w:val="1"/>
          <w:iCs w:val="1"/>
          <w:color w:val="00386C"/>
        </w:rPr>
        <w:t>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-7620</wp:posOffset>
            </wp:positionV>
            <wp:extent cx="52374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237480" cy="8255"/>
                    </a:xfrm>
                    <a:prstGeom prst="rect">
                      <a:avLst/>
                    </a:prstGeom>
                    <a:noFill/>
                  </pic:spPr>
                </pic:pic>
              </a:graphicData>
            </a:graphic>
          </wp:anchor>
        </w:drawing>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12 is incorporated herein by reference to the 2025 Proxy Statement.</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00386C"/>
        </w:rPr>
        <w:t>Item 13.</w:t>
      </w:r>
      <w:r>
        <w:rPr>
          <w:sz w:val="20"/>
          <w:szCs w:val="20"/>
          <w:color w:val="auto"/>
        </w:rPr>
        <w:tab/>
      </w:r>
      <w:r>
        <w:rPr>
          <w:rFonts w:ascii="Arial" w:cs="Arial" w:eastAsia="Arial" w:hAnsi="Arial"/>
          <w:sz w:val="17"/>
          <w:szCs w:val="17"/>
          <w:b w:val="1"/>
          <w:bCs w:val="1"/>
          <w:i w:val="1"/>
          <w:iCs w:val="1"/>
          <w:color w:val="00386C"/>
        </w:rPr>
        <w:t>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17780</wp:posOffset>
            </wp:positionV>
            <wp:extent cx="415734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13 is incorporated herein by reference to the 2025 Proxy Statement.</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14.</w:t>
      </w:r>
      <w:r>
        <w:rPr>
          <w:sz w:val="20"/>
          <w:szCs w:val="20"/>
          <w:color w:val="auto"/>
        </w:rPr>
        <w:tab/>
      </w:r>
      <w:r>
        <w:rPr>
          <w:rFonts w:ascii="Arial" w:cs="Arial" w:eastAsia="Arial" w:hAnsi="Arial"/>
          <w:sz w:val="17"/>
          <w:szCs w:val="17"/>
          <w:b w:val="1"/>
          <w:bCs w:val="1"/>
          <w:i w:val="1"/>
          <w:iCs w:val="1"/>
          <w:color w:val="00386C"/>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2117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called for by this Item 14 is incorporated herein by reference to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15.</w:t>
      </w:r>
      <w:r>
        <w:rPr>
          <w:sz w:val="20"/>
          <w:szCs w:val="20"/>
          <w:color w:val="auto"/>
        </w:rPr>
        <w:tab/>
      </w:r>
      <w:r>
        <w:rPr>
          <w:rFonts w:ascii="Arial" w:cs="Arial" w:eastAsia="Arial" w:hAnsi="Arial"/>
          <w:sz w:val="17"/>
          <w:szCs w:val="17"/>
          <w:b w:val="1"/>
          <w:bCs w:val="1"/>
          <w:i w:val="1"/>
          <w:iCs w:val="1"/>
          <w:color w:val="00386C"/>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25203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following financial statements, financial statement schedules and exhibits are filed as a part of this report:</w:t>
      </w:r>
    </w:p>
    <w:p>
      <w:pPr>
        <w:spacing w:after="0" w:line="171" w:lineRule="exact"/>
        <w:rPr>
          <w:rFonts w:ascii="Arial" w:cs="Arial" w:eastAsia="Arial" w:hAnsi="Arial"/>
          <w:sz w:val="18"/>
          <w:szCs w:val="18"/>
          <w:color w:val="auto"/>
        </w:rPr>
      </w:pPr>
    </w:p>
    <w:p>
      <w:pPr>
        <w:ind w:left="820" w:right="20" w:hanging="407"/>
        <w:spacing w:after="0" w:line="287" w:lineRule="auto"/>
        <w:tabs>
          <w:tab w:leader="none" w:pos="80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Expand Energy's consolidated financial statements are included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Item 8 of Part II</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report.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is made to the accompanying Index to Financial Statements.</w:t>
      </w:r>
    </w:p>
    <w:p>
      <w:pPr>
        <w:spacing w:after="0" w:line="31" w:lineRule="exact"/>
        <w:rPr>
          <w:rFonts w:ascii="Arial" w:cs="Arial" w:eastAsia="Arial" w:hAnsi="Arial"/>
          <w:sz w:val="18"/>
          <w:szCs w:val="18"/>
          <w:color w:val="auto"/>
        </w:rPr>
      </w:pPr>
    </w:p>
    <w:p>
      <w:pPr>
        <w:ind w:left="800" w:hanging="387"/>
        <w:spacing w:after="0"/>
        <w:tabs>
          <w:tab w:leader="none" w:pos="8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 financial statement schedules are applicable or required.</w:t>
      </w:r>
    </w:p>
    <w:p>
      <w:pPr>
        <w:spacing w:after="0" w:line="103" w:lineRule="exact"/>
        <w:rPr>
          <w:rFonts w:ascii="Arial" w:cs="Arial" w:eastAsia="Arial" w:hAnsi="Arial"/>
          <w:sz w:val="18"/>
          <w:szCs w:val="18"/>
          <w:color w:val="auto"/>
        </w:rPr>
      </w:pPr>
    </w:p>
    <w:p>
      <w:pPr>
        <w:ind w:left="820" w:hanging="407"/>
        <w:spacing w:after="0" w:line="287" w:lineRule="auto"/>
        <w:tabs>
          <w:tab w:leader="none" w:pos="808"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listed below in the Index of Exhibits are filed, furnished or incorporated by reference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Item 601 of Regulation S-K.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0"/>
        <w:spacing w:after="0" w:line="272" w:lineRule="auto"/>
        <w:rPr>
          <w:sz w:val="20"/>
          <w:szCs w:val="20"/>
          <w:color w:val="auto"/>
        </w:rPr>
      </w:pPr>
      <w:r>
        <w:rPr>
          <w:rFonts w:ascii="Arial" w:cs="Arial" w:eastAsia="Arial" w:hAnsi="Arial"/>
          <w:sz w:val="15"/>
          <w:szCs w:val="15"/>
          <w:b w:val="1"/>
          <w:bCs w:val="1"/>
          <w:color w:val="auto"/>
        </w:rPr>
        <w:t>Exhibit Number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6"/>
          <w:szCs w:val="16"/>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INDEX OF 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Incorporated by Reference</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SEC File</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gridSpan w:val="7"/>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300" w:type="dxa"/>
            <w:vAlign w:val="bottom"/>
            <w:gridSpan w:val="2"/>
            <w:vMerge w:val="continue"/>
          </w:tcPr>
          <w:p>
            <w:pPr>
              <w:spacing w:after="0"/>
              <w:rPr>
                <w:sz w:val="14"/>
                <w:szCs w:val="14"/>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Exhibit</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Filing Date</w:t>
            </w: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7"/>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120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gridSpan w:val="6"/>
          </w:tcPr>
          <w:p>
            <w:pPr>
              <w:spacing w:after="0" w:line="169" w:lineRule="exact"/>
              <w:rPr>
                <w:rFonts w:ascii="Arial" w:cs="Arial" w:eastAsia="Arial" w:hAnsi="Arial"/>
                <w:sz w:val="16"/>
                <w:szCs w:val="16"/>
                <w:color w:val="0000FF"/>
              </w:rPr>
            </w:pPr>
            <w:hyperlink r:id="rId234">
              <w:r>
                <w:rPr>
                  <w:rFonts w:ascii="Arial" w:cs="Arial" w:eastAsia="Arial" w:hAnsi="Arial"/>
                  <w:sz w:val="16"/>
                  <w:szCs w:val="16"/>
                  <w:color w:val="0000FF"/>
                </w:rPr>
                <w:t>Fifth Amended Joint Plan of Reorganization of</w:t>
              </w:r>
            </w:hyperlink>
          </w:p>
        </w:tc>
        <w:tc>
          <w:tcPr>
            <w:tcW w:w="1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4"/>
                <w:szCs w:val="14"/>
                <w:color w:val="auto"/>
              </w:rPr>
            </w:pPr>
          </w:p>
        </w:tc>
        <w:tc>
          <w:tcPr>
            <w:tcW w:w="12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14"/>
                <w:szCs w:val="14"/>
                <w:color w:val="auto"/>
              </w:rPr>
            </w:pPr>
          </w:p>
        </w:tc>
        <w:tc>
          <w:tcPr>
            <w:tcW w:w="1100" w:type="dxa"/>
            <w:vAlign w:val="bottom"/>
            <w:tcBorders>
              <w:top w:val="single" w:sz="8" w:color="auto"/>
            </w:tcBorders>
          </w:tcPr>
          <w:p>
            <w:pPr>
              <w:jc w:val="right"/>
              <w:ind w:right="359"/>
              <w:spacing w:after="0" w:line="169" w:lineRule="exact"/>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rPr>
              <w:t>1/19/2021</w:t>
            </w:r>
          </w:p>
        </w:tc>
        <w:tc>
          <w:tcPr>
            <w:tcW w:w="12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7"/>
              </w:rPr>
            </w:pPr>
            <w:hyperlink r:id="rId234">
              <w:r>
                <w:rPr>
                  <w:rFonts w:ascii="Arial" w:cs="Arial" w:eastAsia="Arial" w:hAnsi="Arial"/>
                  <w:sz w:val="16"/>
                  <w:szCs w:val="16"/>
                  <w:color w:val="0000FF"/>
                  <w:w w:val="97"/>
                </w:rPr>
                <w:t>Chesapeake Energy Corporation and its Debtor</w:t>
              </w:r>
            </w:hyperlink>
          </w:p>
        </w:tc>
        <w:tc>
          <w:tcPr>
            <w:tcW w:w="10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gridSpan w:val="7"/>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Affiliates Pursuant to Chapter 11 of the Bankruptcy</w:t>
              </w:r>
            </w:hyperlink>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Code (Exhibit A of the Confirmation Order).</w:t>
              </w:r>
            </w:hyperlink>
          </w:p>
        </w:tc>
        <w:tc>
          <w:tcPr>
            <w:tcW w:w="520" w:type="dxa"/>
            <w:vAlign w:val="bottom"/>
            <w:tcBorders>
              <w:top w:val="single" w:sz="8" w:color="0000FF"/>
            </w:tcBorders>
            <w:gridSpan w:val="4"/>
          </w:tcPr>
          <w:p>
            <w:pPr>
              <w:spacing w:after="0"/>
              <w:rPr>
                <w:sz w:val="12"/>
                <w:szCs w:val="12"/>
                <w:color w:val="auto"/>
              </w:rPr>
            </w:pPr>
          </w:p>
        </w:tc>
        <w:tc>
          <w:tcPr>
            <w:tcW w:w="16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3780" w:type="dxa"/>
            <w:vAlign w:val="bottom"/>
            <w:gridSpan w:val="7"/>
          </w:tcPr>
          <w:p>
            <w:pPr>
              <w:spacing w:after="0"/>
              <w:rPr>
                <w:rFonts w:ascii="Arial" w:cs="Arial" w:eastAsia="Arial" w:hAnsi="Arial"/>
                <w:sz w:val="16"/>
                <w:szCs w:val="16"/>
                <w:color w:val="0000FF"/>
              </w:rPr>
            </w:pPr>
            <w:hyperlink r:id="rId235">
              <w:r>
                <w:rPr>
                  <w:rFonts w:ascii="Arial" w:cs="Arial" w:eastAsia="Arial" w:hAnsi="Arial"/>
                  <w:sz w:val="16"/>
                  <w:szCs w:val="16"/>
                  <w:color w:val="0000FF"/>
                </w:rPr>
                <w:t>Partnership Interest Purchase Agreement by and</w:t>
              </w:r>
            </w:hyperlink>
          </w:p>
        </w:tc>
        <w:tc>
          <w:tcPr>
            <w:tcW w:w="1120" w:type="dxa"/>
            <w:vAlign w:val="bottom"/>
            <w:gridSpan w:val="2"/>
          </w:tcPr>
          <w:p>
            <w:pPr>
              <w:jc w:val="center"/>
              <w:ind w:right="100"/>
              <w:spacing w:after="0"/>
              <w:rPr>
                <w:sz w:val="20"/>
                <w:szCs w:val="20"/>
                <w:color w:val="auto"/>
              </w:rPr>
            </w:pPr>
            <w:r>
              <w:rPr>
                <w:rFonts w:ascii="Arial" w:cs="Arial" w:eastAsia="Arial" w:hAnsi="Arial"/>
                <w:sz w:val="16"/>
                <w:szCs w:val="16"/>
                <w:color w:val="auto"/>
              </w:rPr>
              <w:t>10-K</w:t>
            </w:r>
          </w:p>
        </w:tc>
        <w:tc>
          <w:tcPr>
            <w:tcW w:w="1200" w:type="dxa"/>
            <w:vAlign w:val="bottom"/>
          </w:tcPr>
          <w:p>
            <w:pPr>
              <w:jc w:val="center"/>
              <w:spacing w:after="0"/>
              <w:rPr>
                <w:sz w:val="20"/>
                <w:szCs w:val="20"/>
                <w:color w:val="auto"/>
              </w:rPr>
            </w:pPr>
            <w:r>
              <w:rPr>
                <w:rFonts w:ascii="Arial" w:cs="Arial" w:eastAsia="Arial" w:hAnsi="Arial"/>
                <w:sz w:val="16"/>
                <w:szCs w:val="16"/>
                <w:color w:val="auto"/>
                <w:w w:val="99"/>
              </w:rPr>
              <w:t>001-13726</w:t>
            </w:r>
          </w:p>
        </w:tc>
        <w:tc>
          <w:tcPr>
            <w:tcW w:w="100" w:type="dxa"/>
            <w:vAlign w:val="bottom"/>
          </w:tcPr>
          <w:p>
            <w:pPr>
              <w:spacing w:after="0"/>
              <w:rPr>
                <w:sz w:val="24"/>
                <w:szCs w:val="24"/>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2/24/2022</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-642620</wp:posOffset>
            </wp:positionV>
            <wp:extent cx="7071995" cy="14147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071995" cy="141478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680" w:space="500"/>
            <w:col w:w="10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0"/>
        <w:spacing w:after="0"/>
        <w:rPr>
          <w:sz w:val="20"/>
          <w:szCs w:val="20"/>
          <w:color w:val="auto"/>
        </w:rPr>
      </w:pPr>
      <w:r>
        <w:rPr>
          <w:rFonts w:ascii="Arial" w:cs="Arial" w:eastAsia="Arial" w:hAnsi="Arial"/>
          <w:sz w:val="16"/>
          <w:szCs w:val="16"/>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6"/>
          <w:szCs w:val="16"/>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br w:type="column"/>
      </w:r>
    </w:p>
    <w:p>
      <w:pPr>
        <w:spacing w:after="0" w:line="261" w:lineRule="auto"/>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among The Jan &amp; Trevor Rees-Jones Revocable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Trust, Rees-Jones Family Holdings, LP, Chief E&amp;D</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Participants, LP, and Chief E&amp;D (GP) LLC</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(collectively, as Sellers) and Chesapeake Energy</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Corporation and its affiliates, dated as of January</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24, 2022.</w:t>
        </w:r>
      </w:hyperlink>
    </w:p>
    <w:p>
      <w:pPr>
        <w:spacing w:after="0" w:line="109" w:lineRule="exact"/>
        <w:rPr>
          <w:rFonts w:ascii="Arial" w:cs="Arial" w:eastAsia="Arial" w:hAnsi="Arial"/>
          <w:sz w:val="16"/>
          <w:szCs w:val="16"/>
          <w:u w:val="single" w:color="auto"/>
          <w:color w:val="0000FF"/>
        </w:rPr>
      </w:pPr>
    </w:p>
    <w:p>
      <w:pPr>
        <w:ind w:right="60"/>
        <w:spacing w:after="0" w:line="265" w:lineRule="auto"/>
        <w:rPr>
          <w:rFonts w:ascii="Arial" w:cs="Arial" w:eastAsia="Arial" w:hAnsi="Arial"/>
          <w:sz w:val="16"/>
          <w:szCs w:val="16"/>
          <w:u w:val="single" w:color="auto"/>
          <w:color w:val="0000FF"/>
        </w:rPr>
      </w:pPr>
      <w:hyperlink r:id="rId237">
        <w:r>
          <w:rPr>
            <w:rFonts w:ascii="Arial" w:cs="Arial" w:eastAsia="Arial" w:hAnsi="Arial"/>
            <w:sz w:val="16"/>
            <w:szCs w:val="16"/>
            <w:u w:val="single" w:color="auto"/>
            <w:color w:val="0000FF"/>
          </w:rPr>
          <w:t>Membership Interest Purchase Agreement by and</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among Radler 2000 Limited Partnership and Tug</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Hill, Inc., together as Sellers, and Chesapeake</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Energy Corporation and its affiliates, dated as of</w:t>
        </w:r>
      </w:hyperlink>
      <w:r>
        <w:rPr>
          <w:rFonts w:ascii="Arial" w:cs="Arial" w:eastAsia="Arial" w:hAnsi="Arial"/>
          <w:sz w:val="16"/>
          <w:szCs w:val="16"/>
          <w:u w:val="single" w:color="auto"/>
          <w:color w:val="0000FF"/>
        </w:rPr>
        <w:t xml:space="preserve"> </w:t>
      </w:r>
      <w:hyperlink r:id="rId237">
        <w:r>
          <w:rPr>
            <w:rFonts w:ascii="Arial" w:cs="Arial" w:eastAsia="Arial" w:hAnsi="Arial"/>
            <w:sz w:val="16"/>
            <w:szCs w:val="16"/>
            <w:u w:val="single" w:color="auto"/>
            <w:color w:val="0000FF"/>
          </w:rPr>
          <w:t>January 24, 2022.</w:t>
        </w:r>
      </w:hyperlink>
    </w:p>
    <w:p>
      <w:pPr>
        <w:spacing w:after="0" w:line="105" w:lineRule="exact"/>
        <w:rPr>
          <w:rFonts w:ascii="Arial" w:cs="Arial" w:eastAsia="Arial" w:hAnsi="Arial"/>
          <w:sz w:val="16"/>
          <w:szCs w:val="16"/>
          <w:u w:val="single" w:color="auto"/>
          <w:color w:val="0000FF"/>
        </w:rPr>
      </w:pPr>
    </w:p>
    <w:p>
      <w:pPr>
        <w:ind w:right="60"/>
        <w:spacing w:after="0" w:line="265" w:lineRule="auto"/>
        <w:rPr>
          <w:rFonts w:ascii="Arial" w:cs="Arial" w:eastAsia="Arial" w:hAnsi="Arial"/>
          <w:sz w:val="16"/>
          <w:szCs w:val="16"/>
          <w:u w:val="single" w:color="auto"/>
          <w:color w:val="0000FF"/>
        </w:rPr>
      </w:pPr>
      <w:hyperlink r:id="rId238">
        <w:r>
          <w:rPr>
            <w:rFonts w:ascii="Arial" w:cs="Arial" w:eastAsia="Arial" w:hAnsi="Arial"/>
            <w:sz w:val="16"/>
            <w:szCs w:val="16"/>
            <w:u w:val="single" w:color="auto"/>
            <w:color w:val="0000FF"/>
          </w:rPr>
          <w:t>Membership Interest Purchase Agreement by and</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among Radler 2000 Limited Partnership and Tug</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Hill, Inc., together as Sellers, and Chesapeake</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Energy Corporation and its affiliates, dated as of</w:t>
        </w:r>
      </w:hyperlink>
      <w:r>
        <w:rPr>
          <w:rFonts w:ascii="Arial" w:cs="Arial" w:eastAsia="Arial" w:hAnsi="Arial"/>
          <w:sz w:val="16"/>
          <w:szCs w:val="16"/>
          <w:u w:val="single" w:color="auto"/>
          <w:color w:val="0000FF"/>
        </w:rPr>
        <w:t xml:space="preserve"> </w:t>
      </w:r>
      <w:hyperlink r:id="rId238">
        <w:r>
          <w:rPr>
            <w:rFonts w:ascii="Arial" w:cs="Arial" w:eastAsia="Arial" w:hAnsi="Arial"/>
            <w:sz w:val="16"/>
            <w:szCs w:val="16"/>
            <w:u w:val="single" w:color="auto"/>
            <w:color w:val="0000FF"/>
          </w:rPr>
          <w:t>January 24, 2022.</w:t>
        </w:r>
      </w:hyperlink>
    </w:p>
    <w:p>
      <w:pPr>
        <w:spacing w:after="0" w:line="10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Agreement and Plan of Merger, dated as of</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76" w:lineRule="exact"/>
        <w:rPr>
          <w:rFonts w:ascii="Arial" w:cs="Arial" w:eastAsia="Arial" w:hAnsi="Arial"/>
          <w:sz w:val="16"/>
          <w:szCs w:val="16"/>
          <w:u w:val="single" w:color="auto"/>
          <w:color w:val="0000FF"/>
        </w:rPr>
      </w:pPr>
    </w:p>
    <w:p>
      <w:pPr>
        <w:spacing w:after="0"/>
        <w:tabs>
          <w:tab w:leader="none" w:pos="980" w:val="left"/>
          <w:tab w:leader="none" w:pos="2400" w:val="left"/>
          <w:tab w:leader="none" w:pos="35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10.37</w:t>
      </w:r>
      <w:r>
        <w:rPr>
          <w:sz w:val="20"/>
          <w:szCs w:val="20"/>
          <w:color w:val="auto"/>
        </w:rPr>
        <w:tab/>
      </w:r>
      <w:r>
        <w:rPr>
          <w:rFonts w:ascii="Arial" w:cs="Arial" w:eastAsia="Arial" w:hAnsi="Arial"/>
          <w:sz w:val="16"/>
          <w:szCs w:val="16"/>
          <w:color w:val="auto"/>
        </w:rPr>
        <w:t>2/24/2022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6515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071995" cy="65151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spacing w:after="0"/>
        <w:tabs>
          <w:tab w:leader="none" w:pos="980" w:val="left"/>
          <w:tab w:leader="none" w:pos="2400" w:val="left"/>
          <w:tab w:leader="none" w:pos="3540" w:val="left"/>
        </w:tabs>
        <w:rPr>
          <w:sz w:val="20"/>
          <w:szCs w:val="20"/>
          <w:color w:val="auto"/>
        </w:rPr>
      </w:pPr>
      <w:r>
        <w:rPr>
          <w:rFonts w:ascii="Arial" w:cs="Arial" w:eastAsia="Arial" w:hAnsi="Arial"/>
          <w:sz w:val="16"/>
          <w:szCs w:val="16"/>
          <w:color w:val="auto"/>
        </w:rPr>
        <w:t>10-K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10.38</w:t>
      </w:r>
      <w:r>
        <w:rPr>
          <w:sz w:val="20"/>
          <w:szCs w:val="20"/>
          <w:color w:val="auto"/>
        </w:rPr>
        <w:tab/>
      </w:r>
      <w:r>
        <w:rPr>
          <w:rFonts w:ascii="Arial" w:cs="Arial" w:eastAsia="Arial" w:hAnsi="Arial"/>
          <w:sz w:val="16"/>
          <w:szCs w:val="16"/>
          <w:color w:val="auto"/>
        </w:rPr>
        <w:t>2/24/2022</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651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071995" cy="651510"/>
                    </a:xfrm>
                    <a:prstGeom prst="rect">
                      <a:avLst/>
                    </a:prstGeom>
                    <a:noFill/>
                  </pic:spPr>
                </pic:pic>
              </a:graphicData>
            </a:graphic>
          </wp:anchor>
        </w:drawing>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17" w:lineRule="exact"/>
        <w:rPr>
          <w:rFonts w:ascii="Arial" w:cs="Arial" w:eastAsia="Arial" w:hAnsi="Arial"/>
          <w:sz w:val="16"/>
          <w:szCs w:val="16"/>
          <w:u w:val="single" w:color="auto"/>
          <w:color w:val="0000FF"/>
        </w:rPr>
      </w:pPr>
    </w:p>
    <w:p>
      <w:pPr>
        <w:ind w:left="40"/>
        <w:spacing w:after="0"/>
        <w:tabs>
          <w:tab w:leader="none" w:pos="980" w:val="left"/>
          <w:tab w:leader="none" w:pos="2500" w:val="left"/>
          <w:tab w:leader="none" w:pos="354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001-13726</w:t>
      </w:r>
      <w:r>
        <w:rPr>
          <w:sz w:val="20"/>
          <w:szCs w:val="20"/>
          <w:color w:val="auto"/>
        </w:rPr>
        <w:tab/>
      </w: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1/11/2024</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-3338195</wp:posOffset>
            </wp:positionH>
            <wp:positionV relativeFrom="paragraph">
              <wp:posOffset>-115570</wp:posOffset>
            </wp:positionV>
            <wp:extent cx="7071995" cy="5314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071995" cy="531495"/>
                    </a:xfrm>
                    <a:prstGeom prst="rect">
                      <a:avLst/>
                    </a:prstGeom>
                    <a:noFill/>
                  </pic:spPr>
                </pic:pic>
              </a:graphicData>
            </a:graphic>
          </wp:anchor>
        </w:drawing>
      </w:r>
    </w:p>
    <w:p>
      <w:pPr>
        <w:spacing w:after="0" w:line="44" w:lineRule="exact"/>
        <w:rPr>
          <w:rFonts w:ascii="Arial" w:cs="Arial" w:eastAsia="Arial" w:hAnsi="Arial"/>
          <w:sz w:val="16"/>
          <w:szCs w:val="16"/>
          <w:u w:val="single" w:color="auto"/>
          <w:color w:val="0000FF"/>
        </w:rPr>
      </w:pPr>
    </w:p>
    <w:p>
      <w:pPr>
        <w:sectPr>
          <w:pgSz w:w="11900" w:h="16838" w:orient="portrait"/>
          <w:cols w:equalWidth="0" w:num="3">
            <w:col w:w="480" w:space="720"/>
            <w:col w:w="3620" w:space="500"/>
            <w:col w:w="5920"/>
          </w:cols>
          <w:pgMar w:left="320" w:top="121" w:right="3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03"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5"/>
          <w:szCs w:val="15"/>
          <w:color w:val="auto"/>
        </w:rPr>
        <w:t>3.1</w:t>
      </w:r>
    </w:p>
    <w:p>
      <w:pPr>
        <w:spacing w:after="0" w:line="381"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5"/>
          <w:szCs w:val="15"/>
          <w:color w:val="auto"/>
        </w:rPr>
        <w:t>3.2</w:t>
      </w:r>
    </w:p>
    <w:p>
      <w:pPr>
        <w:spacing w:after="0" w:line="300" w:lineRule="exact"/>
        <w:rPr>
          <w:rFonts w:ascii="Arial" w:cs="Arial" w:eastAsia="Arial" w:hAnsi="Arial"/>
          <w:sz w:val="16"/>
          <w:szCs w:val="16"/>
          <w:u w:val="single" w:color="auto"/>
          <w:color w:val="0000FF"/>
        </w:rPr>
      </w:pPr>
    </w:p>
    <w:p>
      <w:pPr>
        <w:ind w:left="80"/>
        <w:spacing w:after="0"/>
        <w:rPr>
          <w:sz w:val="20"/>
          <w:szCs w:val="20"/>
          <w:color w:val="auto"/>
        </w:rPr>
      </w:pPr>
      <w:r>
        <w:rPr>
          <w:rFonts w:ascii="Arial" w:cs="Arial" w:eastAsia="Arial" w:hAnsi="Arial"/>
          <w:sz w:val="15"/>
          <w:szCs w:val="15"/>
          <w:color w:val="auto"/>
        </w:rPr>
        <w:t>4.1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January 10, 2024, among Chesapeake Energy</w:t>
        </w:r>
      </w:hyperlink>
    </w:p>
    <w:p>
      <w:pPr>
        <w:spacing w:after="0" w:line="9"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Corporation, Hulk Merger Sub, Inc., Hulk LLC Sub,</w:t>
        </w:r>
      </w:hyperlink>
    </w:p>
    <w:p>
      <w:pPr>
        <w:spacing w:after="0" w:line="5"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39">
        <w:r>
          <w:rPr>
            <w:rFonts w:ascii="Arial" w:cs="Arial" w:eastAsia="Arial" w:hAnsi="Arial"/>
            <w:sz w:val="16"/>
            <w:szCs w:val="16"/>
            <w:u w:val="single" w:color="auto"/>
            <w:color w:val="0000FF"/>
          </w:rPr>
          <w:t>LLC, and Southwestern Energy Corporation</w:t>
        </w:r>
      </w:hyperlink>
    </w:p>
    <w:p>
      <w:pPr>
        <w:spacing w:after="0" w:line="138"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190"/>
        </w:trPr>
        <w:tc>
          <w:tcPr>
            <w:tcW w:w="3440" w:type="dxa"/>
            <w:vAlign w:val="bottom"/>
            <w:gridSpan w:val="5"/>
          </w:tcPr>
          <w:p>
            <w:pPr>
              <w:spacing w:after="0"/>
              <w:rPr>
                <w:rFonts w:ascii="Arial" w:cs="Arial" w:eastAsia="Arial" w:hAnsi="Arial"/>
                <w:sz w:val="16"/>
                <w:szCs w:val="16"/>
                <w:color w:val="0000FF"/>
              </w:rPr>
            </w:pPr>
            <w:hyperlink r:id="rId243">
              <w:r>
                <w:rPr>
                  <w:rFonts w:ascii="Arial" w:cs="Arial" w:eastAsia="Arial" w:hAnsi="Arial"/>
                  <w:sz w:val="16"/>
                  <w:szCs w:val="16"/>
                  <w:color w:val="0000FF"/>
                </w:rPr>
                <w:t>Third Amended and Restated Certificate of</w:t>
              </w:r>
            </w:hyperlink>
          </w:p>
        </w:tc>
        <w:tc>
          <w:tcPr>
            <w:tcW w:w="1320" w:type="dxa"/>
            <w:vAlign w:val="bottom"/>
          </w:tcPr>
          <w:p>
            <w:pPr>
              <w:ind w:left="720"/>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001-13726</w:t>
            </w:r>
          </w:p>
        </w:tc>
        <w:tc>
          <w:tcPr>
            <w:tcW w:w="1040" w:type="dxa"/>
            <w:vAlign w:val="bottom"/>
          </w:tcPr>
          <w:p>
            <w:pPr>
              <w:ind w:left="400"/>
              <w:spacing w:after="0"/>
              <w:rPr>
                <w:sz w:val="20"/>
                <w:szCs w:val="20"/>
                <w:color w:val="auto"/>
              </w:rPr>
            </w:pPr>
            <w:r>
              <w:rPr>
                <w:rFonts w:ascii="Arial" w:cs="Arial" w:eastAsia="Arial" w:hAnsi="Arial"/>
                <w:sz w:val="16"/>
                <w:szCs w:val="16"/>
                <w:color w:val="auto"/>
              </w:rPr>
              <w:t>3.1</w:t>
            </w:r>
          </w:p>
        </w:tc>
        <w:tc>
          <w:tcPr>
            <w:tcW w:w="1120" w:type="dxa"/>
            <w:vAlign w:val="bottom"/>
          </w:tcPr>
          <w:p>
            <w:pPr>
              <w:jc w:val="center"/>
              <w:ind w:left="319"/>
              <w:spacing w:after="0"/>
              <w:rPr>
                <w:sz w:val="20"/>
                <w:szCs w:val="20"/>
                <w:color w:val="auto"/>
              </w:rPr>
            </w:pPr>
            <w:r>
              <w:rPr>
                <w:rFonts w:ascii="Arial" w:cs="Arial" w:eastAsia="Arial" w:hAnsi="Arial"/>
                <w:sz w:val="16"/>
                <w:szCs w:val="16"/>
                <w:color w:val="auto"/>
              </w:rPr>
              <w:t>10/1/2024</w:t>
            </w:r>
          </w:p>
        </w:tc>
      </w:tr>
      <w:tr>
        <w:trPr>
          <w:trHeight w:val="20"/>
        </w:trPr>
        <w:tc>
          <w:tcPr>
            <w:tcW w:w="1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3"/>
        </w:trPr>
        <w:tc>
          <w:tcPr>
            <w:tcW w:w="3440" w:type="dxa"/>
            <w:vAlign w:val="bottom"/>
            <w:gridSpan w:val="5"/>
          </w:tcPr>
          <w:p>
            <w:pPr>
              <w:spacing w:after="0" w:line="183" w:lineRule="exact"/>
              <w:rPr>
                <w:rFonts w:ascii="Arial" w:cs="Arial" w:eastAsia="Arial" w:hAnsi="Arial"/>
                <w:sz w:val="16"/>
                <w:szCs w:val="16"/>
                <w:color w:val="0000FF"/>
              </w:rPr>
            </w:pPr>
            <w:hyperlink r:id="rId243">
              <w:r>
                <w:rPr>
                  <w:rFonts w:ascii="Arial" w:cs="Arial" w:eastAsia="Arial" w:hAnsi="Arial"/>
                  <w:sz w:val="16"/>
                  <w:szCs w:val="16"/>
                  <w:color w:val="0000FF"/>
                </w:rPr>
                <w:t>Incorporation of Expand Energy Corporation.</w:t>
              </w:r>
            </w:hyperlink>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4"/>
        </w:trPr>
        <w:tc>
          <w:tcPr>
            <w:tcW w:w="3440" w:type="dxa"/>
            <w:vAlign w:val="bottom"/>
            <w:tcBorders>
              <w:bottom w:val="single" w:sz="8" w:color="0000FF"/>
            </w:tcBorders>
            <w:gridSpan w:val="5"/>
          </w:tcPr>
          <w:p>
            <w:pPr>
              <w:spacing w:after="0"/>
              <w:rPr>
                <w:rFonts w:ascii="Arial" w:cs="Arial" w:eastAsia="Arial" w:hAnsi="Arial"/>
                <w:sz w:val="16"/>
                <w:szCs w:val="16"/>
                <w:color w:val="0000FF"/>
              </w:rPr>
            </w:pPr>
            <w:hyperlink r:id="rId244">
              <w:r>
                <w:rPr>
                  <w:rFonts w:ascii="Arial" w:cs="Arial" w:eastAsia="Arial" w:hAnsi="Arial"/>
                  <w:sz w:val="16"/>
                  <w:szCs w:val="16"/>
                  <w:color w:val="0000FF"/>
                </w:rPr>
                <w:t>Third Amended and Restated Bylaws of Expand</w:t>
              </w:r>
            </w:hyperlink>
          </w:p>
        </w:tc>
        <w:tc>
          <w:tcPr>
            <w:tcW w:w="1320" w:type="dxa"/>
            <w:vAlign w:val="bottom"/>
          </w:tcPr>
          <w:p>
            <w:pPr>
              <w:ind w:left="720"/>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001-13726</w:t>
            </w:r>
          </w:p>
        </w:tc>
        <w:tc>
          <w:tcPr>
            <w:tcW w:w="1040" w:type="dxa"/>
            <w:vAlign w:val="bottom"/>
          </w:tcPr>
          <w:p>
            <w:pPr>
              <w:ind w:left="400"/>
              <w:spacing w:after="0"/>
              <w:rPr>
                <w:sz w:val="20"/>
                <w:szCs w:val="20"/>
                <w:color w:val="auto"/>
              </w:rPr>
            </w:pPr>
            <w:r>
              <w:rPr>
                <w:rFonts w:ascii="Arial" w:cs="Arial" w:eastAsia="Arial" w:hAnsi="Arial"/>
                <w:sz w:val="16"/>
                <w:szCs w:val="16"/>
                <w:color w:val="auto"/>
              </w:rPr>
              <w:t>3.2</w:t>
            </w:r>
          </w:p>
        </w:tc>
        <w:tc>
          <w:tcPr>
            <w:tcW w:w="1120" w:type="dxa"/>
            <w:vAlign w:val="bottom"/>
          </w:tcPr>
          <w:p>
            <w:pPr>
              <w:jc w:val="center"/>
              <w:ind w:left="319"/>
              <w:spacing w:after="0"/>
              <w:rPr>
                <w:sz w:val="20"/>
                <w:szCs w:val="20"/>
                <w:color w:val="auto"/>
              </w:rPr>
            </w:pPr>
            <w:r>
              <w:rPr>
                <w:rFonts w:ascii="Arial" w:cs="Arial" w:eastAsia="Arial" w:hAnsi="Arial"/>
                <w:sz w:val="16"/>
                <w:szCs w:val="16"/>
                <w:color w:val="auto"/>
              </w:rPr>
              <w:t>10/1/2024</w:t>
            </w:r>
          </w:p>
        </w:tc>
      </w:tr>
      <w:tr>
        <w:trPr>
          <w:trHeight w:val="142"/>
        </w:trPr>
        <w:tc>
          <w:tcPr>
            <w:tcW w:w="3440" w:type="dxa"/>
            <w:vAlign w:val="bottom"/>
            <w:gridSpan w:val="5"/>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Energy Corporation.</w:t>
              </w:r>
            </w:hyperlink>
          </w:p>
        </w:tc>
        <w:tc>
          <w:tcPr>
            <w:tcW w:w="1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0"/>
        </w:trPr>
        <w:tc>
          <w:tcPr>
            <w:tcW w:w="14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0"/>
        </w:trPr>
        <w:tc>
          <w:tcPr>
            <w:tcW w:w="3440" w:type="dxa"/>
            <w:vAlign w:val="bottom"/>
            <w:gridSpan w:val="5"/>
          </w:tcPr>
          <w:p>
            <w:pPr>
              <w:spacing w:after="0"/>
              <w:rPr>
                <w:rFonts w:ascii="Arial" w:cs="Arial" w:eastAsia="Arial" w:hAnsi="Arial"/>
                <w:sz w:val="16"/>
                <w:szCs w:val="16"/>
                <w:color w:val="0000FF"/>
              </w:rPr>
            </w:pPr>
            <w:hyperlink r:id="rId245">
              <w:r>
                <w:rPr>
                  <w:rFonts w:ascii="Arial" w:cs="Arial" w:eastAsia="Arial" w:hAnsi="Arial"/>
                  <w:sz w:val="16"/>
                  <w:szCs w:val="16"/>
                  <w:color w:val="0000FF"/>
                </w:rPr>
                <w:t>Description of Securities.</w:t>
              </w:r>
            </w:hyperlink>
          </w:p>
        </w:tc>
        <w:tc>
          <w:tcPr>
            <w:tcW w:w="1320" w:type="dxa"/>
            <w:vAlign w:val="bottom"/>
          </w:tcPr>
          <w:p>
            <w:pPr>
              <w:ind w:left="720"/>
              <w:spacing w:after="0"/>
              <w:rPr>
                <w:sz w:val="20"/>
                <w:szCs w:val="20"/>
                <w:color w:val="auto"/>
              </w:rPr>
            </w:pPr>
            <w:r>
              <w:rPr>
                <w:rFonts w:ascii="Arial" w:cs="Arial" w:eastAsia="Arial" w:hAnsi="Arial"/>
                <w:sz w:val="16"/>
                <w:szCs w:val="16"/>
                <w:color w:val="auto"/>
              </w:rPr>
              <w:t>8-A</w:t>
            </w: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001-13726</w:t>
            </w:r>
          </w:p>
        </w:tc>
        <w:tc>
          <w:tcPr>
            <w:tcW w:w="1040" w:type="dxa"/>
            <w:vAlign w:val="bottom"/>
          </w:tcPr>
          <w:p>
            <w:pPr>
              <w:ind w:left="380"/>
              <w:spacing w:after="0"/>
              <w:rPr>
                <w:sz w:val="20"/>
                <w:szCs w:val="20"/>
                <w:color w:val="auto"/>
              </w:rPr>
            </w:pPr>
            <w:r>
              <w:rPr>
                <w:rFonts w:ascii="Arial" w:cs="Arial" w:eastAsia="Arial" w:hAnsi="Arial"/>
                <w:sz w:val="16"/>
                <w:szCs w:val="16"/>
                <w:color w:val="auto"/>
              </w:rPr>
              <w:t>N/A</w:t>
            </w:r>
          </w:p>
        </w:tc>
        <w:tc>
          <w:tcPr>
            <w:tcW w:w="1120" w:type="dxa"/>
            <w:vAlign w:val="bottom"/>
          </w:tcPr>
          <w:p>
            <w:pPr>
              <w:jc w:val="center"/>
              <w:ind w:left="319"/>
              <w:spacing w:after="0"/>
              <w:rPr>
                <w:sz w:val="20"/>
                <w:szCs w:val="20"/>
                <w:color w:val="auto"/>
              </w:rPr>
            </w:pPr>
            <w:r>
              <w:rPr>
                <w:rFonts w:ascii="Arial" w:cs="Arial" w:eastAsia="Arial" w:hAnsi="Arial"/>
                <w:sz w:val="16"/>
                <w:szCs w:val="16"/>
                <w:color w:val="auto"/>
              </w:rPr>
              <w:t>2/9/2021</w:t>
            </w:r>
          </w:p>
        </w:tc>
      </w:tr>
      <w:tr>
        <w:trPr>
          <w:trHeight w:val="20"/>
        </w:trPr>
        <w:tc>
          <w:tcPr>
            <w:tcW w:w="14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-762000</wp:posOffset>
            </wp:positionV>
            <wp:extent cx="7071995" cy="282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071995" cy="28257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-419100</wp:posOffset>
            </wp:positionV>
            <wp:extent cx="7071995"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071995" cy="24003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-119380</wp:posOffset>
            </wp:positionV>
            <wp:extent cx="707199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 w:space="720"/>
            <w:col w:w="100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2"/>
          <w:szCs w:val="12"/>
          <w:b w:val="1"/>
          <w:bCs w:val="1"/>
          <w:u w:val="single" w:color="auto"/>
          <w:color w:val="0000FF"/>
        </w:rPr>
        <w:t>TABLE OF CONTENTS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10.1</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620" w:type="dxa"/>
            <w:vAlign w:val="bottom"/>
            <w:gridSpan w:val="5"/>
          </w:tcPr>
          <w:p>
            <w:pPr>
              <w:spacing w:after="0"/>
              <w:rPr>
                <w:rFonts w:ascii="Arial" w:cs="Arial" w:eastAsia="Arial" w:hAnsi="Arial"/>
                <w:sz w:val="16"/>
                <w:szCs w:val="16"/>
                <w:color w:val="0000FF"/>
              </w:rPr>
            </w:pPr>
            <w:hyperlink r:id="rId250">
              <w:r>
                <w:rPr>
                  <w:rFonts w:ascii="Arial" w:cs="Arial" w:eastAsia="Arial" w:hAnsi="Arial"/>
                  <w:sz w:val="16"/>
                  <w:szCs w:val="16"/>
                  <w:color w:val="0000FF"/>
                </w:rPr>
                <w:t>Restructuring Support Agreement, dated June 28,</w:t>
              </w:r>
            </w:hyperlink>
          </w:p>
        </w:tc>
        <w:tc>
          <w:tcPr>
            <w:tcW w:w="1160" w:type="dxa"/>
            <w:vAlign w:val="bottom"/>
          </w:tcPr>
          <w:p>
            <w:pPr>
              <w:ind w:left="560"/>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001-13726</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10.1</w:t>
            </w:r>
          </w:p>
        </w:tc>
        <w:tc>
          <w:tcPr>
            <w:tcW w:w="1100" w:type="dxa"/>
            <w:vAlign w:val="bottom"/>
          </w:tcPr>
          <w:p>
            <w:pPr>
              <w:jc w:val="right"/>
              <w:spacing w:after="0"/>
              <w:rPr>
                <w:sz w:val="20"/>
                <w:szCs w:val="20"/>
                <w:color w:val="auto"/>
              </w:rPr>
            </w:pPr>
            <w:r>
              <w:rPr>
                <w:rFonts w:ascii="Arial" w:cs="Arial" w:eastAsia="Arial" w:hAnsi="Arial"/>
                <w:sz w:val="16"/>
                <w:szCs w:val="16"/>
                <w:color w:val="auto"/>
              </w:rPr>
              <w:t>6/29/2020</w:t>
            </w:r>
          </w:p>
        </w:tc>
      </w:tr>
      <w:tr>
        <w:trPr>
          <w:trHeight w:val="142"/>
        </w:trPr>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250">
              <w:r>
                <w:rPr>
                  <w:rFonts w:ascii="Arial" w:cs="Arial" w:eastAsia="Arial" w:hAnsi="Arial"/>
                  <w:sz w:val="16"/>
                  <w:szCs w:val="16"/>
                  <w:color w:val="0000FF"/>
                  <w:w w:val="94"/>
                </w:rPr>
                <w:t>2020.</w:t>
              </w:r>
            </w:hyperlink>
          </w:p>
        </w:tc>
        <w:tc>
          <w:tcPr>
            <w:tcW w:w="480" w:type="dxa"/>
            <w:vAlign w:val="bottom"/>
            <w:tcBorders>
              <w:top w:val="single" w:sz="8" w:color="0000FF"/>
            </w:tcBorders>
          </w:tcPr>
          <w:p>
            <w:pPr>
              <w:spacing w:after="0"/>
              <w:rPr>
                <w:sz w:val="12"/>
                <w:szCs w:val="12"/>
                <w:color w:val="auto"/>
              </w:rPr>
            </w:pPr>
          </w:p>
        </w:tc>
        <w:tc>
          <w:tcPr>
            <w:tcW w:w="2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90"/>
        </w:trPr>
        <w:tc>
          <w:tcPr>
            <w:tcW w:w="3620" w:type="dxa"/>
            <w:vAlign w:val="bottom"/>
            <w:tcBorders>
              <w:bottom w:val="single" w:sz="8" w:color="0000FF"/>
            </w:tcBorders>
            <w:gridSpan w:val="5"/>
          </w:tcPr>
          <w:p>
            <w:pPr>
              <w:spacing w:after="0"/>
              <w:rPr>
                <w:rFonts w:ascii="Arial" w:cs="Arial" w:eastAsia="Arial" w:hAnsi="Arial"/>
                <w:sz w:val="16"/>
                <w:szCs w:val="16"/>
                <w:color w:val="0000FF"/>
              </w:rPr>
            </w:pPr>
            <w:hyperlink r:id="rId250">
              <w:r>
                <w:rPr>
                  <w:rFonts w:ascii="Arial" w:cs="Arial" w:eastAsia="Arial" w:hAnsi="Arial"/>
                  <w:sz w:val="16"/>
                  <w:szCs w:val="16"/>
                  <w:color w:val="0000FF"/>
                </w:rPr>
                <w:t>Backstop Commitment Agreement, dated June 28,</w:t>
              </w:r>
            </w:hyperlink>
          </w:p>
        </w:tc>
        <w:tc>
          <w:tcPr>
            <w:tcW w:w="1160" w:type="dxa"/>
            <w:vAlign w:val="bottom"/>
          </w:tcPr>
          <w:p>
            <w:pPr>
              <w:ind w:left="560"/>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001-13726</w:t>
            </w:r>
          </w:p>
        </w:tc>
        <w:tc>
          <w:tcPr>
            <w:tcW w:w="1060" w:type="dxa"/>
            <w:vAlign w:val="bottom"/>
          </w:tcPr>
          <w:p>
            <w:pPr>
              <w:jc w:val="right"/>
              <w:ind w:right="299"/>
              <w:spacing w:after="0"/>
              <w:rPr>
                <w:sz w:val="20"/>
                <w:szCs w:val="20"/>
                <w:color w:val="auto"/>
              </w:rPr>
            </w:pPr>
            <w:r>
              <w:rPr>
                <w:rFonts w:ascii="Arial" w:cs="Arial" w:eastAsia="Arial" w:hAnsi="Arial"/>
                <w:sz w:val="16"/>
                <w:szCs w:val="16"/>
                <w:color w:val="auto"/>
              </w:rPr>
              <w:t>10.1</w:t>
            </w:r>
          </w:p>
        </w:tc>
        <w:tc>
          <w:tcPr>
            <w:tcW w:w="1100" w:type="dxa"/>
            <w:vAlign w:val="bottom"/>
          </w:tcPr>
          <w:p>
            <w:pPr>
              <w:jc w:val="right"/>
              <w:spacing w:after="0"/>
              <w:rPr>
                <w:sz w:val="20"/>
                <w:szCs w:val="20"/>
                <w:color w:val="auto"/>
              </w:rPr>
            </w:pPr>
            <w:r>
              <w:rPr>
                <w:rFonts w:ascii="Arial" w:cs="Arial" w:eastAsia="Arial" w:hAnsi="Arial"/>
                <w:sz w:val="16"/>
                <w:szCs w:val="16"/>
                <w:color w:val="auto"/>
              </w:rPr>
              <w:t>6/29/2020</w:t>
            </w:r>
          </w:p>
        </w:tc>
      </w:tr>
      <w:tr>
        <w:trPr>
          <w:trHeight w:val="142"/>
        </w:trPr>
        <w:tc>
          <w:tcPr>
            <w:tcW w:w="3620" w:type="dxa"/>
            <w:vAlign w:val="bottom"/>
            <w:gridSpan w:val="5"/>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2020 (Exhibit 4 to the Restructuring Support</w:t>
              </w:r>
            </w:hyperlink>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2"/>
        </w:trPr>
        <w:tc>
          <w:tcPr>
            <w:tcW w:w="3140" w:type="dxa"/>
            <w:vAlign w:val="bottom"/>
            <w:tcBorders>
              <w:top w:val="single" w:sz="8" w:color="0000FF"/>
            </w:tcBorders>
            <w:gridSpan w:val="3"/>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Agreement).</w:t>
              </w:r>
            </w:hyperlink>
          </w:p>
        </w:tc>
        <w:tc>
          <w:tcPr>
            <w:tcW w:w="48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-625475</wp:posOffset>
            </wp:positionV>
            <wp:extent cx="7071995" cy="240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071995" cy="24003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-325120</wp:posOffset>
            </wp:positionV>
            <wp:extent cx="7071995" cy="3429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spacing w:after="0" w:line="93" w:lineRule="exact"/>
        <w:rPr>
          <w:sz w:val="20"/>
          <w:szCs w:val="20"/>
          <w:color w:val="auto"/>
        </w:rPr>
      </w:pPr>
    </w:p>
    <w:p>
      <w:pPr>
        <w:sectPr>
          <w:pgSz w:w="11900" w:h="16838" w:orient="portrait"/>
          <w:cols w:equalWidth="0" w:num="2">
            <w:col w:w="480" w:space="720"/>
            <w:col w:w="1000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204"/>
        </w:trPr>
        <w:tc>
          <w:tcPr>
            <w:tcW w:w="1140" w:type="dxa"/>
            <w:vAlign w:val="bottom"/>
            <w:shd w:val="clear" w:color="auto" w:fill="DBDBDB"/>
          </w:tcPr>
          <w:p>
            <w:pPr>
              <w:jc w:val="right"/>
              <w:ind w:right="739"/>
              <w:spacing w:after="0"/>
              <w:rPr>
                <w:sz w:val="20"/>
                <w:szCs w:val="20"/>
                <w:color w:val="auto"/>
              </w:rPr>
            </w:pPr>
            <w:r>
              <w:rPr>
                <w:rFonts w:ascii="Arial" w:cs="Arial" w:eastAsia="Arial" w:hAnsi="Arial"/>
                <w:sz w:val="16"/>
                <w:szCs w:val="16"/>
                <w:color w:val="auto"/>
                <w:w w:val="96"/>
              </w:rPr>
              <w:t>10.3</w:t>
            </w:r>
          </w:p>
        </w:tc>
        <w:tc>
          <w:tcPr>
            <w:tcW w:w="3660" w:type="dxa"/>
            <w:vAlign w:val="bottom"/>
            <w:gridSpan w:val="8"/>
            <w:shd w:val="clear" w:color="auto" w:fill="DBDBDB"/>
          </w:tcPr>
          <w:p>
            <w:pPr>
              <w:spacing w:after="0"/>
              <w:rPr>
                <w:rFonts w:ascii="Arial" w:cs="Arial" w:eastAsia="Arial" w:hAnsi="Arial"/>
                <w:sz w:val="16"/>
                <w:szCs w:val="16"/>
                <w:color w:val="0000FF"/>
              </w:rPr>
            </w:pPr>
            <w:hyperlink r:id="rId253">
              <w:r>
                <w:rPr>
                  <w:rFonts w:ascii="Arial" w:cs="Arial" w:eastAsia="Arial" w:hAnsi="Arial"/>
                  <w:sz w:val="16"/>
                  <w:szCs w:val="16"/>
                  <w:color w:val="0000FF"/>
                </w:rPr>
                <w:t>Registration Rights Agreement, dated as of</w:t>
              </w:r>
            </w:hyperlink>
          </w:p>
        </w:tc>
        <w:tc>
          <w:tcPr>
            <w:tcW w:w="1120" w:type="dxa"/>
            <w:vAlign w:val="bottom"/>
            <w:shd w:val="clear" w:color="auto" w:fill="DBDBDB"/>
          </w:tcPr>
          <w:p>
            <w:pPr>
              <w:ind w:left="520"/>
              <w:spacing w:after="0"/>
              <w:rPr>
                <w:sz w:val="20"/>
                <w:szCs w:val="20"/>
                <w:color w:val="auto"/>
              </w:rPr>
            </w:pPr>
            <w:r>
              <w:rPr>
                <w:rFonts w:ascii="Arial" w:cs="Arial" w:eastAsia="Arial" w:hAnsi="Arial"/>
                <w:sz w:val="16"/>
                <w:szCs w:val="16"/>
                <w:color w:val="auto"/>
              </w:rPr>
              <w:t>8-K</w:t>
            </w:r>
          </w:p>
        </w:tc>
        <w:tc>
          <w:tcPr>
            <w:tcW w:w="14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10.2</w:t>
            </w:r>
          </w:p>
        </w:tc>
        <w:tc>
          <w:tcPr>
            <w:tcW w:w="2660" w:type="dxa"/>
            <w:vAlign w:val="bottom"/>
            <w:shd w:val="clear" w:color="auto" w:fill="DBDBDB"/>
          </w:tcPr>
          <w:p>
            <w:pPr>
              <w:jc w:val="right"/>
              <w:ind w:right="1539"/>
              <w:spacing w:after="0"/>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100" w:type="dxa"/>
            <w:vAlign w:val="bottom"/>
            <w:tcBorders>
              <w:top w:val="single" w:sz="8" w:color="0000FF"/>
              <w:bottom w:val="single" w:sz="8" w:color="0000FF"/>
            </w:tcBorders>
            <w:gridSpan w:val="3"/>
            <w:shd w:val="clear" w:color="auto" w:fill="DBDBDB"/>
          </w:tcPr>
          <w:p>
            <w:pPr>
              <w:spacing w:after="0" w:line="142" w:lineRule="exact"/>
              <w:rPr>
                <w:rFonts w:ascii="Arial" w:cs="Arial" w:eastAsia="Arial" w:hAnsi="Arial"/>
                <w:sz w:val="16"/>
                <w:szCs w:val="16"/>
                <w:color w:val="0000FF"/>
                <w:w w:val="94"/>
              </w:rPr>
            </w:pPr>
            <w:hyperlink r:id="rId253">
              <w:r>
                <w:rPr>
                  <w:rFonts w:ascii="Arial" w:cs="Arial" w:eastAsia="Arial" w:hAnsi="Arial"/>
                  <w:sz w:val="16"/>
                  <w:szCs w:val="16"/>
                  <w:color w:val="0000FF"/>
                  <w:w w:val="94"/>
                </w:rPr>
                <w:t>February 9, 2021, by and among Chesapeake</w:t>
              </w:r>
            </w:hyperlink>
          </w:p>
        </w:tc>
        <w:tc>
          <w:tcPr>
            <w:tcW w:w="200" w:type="dxa"/>
            <w:vAlign w:val="bottom"/>
            <w:tcBorders>
              <w:top w:val="single" w:sz="8" w:color="DBDBDB"/>
              <w:bottom w:val="single" w:sz="8" w:color="0000FF"/>
            </w:tcBorders>
            <w:shd w:val="clear" w:color="auto" w:fill="DBDBDB"/>
          </w:tcPr>
          <w:p>
            <w:pPr>
              <w:spacing w:after="0"/>
              <w:rPr>
                <w:sz w:val="12"/>
                <w:szCs w:val="12"/>
                <w:color w:val="auto"/>
              </w:rPr>
            </w:pPr>
          </w:p>
        </w:tc>
        <w:tc>
          <w:tcPr>
            <w:tcW w:w="28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1480" w:type="dxa"/>
            <w:vAlign w:val="bottom"/>
            <w:tcBorders>
              <w:top w:val="single" w:sz="8" w:color="DBDBDB"/>
              <w:bottom w:val="single" w:sz="8" w:color="DBDBDB"/>
            </w:tcBorders>
            <w:shd w:val="clear" w:color="auto" w:fill="DBDBDB"/>
          </w:tcPr>
          <w:p>
            <w:pPr>
              <w:spacing w:after="0"/>
              <w:rPr>
                <w:sz w:val="12"/>
                <w:szCs w:val="12"/>
                <w:color w:val="auto"/>
              </w:rPr>
            </w:pPr>
          </w:p>
        </w:tc>
        <w:tc>
          <w:tcPr>
            <w:tcW w:w="108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8"/>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Energy Corporation and the other parties signatory</w:t>
              </w:r>
            </w:hyperlink>
          </w:p>
        </w:tc>
        <w:tc>
          <w:tcPr>
            <w:tcW w:w="1120" w:type="dxa"/>
            <w:vAlign w:val="bottom"/>
            <w:shd w:val="clear" w:color="auto" w:fill="DBDBDB"/>
          </w:tcPr>
          <w:p>
            <w:pPr>
              <w:spacing w:after="0"/>
              <w:rPr>
                <w:sz w:val="12"/>
                <w:szCs w:val="12"/>
                <w:color w:val="auto"/>
              </w:rPr>
            </w:pPr>
          </w:p>
        </w:tc>
        <w:tc>
          <w:tcPr>
            <w:tcW w:w="1480" w:type="dxa"/>
            <w:vAlign w:val="bottom"/>
            <w:shd w:val="clear" w:color="auto" w:fill="DBDBDB"/>
          </w:tcPr>
          <w:p>
            <w:pPr>
              <w:spacing w:after="0"/>
              <w:rPr>
                <w:sz w:val="12"/>
                <w:szCs w:val="12"/>
                <w:color w:val="auto"/>
              </w:rPr>
            </w:pPr>
          </w:p>
        </w:tc>
        <w:tc>
          <w:tcPr>
            <w:tcW w:w="1080" w:type="dxa"/>
            <w:vAlign w:val="bottom"/>
            <w:shd w:val="clear" w:color="auto" w:fill="DBDBDB"/>
          </w:tcPr>
          <w:p>
            <w:pPr>
              <w:spacing w:after="0"/>
              <w:rPr>
                <w:sz w:val="12"/>
                <w:szCs w:val="12"/>
                <w:color w:val="auto"/>
              </w:rPr>
            </w:pPr>
          </w:p>
        </w:tc>
        <w:tc>
          <w:tcPr>
            <w:tcW w:w="266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40" w:type="dxa"/>
            <w:vAlign w:val="bottom"/>
            <w:tcBorders>
              <w:top w:val="single" w:sz="8" w:color="0000FF"/>
            </w:tcBorders>
            <w:gridSpan w:val="7"/>
            <w:shd w:val="clear" w:color="auto" w:fill="DBDBDB"/>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thereto.</w:t>
              </w:r>
            </w:hyperlink>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80" w:type="dxa"/>
            <w:vAlign w:val="bottom"/>
            <w:tcBorders>
              <w:top w:val="single" w:sz="8" w:color="DBDBDB"/>
            </w:tcBorders>
            <w:shd w:val="clear" w:color="auto" w:fill="DBDBDB"/>
          </w:tcPr>
          <w:p>
            <w:pPr>
              <w:spacing w:after="0"/>
              <w:rPr>
                <w:sz w:val="14"/>
                <w:szCs w:val="14"/>
                <w:color w:val="auto"/>
              </w:rPr>
            </w:pPr>
          </w:p>
        </w:tc>
        <w:tc>
          <w:tcPr>
            <w:tcW w:w="1080" w:type="dxa"/>
            <w:vAlign w:val="bottom"/>
            <w:tcBorders>
              <w:top w:val="single" w:sz="8" w:color="DBDBDB"/>
            </w:tcBorders>
            <w:shd w:val="clear" w:color="auto" w:fill="DBDBDB"/>
          </w:tcPr>
          <w:p>
            <w:pPr>
              <w:spacing w:after="0"/>
              <w:rPr>
                <w:sz w:val="14"/>
                <w:szCs w:val="14"/>
                <w:color w:val="auto"/>
              </w:rPr>
            </w:pPr>
          </w:p>
        </w:tc>
        <w:tc>
          <w:tcPr>
            <w:tcW w:w="266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4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jc w:val="right"/>
              <w:ind w:right="739"/>
              <w:spacing w:after="0" w:line="155" w:lineRule="exact"/>
              <w:rPr>
                <w:sz w:val="20"/>
                <w:szCs w:val="20"/>
                <w:color w:val="auto"/>
              </w:rPr>
            </w:pPr>
            <w:r>
              <w:rPr>
                <w:rFonts w:ascii="Arial" w:cs="Arial" w:eastAsia="Arial" w:hAnsi="Arial"/>
                <w:sz w:val="16"/>
                <w:szCs w:val="16"/>
                <w:color w:val="auto"/>
                <w:w w:val="96"/>
              </w:rPr>
              <w:t>10.4</w:t>
            </w:r>
          </w:p>
        </w:tc>
        <w:tc>
          <w:tcPr>
            <w:tcW w:w="3660" w:type="dxa"/>
            <w:vAlign w:val="bottom"/>
            <w:gridSpan w:val="8"/>
            <w:shd w:val="clear" w:color="auto" w:fill="DBDBDB"/>
          </w:tcPr>
          <w:p>
            <w:pPr>
              <w:spacing w:after="0" w:line="155" w:lineRule="exact"/>
              <w:rPr>
                <w:rFonts w:ascii="Arial" w:cs="Arial" w:eastAsia="Arial" w:hAnsi="Arial"/>
                <w:sz w:val="16"/>
                <w:szCs w:val="16"/>
                <w:color w:val="0000FF"/>
              </w:rPr>
            </w:pPr>
            <w:hyperlink r:id="rId254">
              <w:r>
                <w:rPr>
                  <w:rFonts w:ascii="Arial" w:cs="Arial" w:eastAsia="Arial" w:hAnsi="Arial"/>
                  <w:sz w:val="16"/>
                  <w:szCs w:val="16"/>
                  <w:color w:val="0000FF"/>
                </w:rPr>
                <w:t>Class A Warrant Agreement, dated as of February</w:t>
              </w:r>
            </w:hyperlink>
          </w:p>
        </w:tc>
        <w:tc>
          <w:tcPr>
            <w:tcW w:w="1120" w:type="dxa"/>
            <w:vAlign w:val="bottom"/>
            <w:shd w:val="clear" w:color="auto" w:fill="DBDBDB"/>
          </w:tcPr>
          <w:p>
            <w:pPr>
              <w:ind w:left="520"/>
              <w:spacing w:after="0" w:line="155" w:lineRule="exact"/>
              <w:rPr>
                <w:sz w:val="20"/>
                <w:szCs w:val="20"/>
                <w:color w:val="auto"/>
              </w:rPr>
            </w:pPr>
            <w:r>
              <w:rPr>
                <w:rFonts w:ascii="Arial" w:cs="Arial" w:eastAsia="Arial" w:hAnsi="Arial"/>
                <w:sz w:val="16"/>
                <w:szCs w:val="16"/>
                <w:color w:val="auto"/>
              </w:rPr>
              <w:t>8-K</w:t>
            </w:r>
          </w:p>
        </w:tc>
        <w:tc>
          <w:tcPr>
            <w:tcW w:w="1480" w:type="dxa"/>
            <w:vAlign w:val="bottom"/>
            <w:shd w:val="clear" w:color="auto" w:fill="DBDBDB"/>
          </w:tcPr>
          <w:p>
            <w:pPr>
              <w:jc w:val="right"/>
              <w:ind w:right="259"/>
              <w:spacing w:after="0" w:line="155" w:lineRule="exact"/>
              <w:rPr>
                <w:sz w:val="20"/>
                <w:szCs w:val="20"/>
                <w:color w:val="auto"/>
              </w:rPr>
            </w:pPr>
            <w:r>
              <w:rPr>
                <w:rFonts w:ascii="Arial" w:cs="Arial" w:eastAsia="Arial" w:hAnsi="Arial"/>
                <w:sz w:val="16"/>
                <w:szCs w:val="16"/>
                <w:color w:val="auto"/>
              </w:rPr>
              <w:t>001-13726</w:t>
            </w:r>
          </w:p>
        </w:tc>
        <w:tc>
          <w:tcPr>
            <w:tcW w:w="1080" w:type="dxa"/>
            <w:vAlign w:val="bottom"/>
            <w:shd w:val="clear" w:color="auto" w:fill="DBDBDB"/>
          </w:tcPr>
          <w:p>
            <w:pPr>
              <w:jc w:val="right"/>
              <w:ind w:right="319"/>
              <w:spacing w:after="0" w:line="155" w:lineRule="exact"/>
              <w:rPr>
                <w:sz w:val="20"/>
                <w:szCs w:val="20"/>
                <w:color w:val="auto"/>
              </w:rPr>
            </w:pPr>
            <w:r>
              <w:rPr>
                <w:rFonts w:ascii="Arial" w:cs="Arial" w:eastAsia="Arial" w:hAnsi="Arial"/>
                <w:sz w:val="16"/>
                <w:szCs w:val="16"/>
                <w:color w:val="auto"/>
              </w:rPr>
              <w:t>10.3</w:t>
            </w:r>
          </w:p>
        </w:tc>
        <w:tc>
          <w:tcPr>
            <w:tcW w:w="2660" w:type="dxa"/>
            <w:vAlign w:val="bottom"/>
            <w:shd w:val="clear" w:color="auto" w:fill="DBDBDB"/>
          </w:tcPr>
          <w:p>
            <w:pPr>
              <w:jc w:val="right"/>
              <w:ind w:right="1539"/>
              <w:spacing w:after="0" w:line="155" w:lineRule="exact"/>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80" w:type="dxa"/>
            <w:vAlign w:val="bottom"/>
            <w:tcBorders>
              <w:top w:val="single" w:sz="8" w:color="0000FF"/>
              <w:bottom w:val="single" w:sz="8" w:color="0000FF"/>
            </w:tcBorders>
            <w:gridSpan w:val="5"/>
            <w:shd w:val="clear" w:color="auto" w:fill="DBDBDB"/>
          </w:tcPr>
          <w:p>
            <w:pPr>
              <w:spacing w:after="0" w:line="142" w:lineRule="exact"/>
              <w:rPr>
                <w:rFonts w:ascii="Arial" w:cs="Arial" w:eastAsia="Arial" w:hAnsi="Arial"/>
                <w:sz w:val="16"/>
                <w:szCs w:val="16"/>
                <w:color w:val="0000FF"/>
                <w:w w:val="98"/>
              </w:rPr>
            </w:pPr>
            <w:hyperlink r:id="rId254">
              <w:r>
                <w:rPr>
                  <w:rFonts w:ascii="Arial" w:cs="Arial" w:eastAsia="Arial" w:hAnsi="Arial"/>
                  <w:sz w:val="16"/>
                  <w:szCs w:val="16"/>
                  <w:color w:val="0000FF"/>
                  <w:w w:val="98"/>
                </w:rPr>
                <w:t>9, 2021, between Chesapeake Energy Corporation</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60" w:type="dxa"/>
            <w:vAlign w:val="bottom"/>
            <w:tcBorders>
              <w:top w:val="single" w:sz="8" w:color="DBDBDB"/>
              <w:bottom w:val="single" w:sz="8" w:color="0000FF"/>
            </w:tcBorders>
            <w:gridSpan w:val="2"/>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1480" w:type="dxa"/>
            <w:vAlign w:val="bottom"/>
            <w:tcBorders>
              <w:top w:val="single" w:sz="8" w:color="DBDBDB"/>
              <w:bottom w:val="single" w:sz="8" w:color="DBDBDB"/>
            </w:tcBorders>
            <w:shd w:val="clear" w:color="auto" w:fill="DBDBDB"/>
          </w:tcPr>
          <w:p>
            <w:pPr>
              <w:spacing w:after="0"/>
              <w:rPr>
                <w:sz w:val="12"/>
                <w:szCs w:val="12"/>
                <w:color w:val="auto"/>
              </w:rPr>
            </w:pPr>
          </w:p>
        </w:tc>
        <w:tc>
          <w:tcPr>
            <w:tcW w:w="1080" w:type="dxa"/>
            <w:vAlign w:val="bottom"/>
            <w:tcBorders>
              <w:top w:val="single" w:sz="8" w:color="DBDBDB"/>
              <w:bottom w:val="single" w:sz="8" w:color="DBDBDB"/>
            </w:tcBorders>
            <w:shd w:val="clear" w:color="auto" w:fill="DBDBDB"/>
          </w:tcPr>
          <w:p>
            <w:pPr>
              <w:spacing w:after="0"/>
              <w:rPr>
                <w:sz w:val="12"/>
                <w:szCs w:val="12"/>
                <w:color w:val="auto"/>
              </w:rPr>
            </w:pPr>
          </w:p>
        </w:tc>
        <w:tc>
          <w:tcPr>
            <w:tcW w:w="266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660" w:type="dxa"/>
            <w:vAlign w:val="bottom"/>
            <w:gridSpan w:val="8"/>
            <w:shd w:val="clear" w:color="auto" w:fill="DBDBDB"/>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and Equiniti Trust Company.</w:t>
              </w:r>
            </w:hyperlink>
          </w:p>
        </w:tc>
        <w:tc>
          <w:tcPr>
            <w:tcW w:w="112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266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540" w:type="dxa"/>
            <w:vAlign w:val="bottom"/>
            <w:tcBorders>
              <w:top w:val="single" w:sz="8" w:color="0000FF"/>
            </w:tcBorders>
          </w:tcPr>
          <w:p>
            <w:pPr>
              <w:spacing w:after="0"/>
              <w:rPr>
                <w:sz w:val="8"/>
                <w:szCs w:val="8"/>
                <w:color w:val="auto"/>
              </w:rPr>
            </w:pPr>
          </w:p>
        </w:tc>
        <w:tc>
          <w:tcPr>
            <w:tcW w:w="1480" w:type="dxa"/>
            <w:vAlign w:val="bottom"/>
            <w:tcBorders>
              <w:top w:val="single" w:sz="8" w:color="0000FF"/>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80" w:type="dxa"/>
            <w:vAlign w:val="bottom"/>
            <w:tcBorders>
              <w:top w:val="single" w:sz="8" w:color="DBDBDB"/>
            </w:tcBorders>
          </w:tcPr>
          <w:p>
            <w:pPr>
              <w:spacing w:after="0"/>
              <w:rPr>
                <w:sz w:val="8"/>
                <w:szCs w:val="8"/>
                <w:color w:val="auto"/>
              </w:rPr>
            </w:pPr>
          </w:p>
        </w:tc>
        <w:tc>
          <w:tcPr>
            <w:tcW w:w="1080" w:type="dxa"/>
            <w:vAlign w:val="bottom"/>
            <w:tcBorders>
              <w:top w:val="single" w:sz="8" w:color="DBDBDB"/>
            </w:tcBorders>
          </w:tcPr>
          <w:p>
            <w:pPr>
              <w:spacing w:after="0"/>
              <w:rPr>
                <w:sz w:val="8"/>
                <w:szCs w:val="8"/>
                <w:color w:val="auto"/>
              </w:rPr>
            </w:pPr>
          </w:p>
        </w:tc>
        <w:tc>
          <w:tcPr>
            <w:tcW w:w="266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jc w:val="right"/>
              <w:ind w:right="739"/>
              <w:spacing w:after="0" w:line="175" w:lineRule="exact"/>
              <w:rPr>
                <w:sz w:val="20"/>
                <w:szCs w:val="20"/>
                <w:color w:val="auto"/>
              </w:rPr>
            </w:pPr>
            <w:r>
              <w:rPr>
                <w:rFonts w:ascii="Arial" w:cs="Arial" w:eastAsia="Arial" w:hAnsi="Arial"/>
                <w:sz w:val="16"/>
                <w:szCs w:val="16"/>
                <w:color w:val="auto"/>
                <w:w w:val="96"/>
              </w:rPr>
              <w:t>10.5</w:t>
            </w:r>
          </w:p>
        </w:tc>
        <w:tc>
          <w:tcPr>
            <w:tcW w:w="3580" w:type="dxa"/>
            <w:vAlign w:val="bottom"/>
            <w:tcBorders>
              <w:bottom w:val="single" w:sz="8" w:color="0000FF"/>
            </w:tcBorders>
            <w:gridSpan w:val="5"/>
            <w:shd w:val="clear" w:color="auto" w:fill="DBDBDB"/>
          </w:tcPr>
          <w:p>
            <w:pPr>
              <w:spacing w:after="0" w:line="155" w:lineRule="exact"/>
              <w:rPr>
                <w:rFonts w:ascii="Arial" w:cs="Arial" w:eastAsia="Arial" w:hAnsi="Arial"/>
                <w:sz w:val="16"/>
                <w:szCs w:val="16"/>
                <w:color w:val="0000FF"/>
              </w:rPr>
            </w:pPr>
            <w:hyperlink r:id="rId255">
              <w:r>
                <w:rPr>
                  <w:rFonts w:ascii="Arial" w:cs="Arial" w:eastAsia="Arial" w:hAnsi="Arial"/>
                  <w:sz w:val="16"/>
                  <w:szCs w:val="16"/>
                  <w:color w:val="0000FF"/>
                </w:rPr>
                <w:t>Class B Warrant Agreement, dated as of February</w:t>
              </w:r>
            </w:hyperlink>
          </w:p>
        </w:tc>
        <w:tc>
          <w:tcPr>
            <w:tcW w:w="20" w:type="dxa"/>
            <w:vAlign w:val="bottom"/>
            <w:tcBorders>
              <w:bottom w:val="single" w:sz="8" w:color="DBDBDB"/>
            </w:tcBorders>
            <w:shd w:val="clear" w:color="auto" w:fill="DBDBDB"/>
          </w:tcPr>
          <w:p>
            <w:pPr>
              <w:spacing w:after="0"/>
              <w:rPr>
                <w:sz w:val="15"/>
                <w:szCs w:val="15"/>
                <w:color w:val="auto"/>
              </w:rPr>
            </w:pPr>
          </w:p>
        </w:tc>
        <w:tc>
          <w:tcPr>
            <w:tcW w:w="60" w:type="dxa"/>
            <w:vAlign w:val="bottom"/>
            <w:tcBorders>
              <w:bottom w:val="single" w:sz="8" w:color="DBDBDB"/>
            </w:tcBorders>
            <w:gridSpan w:val="2"/>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ind w:left="520"/>
              <w:spacing w:after="0" w:line="175" w:lineRule="exact"/>
              <w:rPr>
                <w:sz w:val="20"/>
                <w:szCs w:val="20"/>
                <w:color w:val="auto"/>
              </w:rPr>
            </w:pPr>
            <w:r>
              <w:rPr>
                <w:rFonts w:ascii="Arial" w:cs="Arial" w:eastAsia="Arial" w:hAnsi="Arial"/>
                <w:sz w:val="16"/>
                <w:szCs w:val="16"/>
                <w:color w:val="auto"/>
              </w:rPr>
              <w:t>8-K</w:t>
            </w:r>
          </w:p>
        </w:tc>
        <w:tc>
          <w:tcPr>
            <w:tcW w:w="1480" w:type="dxa"/>
            <w:vAlign w:val="bottom"/>
            <w:tcBorders>
              <w:bottom w:val="single" w:sz="8" w:color="DBDBDB"/>
            </w:tcBorders>
            <w:shd w:val="clear" w:color="auto" w:fill="DBDBDB"/>
          </w:tcPr>
          <w:p>
            <w:pPr>
              <w:jc w:val="right"/>
              <w:ind w:right="259"/>
              <w:spacing w:after="0" w:line="175" w:lineRule="exact"/>
              <w:rPr>
                <w:sz w:val="20"/>
                <w:szCs w:val="20"/>
                <w:color w:val="auto"/>
              </w:rPr>
            </w:pPr>
            <w:r>
              <w:rPr>
                <w:rFonts w:ascii="Arial" w:cs="Arial" w:eastAsia="Arial" w:hAnsi="Arial"/>
                <w:sz w:val="16"/>
                <w:szCs w:val="16"/>
                <w:color w:val="auto"/>
              </w:rPr>
              <w:t>001-13726</w:t>
            </w:r>
          </w:p>
        </w:tc>
        <w:tc>
          <w:tcPr>
            <w:tcW w:w="1080" w:type="dxa"/>
            <w:vAlign w:val="bottom"/>
            <w:tcBorders>
              <w:bottom w:val="single" w:sz="8" w:color="DBDBDB"/>
            </w:tcBorders>
            <w:shd w:val="clear" w:color="auto" w:fill="DBDBDB"/>
          </w:tcPr>
          <w:p>
            <w:pPr>
              <w:jc w:val="right"/>
              <w:ind w:right="319"/>
              <w:spacing w:after="0" w:line="175" w:lineRule="exact"/>
              <w:rPr>
                <w:sz w:val="20"/>
                <w:szCs w:val="20"/>
                <w:color w:val="auto"/>
              </w:rPr>
            </w:pPr>
            <w:r>
              <w:rPr>
                <w:rFonts w:ascii="Arial" w:cs="Arial" w:eastAsia="Arial" w:hAnsi="Arial"/>
                <w:sz w:val="16"/>
                <w:szCs w:val="16"/>
                <w:color w:val="auto"/>
              </w:rPr>
              <w:t>10.4</w:t>
            </w:r>
          </w:p>
        </w:tc>
        <w:tc>
          <w:tcPr>
            <w:tcW w:w="2660" w:type="dxa"/>
            <w:vAlign w:val="bottom"/>
            <w:tcBorders>
              <w:bottom w:val="single" w:sz="8" w:color="DBDBDB"/>
            </w:tcBorders>
            <w:shd w:val="clear" w:color="auto" w:fill="DBDBDB"/>
          </w:tcPr>
          <w:p>
            <w:pPr>
              <w:jc w:val="right"/>
              <w:ind w:right="1539"/>
              <w:spacing w:after="0" w:line="175" w:lineRule="exact"/>
              <w:rPr>
                <w:sz w:val="20"/>
                <w:szCs w:val="20"/>
                <w:color w:val="auto"/>
              </w:rPr>
            </w:pPr>
            <w:r>
              <w:rPr>
                <w:rFonts w:ascii="Arial" w:cs="Arial" w:eastAsia="Arial" w:hAnsi="Arial"/>
                <w:sz w:val="16"/>
                <w:szCs w:val="16"/>
                <w:color w:val="auto"/>
              </w:rPr>
              <w:t>2/9/2021</w:t>
            </w:r>
          </w:p>
        </w:tc>
      </w:tr>
      <w:tr>
        <w:trPr>
          <w:trHeight w:val="142"/>
        </w:trPr>
        <w:tc>
          <w:tcPr>
            <w:tcW w:w="1140" w:type="dxa"/>
            <w:vAlign w:val="bottom"/>
            <w:tcBorders>
              <w:bottom w:val="single" w:sz="8" w:color="DBDBDB"/>
            </w:tcBorders>
            <w:shd w:val="clear" w:color="auto" w:fill="DBDBDB"/>
          </w:tcPr>
          <w:p>
            <w:pPr>
              <w:spacing w:after="0"/>
              <w:rPr>
                <w:sz w:val="12"/>
                <w:szCs w:val="12"/>
                <w:color w:val="auto"/>
              </w:rPr>
            </w:pPr>
          </w:p>
        </w:tc>
        <w:tc>
          <w:tcPr>
            <w:tcW w:w="3580" w:type="dxa"/>
            <w:vAlign w:val="bottom"/>
            <w:tcBorders>
              <w:bottom w:val="single" w:sz="8" w:color="0000FF"/>
            </w:tcBorders>
            <w:gridSpan w:val="5"/>
            <w:shd w:val="clear" w:color="auto" w:fill="DBDBDB"/>
          </w:tcPr>
          <w:p>
            <w:pPr>
              <w:spacing w:after="0" w:line="142" w:lineRule="exact"/>
              <w:rPr>
                <w:rFonts w:ascii="Arial" w:cs="Arial" w:eastAsia="Arial" w:hAnsi="Arial"/>
                <w:sz w:val="16"/>
                <w:szCs w:val="16"/>
                <w:color w:val="0000FF"/>
                <w:w w:val="98"/>
              </w:rPr>
            </w:pPr>
            <w:hyperlink r:id="rId255">
              <w:r>
                <w:rPr>
                  <w:rFonts w:ascii="Arial" w:cs="Arial" w:eastAsia="Arial" w:hAnsi="Arial"/>
                  <w:sz w:val="16"/>
                  <w:szCs w:val="16"/>
                  <w:color w:val="0000FF"/>
                  <w:w w:val="98"/>
                </w:rPr>
                <w:t>9, 2021, between Chesapeake Energy Corporation</w:t>
              </w:r>
            </w:hyperlink>
          </w:p>
        </w:tc>
        <w:tc>
          <w:tcPr>
            <w:tcW w:w="20" w:type="dxa"/>
            <w:vAlign w:val="bottom"/>
            <w:tcBorders>
              <w:bottom w:val="single" w:sz="8" w:color="0000FF"/>
            </w:tcBorders>
            <w:shd w:val="clear" w:color="auto" w:fill="DBDBDB"/>
          </w:tcPr>
          <w:p>
            <w:pPr>
              <w:spacing w:after="0"/>
              <w:rPr>
                <w:sz w:val="12"/>
                <w:szCs w:val="12"/>
                <w:color w:val="auto"/>
              </w:rPr>
            </w:pPr>
          </w:p>
        </w:tc>
        <w:tc>
          <w:tcPr>
            <w:tcW w:w="60" w:type="dxa"/>
            <w:vAlign w:val="bottom"/>
            <w:tcBorders>
              <w:bottom w:val="single" w:sz="8" w:color="0000FF"/>
            </w:tcBorders>
            <w:gridSpan w:val="2"/>
            <w:shd w:val="clear" w:color="auto" w:fill="DBDBDB"/>
          </w:tcPr>
          <w:p>
            <w:pPr>
              <w:spacing w:after="0"/>
              <w:rPr>
                <w:sz w:val="12"/>
                <w:szCs w:val="12"/>
                <w:color w:val="auto"/>
              </w:rPr>
            </w:pPr>
          </w:p>
        </w:tc>
        <w:tc>
          <w:tcPr>
            <w:tcW w:w="1120" w:type="dxa"/>
            <w:vAlign w:val="bottom"/>
            <w:tcBorders>
              <w:bottom w:val="single" w:sz="8" w:color="DBDBDB"/>
            </w:tcBorders>
            <w:shd w:val="clear" w:color="auto" w:fill="DBDBDB"/>
          </w:tcPr>
          <w:p>
            <w:pPr>
              <w:spacing w:after="0"/>
              <w:rPr>
                <w:sz w:val="12"/>
                <w:szCs w:val="12"/>
                <w:color w:val="auto"/>
              </w:rPr>
            </w:pPr>
          </w:p>
        </w:tc>
        <w:tc>
          <w:tcPr>
            <w:tcW w:w="148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spacing w:after="0"/>
              <w:rPr>
                <w:sz w:val="12"/>
                <w:szCs w:val="12"/>
                <w:color w:val="auto"/>
              </w:rPr>
            </w:pPr>
          </w:p>
        </w:tc>
        <w:tc>
          <w:tcPr>
            <w:tcW w:w="2660" w:type="dxa"/>
            <w:vAlign w:val="bottom"/>
            <w:tcBorders>
              <w:bottom w:val="single" w:sz="8" w:color="DBDBDB"/>
            </w:tcBorders>
            <w:shd w:val="clear" w:color="auto" w:fill="DBDBDB"/>
          </w:tcPr>
          <w:p>
            <w:pPr>
              <w:spacing w:after="0"/>
              <w:rPr>
                <w:sz w:val="12"/>
                <w:szCs w:val="12"/>
                <w:color w:val="auto"/>
              </w:rPr>
            </w:pPr>
          </w:p>
        </w:tc>
      </w:tr>
      <w:tr>
        <w:trPr>
          <w:trHeight w:val="163"/>
        </w:trPr>
        <w:tc>
          <w:tcPr>
            <w:tcW w:w="1140" w:type="dxa"/>
            <w:vAlign w:val="bottom"/>
            <w:tcBorders>
              <w:bottom w:val="single" w:sz="8" w:color="DBDBDB"/>
            </w:tcBorders>
            <w:shd w:val="clear" w:color="auto" w:fill="DBDBDB"/>
          </w:tcPr>
          <w:p>
            <w:pPr>
              <w:spacing w:after="0"/>
              <w:rPr>
                <w:sz w:val="14"/>
                <w:szCs w:val="14"/>
                <w:color w:val="auto"/>
              </w:rPr>
            </w:pPr>
          </w:p>
        </w:tc>
        <w:tc>
          <w:tcPr>
            <w:tcW w:w="2020" w:type="dxa"/>
            <w:vAlign w:val="bottom"/>
            <w:tcBorders>
              <w:bottom w:val="single" w:sz="8" w:color="0000FF"/>
            </w:tcBorders>
            <w:gridSpan w:val="2"/>
            <w:shd w:val="clear" w:color="auto" w:fill="DBDBDB"/>
          </w:tcPr>
          <w:p>
            <w:pPr>
              <w:spacing w:after="0" w:line="142" w:lineRule="exact"/>
              <w:rPr>
                <w:rFonts w:ascii="Arial" w:cs="Arial" w:eastAsia="Arial" w:hAnsi="Arial"/>
                <w:sz w:val="16"/>
                <w:szCs w:val="16"/>
                <w:color w:val="0000FF"/>
                <w:w w:val="99"/>
              </w:rPr>
            </w:pPr>
            <w:hyperlink r:id="rId255">
              <w:r>
                <w:rPr>
                  <w:rFonts w:ascii="Arial" w:cs="Arial" w:eastAsia="Arial" w:hAnsi="Arial"/>
                  <w:sz w:val="16"/>
                  <w:szCs w:val="16"/>
                  <w:color w:val="0000FF"/>
                  <w:w w:val="99"/>
                </w:rPr>
                <w:t>and Equiniti Trust Company.</w:t>
              </w:r>
            </w:hyperlink>
          </w:p>
        </w:tc>
        <w:tc>
          <w:tcPr>
            <w:tcW w:w="1640" w:type="dxa"/>
            <w:vAlign w:val="bottom"/>
            <w:tcBorders>
              <w:bottom w:val="single" w:sz="8" w:color="DBDBDB"/>
            </w:tcBorders>
            <w:gridSpan w:val="6"/>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148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2660" w:type="dxa"/>
            <w:vAlign w:val="bottom"/>
            <w:tcBorders>
              <w:bottom w:val="single" w:sz="8" w:color="DBDBDB"/>
            </w:tcBorders>
            <w:shd w:val="clear" w:color="auto" w:fill="DBDBDB"/>
          </w:tcPr>
          <w:p>
            <w:pPr>
              <w:spacing w:after="0"/>
              <w:rPr>
                <w:sz w:val="14"/>
                <w:szCs w:val="14"/>
                <w:color w:val="auto"/>
              </w:rPr>
            </w:pPr>
          </w:p>
        </w:tc>
      </w:tr>
      <w:tr>
        <w:trPr>
          <w:trHeight w:val="270"/>
        </w:trPr>
        <w:tc>
          <w:tcPr>
            <w:tcW w:w="1140" w:type="dxa"/>
            <w:vAlign w:val="bottom"/>
          </w:tcPr>
          <w:p>
            <w:pPr>
              <w:jc w:val="right"/>
              <w:ind w:right="739"/>
              <w:spacing w:after="0"/>
              <w:rPr>
                <w:sz w:val="20"/>
                <w:szCs w:val="20"/>
                <w:color w:val="auto"/>
              </w:rPr>
            </w:pPr>
            <w:r>
              <w:rPr>
                <w:rFonts w:ascii="Arial" w:cs="Arial" w:eastAsia="Arial" w:hAnsi="Arial"/>
                <w:sz w:val="16"/>
                <w:szCs w:val="16"/>
                <w:color w:val="auto"/>
                <w:w w:val="96"/>
              </w:rPr>
              <w:t>10.6</w:t>
            </w:r>
          </w:p>
        </w:tc>
        <w:tc>
          <w:tcPr>
            <w:tcW w:w="3600" w:type="dxa"/>
            <w:vAlign w:val="bottom"/>
            <w:tcBorders>
              <w:bottom w:val="single" w:sz="8" w:color="0000FF"/>
            </w:tcBorders>
            <w:gridSpan w:val="6"/>
          </w:tcPr>
          <w:p>
            <w:pPr>
              <w:spacing w:after="0"/>
              <w:rPr>
                <w:rFonts w:ascii="Arial" w:cs="Arial" w:eastAsia="Arial" w:hAnsi="Arial"/>
                <w:sz w:val="16"/>
                <w:szCs w:val="16"/>
                <w:color w:val="0000FF"/>
              </w:rPr>
            </w:pPr>
            <w:hyperlink r:id="rId256">
              <w:r>
                <w:rPr>
                  <w:rFonts w:ascii="Arial" w:cs="Arial" w:eastAsia="Arial" w:hAnsi="Arial"/>
                  <w:sz w:val="16"/>
                  <w:szCs w:val="16"/>
                  <w:color w:val="0000FF"/>
                </w:rPr>
                <w:t>Class C Warrant Agreement, dated as of February</w:t>
              </w:r>
            </w:hyperlink>
          </w:p>
        </w:tc>
        <w:tc>
          <w:tcPr>
            <w:tcW w:w="60" w:type="dxa"/>
            <w:vAlign w:val="bottom"/>
            <w:gridSpan w:val="2"/>
          </w:tcPr>
          <w:p>
            <w:pPr>
              <w:spacing w:after="0"/>
              <w:rPr>
                <w:sz w:val="23"/>
                <w:szCs w:val="23"/>
                <w:color w:val="auto"/>
              </w:rPr>
            </w:pPr>
          </w:p>
        </w:tc>
        <w:tc>
          <w:tcPr>
            <w:tcW w:w="1120" w:type="dxa"/>
            <w:vAlign w:val="bottom"/>
          </w:tcPr>
          <w:p>
            <w:pPr>
              <w:ind w:left="520"/>
              <w:spacing w:after="0"/>
              <w:rPr>
                <w:sz w:val="20"/>
                <w:szCs w:val="20"/>
                <w:color w:val="auto"/>
              </w:rPr>
            </w:pPr>
            <w:r>
              <w:rPr>
                <w:rFonts w:ascii="Arial" w:cs="Arial" w:eastAsia="Arial" w:hAnsi="Arial"/>
                <w:sz w:val="16"/>
                <w:szCs w:val="16"/>
                <w:color w:val="auto"/>
              </w:rPr>
              <w:t>8-K</w:t>
            </w:r>
          </w:p>
        </w:tc>
        <w:tc>
          <w:tcPr>
            <w:tcW w:w="1480" w:type="dxa"/>
            <w:vAlign w:val="bottom"/>
          </w:tcPr>
          <w:p>
            <w:pPr>
              <w:jc w:val="right"/>
              <w:ind w:right="259"/>
              <w:spacing w:after="0"/>
              <w:rPr>
                <w:sz w:val="20"/>
                <w:szCs w:val="20"/>
                <w:color w:val="auto"/>
              </w:rPr>
            </w:pPr>
            <w:r>
              <w:rPr>
                <w:rFonts w:ascii="Arial" w:cs="Arial" w:eastAsia="Arial" w:hAnsi="Arial"/>
                <w:sz w:val="16"/>
                <w:szCs w:val="16"/>
                <w:color w:val="auto"/>
              </w:rPr>
              <w:t>001-13726</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10.5</w:t>
            </w:r>
          </w:p>
        </w:tc>
        <w:tc>
          <w:tcPr>
            <w:tcW w:w="2660" w:type="dxa"/>
            <w:vAlign w:val="bottom"/>
          </w:tcPr>
          <w:p>
            <w:pPr>
              <w:jc w:val="right"/>
              <w:ind w:right="1539"/>
              <w:spacing w:after="0"/>
              <w:rPr>
                <w:sz w:val="20"/>
                <w:szCs w:val="20"/>
                <w:color w:val="auto"/>
              </w:rPr>
            </w:pPr>
            <w:r>
              <w:rPr>
                <w:rFonts w:ascii="Arial" w:cs="Arial" w:eastAsia="Arial" w:hAnsi="Arial"/>
                <w:sz w:val="16"/>
                <w:szCs w:val="16"/>
                <w:color w:val="auto"/>
              </w:rPr>
              <w:t>2/9/2021</w:t>
            </w:r>
          </w:p>
        </w:tc>
      </w:tr>
      <w:tr>
        <w:trPr>
          <w:trHeight w:val="144"/>
        </w:trPr>
        <w:tc>
          <w:tcPr>
            <w:tcW w:w="1140" w:type="dxa"/>
            <w:vAlign w:val="bottom"/>
          </w:tcPr>
          <w:p>
            <w:pPr>
              <w:spacing w:after="0"/>
              <w:rPr>
                <w:sz w:val="12"/>
                <w:szCs w:val="12"/>
                <w:color w:val="auto"/>
              </w:rPr>
            </w:pPr>
          </w:p>
        </w:tc>
        <w:tc>
          <w:tcPr>
            <w:tcW w:w="3600" w:type="dxa"/>
            <w:vAlign w:val="bottom"/>
            <w:gridSpan w:val="6"/>
          </w:tcPr>
          <w:p>
            <w:pPr>
              <w:spacing w:after="0" w:line="144" w:lineRule="exact"/>
              <w:rPr>
                <w:rFonts w:ascii="Arial" w:cs="Arial" w:eastAsia="Arial" w:hAnsi="Arial"/>
                <w:sz w:val="16"/>
                <w:szCs w:val="16"/>
                <w:u w:val="single" w:color="auto"/>
                <w:color w:val="0000FF"/>
                <w:w w:val="99"/>
              </w:rPr>
            </w:pPr>
            <w:hyperlink r:id="rId256">
              <w:r>
                <w:rPr>
                  <w:rFonts w:ascii="Arial" w:cs="Arial" w:eastAsia="Arial" w:hAnsi="Arial"/>
                  <w:sz w:val="16"/>
                  <w:szCs w:val="16"/>
                  <w:u w:val="single" w:color="auto"/>
                  <w:color w:val="0000FF"/>
                  <w:w w:val="99"/>
                </w:rPr>
                <w:t>9, 2021, between Chesapeake Energy Corporation</w:t>
              </w:r>
            </w:hyperlink>
          </w:p>
        </w:tc>
        <w:tc>
          <w:tcPr>
            <w:tcW w:w="60" w:type="dxa"/>
            <w:vAlign w:val="bottom"/>
            <w:gridSpan w:val="2"/>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-214630</wp:posOffset>
            </wp:positionV>
            <wp:extent cx="7071995"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7071995" cy="342900"/>
                    </a:xfrm>
                    <a:prstGeom prst="rect">
                      <a:avLst/>
                    </a:prstGeom>
                    <a:noFill/>
                  </pic:spPr>
                </pic:pic>
              </a:graphicData>
            </a:graphic>
          </wp:anchor>
        </w:drawing>
      </w:r>
    </w:p>
    <w:p>
      <w:pPr>
        <w:ind w:left="1200"/>
        <w:spacing w:after="0"/>
        <w:rPr>
          <w:rFonts w:ascii="Arial" w:cs="Arial" w:eastAsia="Arial" w:hAnsi="Arial"/>
          <w:sz w:val="16"/>
          <w:szCs w:val="16"/>
          <w:u w:val="single" w:color="auto"/>
          <w:color w:val="0000FF"/>
        </w:rPr>
      </w:pPr>
      <w:hyperlink r:id="rId256">
        <w:r>
          <w:rPr>
            <w:rFonts w:ascii="Arial" w:cs="Arial" w:eastAsia="Arial" w:hAnsi="Arial"/>
            <w:sz w:val="16"/>
            <w:szCs w:val="16"/>
            <w:u w:val="single" w:color="auto"/>
            <w:color w:val="0000FF"/>
          </w:rPr>
          <w:t>and Equiniti Trust Company.</w:t>
        </w:r>
      </w:hyperlink>
    </w:p>
    <w:p>
      <w:pPr>
        <w:sectPr>
          <w:pgSz w:w="11900" w:h="16838" w:orient="portrait"/>
          <w:cols w:equalWidth="0" w:num="1">
            <w:col w:w="11200"/>
          </w:cols>
          <w:pgMar w:left="320" w:top="121" w:right="379" w:bottom="1440" w:gutter="0" w:footer="0" w:header="0"/>
          <w:type w:val="continuous"/>
        </w:sectPr>
      </w:pP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1120" w:type="dxa"/>
            <w:vAlign w:val="bottom"/>
          </w:tcPr>
          <w:p>
            <w:pPr>
              <w:spacing w:after="0"/>
              <w:rPr>
                <w:sz w:val="20"/>
                <w:szCs w:val="20"/>
                <w:color w:val="auto"/>
              </w:rPr>
            </w:pPr>
            <w:r>
              <w:rPr>
                <w:rFonts w:ascii="Arial" w:cs="Arial" w:eastAsia="Arial" w:hAnsi="Arial"/>
                <w:sz w:val="16"/>
                <w:szCs w:val="16"/>
                <w:color w:val="auto"/>
              </w:rPr>
              <w:t>10.7</w:t>
            </w:r>
          </w:p>
        </w:tc>
        <w:tc>
          <w:tcPr>
            <w:tcW w:w="3700" w:type="dxa"/>
            <w:vAlign w:val="bottom"/>
            <w:gridSpan w:val="4"/>
          </w:tcPr>
          <w:p>
            <w:pPr>
              <w:spacing w:after="0"/>
              <w:rPr>
                <w:sz w:val="20"/>
                <w:szCs w:val="20"/>
                <w:color w:val="auto"/>
              </w:rPr>
            </w:pPr>
            <w:r>
              <w:rPr>
                <w:rFonts w:ascii="Arial" w:cs="Arial" w:eastAsia="Arial" w:hAnsi="Arial"/>
                <w:sz w:val="16"/>
                <w:szCs w:val="16"/>
                <w:color w:val="0000FF"/>
              </w:rPr>
              <w:t>Form of Indemnity Agreement.</w:t>
            </w:r>
          </w:p>
        </w:tc>
        <w:tc>
          <w:tcPr>
            <w:tcW w:w="1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90"/>
        </w:trPr>
        <w:tc>
          <w:tcPr>
            <w:tcW w:w="1120" w:type="dxa"/>
            <w:vAlign w:val="bottom"/>
          </w:tcPr>
          <w:p>
            <w:pPr>
              <w:spacing w:after="0"/>
              <w:rPr>
                <w:sz w:val="20"/>
                <w:szCs w:val="20"/>
                <w:color w:val="auto"/>
              </w:rPr>
            </w:pPr>
            <w:r>
              <w:rPr>
                <w:rFonts w:ascii="Arial" w:cs="Arial" w:eastAsia="Arial" w:hAnsi="Arial"/>
                <w:sz w:val="16"/>
                <w:szCs w:val="16"/>
                <w:color w:val="auto"/>
              </w:rPr>
              <w:t>10.8†</w:t>
            </w:r>
          </w:p>
        </w:tc>
        <w:tc>
          <w:tcPr>
            <w:tcW w:w="3700" w:type="dxa"/>
            <w:vAlign w:val="bottom"/>
            <w:gridSpan w:val="4"/>
          </w:tcPr>
          <w:p>
            <w:pPr>
              <w:spacing w:after="0"/>
              <w:rPr>
                <w:sz w:val="20"/>
                <w:szCs w:val="20"/>
                <w:color w:val="auto"/>
              </w:rPr>
            </w:pPr>
            <w:r>
              <w:rPr>
                <w:rFonts w:ascii="Arial" w:cs="Arial" w:eastAsia="Arial" w:hAnsi="Arial"/>
                <w:sz w:val="16"/>
                <w:szCs w:val="16"/>
                <w:color w:val="0000FF"/>
              </w:rPr>
              <w:t>Expand Energy Corporation 2021 Long Term</w:t>
            </w:r>
          </w:p>
        </w:tc>
        <w:tc>
          <w:tcPr>
            <w:tcW w:w="1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9"/>
              </w:rPr>
              <w:t>Incentive Plan.</w:t>
            </w:r>
          </w:p>
        </w:tc>
        <w:tc>
          <w:tcPr>
            <w:tcW w:w="2140" w:type="dxa"/>
            <w:vAlign w:val="bottom"/>
            <w:tcBorders>
              <w:top w:val="single" w:sz="8" w:color="0000FF"/>
            </w:tcBorders>
            <w:gridSpan w:val="2"/>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92"/>
        </w:trPr>
        <w:tc>
          <w:tcPr>
            <w:tcW w:w="1120" w:type="dxa"/>
            <w:vAlign w:val="bottom"/>
          </w:tcPr>
          <w:p>
            <w:pPr>
              <w:spacing w:after="0"/>
              <w:rPr>
                <w:sz w:val="20"/>
                <w:szCs w:val="20"/>
                <w:color w:val="auto"/>
              </w:rPr>
            </w:pPr>
            <w:r>
              <w:rPr>
                <w:rFonts w:ascii="Arial" w:cs="Arial" w:eastAsia="Arial" w:hAnsi="Arial"/>
                <w:sz w:val="16"/>
                <w:szCs w:val="16"/>
                <w:color w:val="auto"/>
              </w:rPr>
              <w:t>10.9</w:t>
            </w:r>
          </w:p>
        </w:tc>
        <w:tc>
          <w:tcPr>
            <w:tcW w:w="3700" w:type="dxa"/>
            <w:vAlign w:val="bottom"/>
            <w:gridSpan w:val="4"/>
          </w:tcPr>
          <w:p>
            <w:pPr>
              <w:spacing w:after="0"/>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Purchase Agreement, dated as of February 2,</w:t>
              </w:r>
            </w:hyperlink>
          </w:p>
        </w:tc>
        <w:tc>
          <w:tcPr>
            <w:tcW w:w="1100" w:type="dxa"/>
            <w:vAlign w:val="bottom"/>
          </w:tcPr>
          <w:p>
            <w:pPr>
              <w:ind w:left="440"/>
              <w:spacing w:after="0"/>
              <w:rPr>
                <w:sz w:val="20"/>
                <w:szCs w:val="20"/>
                <w:color w:val="auto"/>
              </w:rPr>
            </w:pPr>
            <w:r>
              <w:rPr>
                <w:rFonts w:ascii="Arial" w:cs="Arial" w:eastAsia="Arial" w:hAnsi="Arial"/>
                <w:sz w:val="16"/>
                <w:szCs w:val="16"/>
                <w:color w:val="auto"/>
              </w:rPr>
              <w:t>10-K</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001-13726</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10.10</w:t>
            </w:r>
          </w:p>
        </w:tc>
        <w:tc>
          <w:tcPr>
            <w:tcW w:w="1020" w:type="dxa"/>
            <w:vAlign w:val="bottom"/>
          </w:tcPr>
          <w:p>
            <w:pPr>
              <w:jc w:val="right"/>
              <w:spacing w:after="0"/>
              <w:rPr>
                <w:sz w:val="20"/>
                <w:szCs w:val="20"/>
                <w:color w:val="auto"/>
              </w:rPr>
            </w:pPr>
            <w:r>
              <w:rPr>
                <w:rFonts w:ascii="Arial" w:cs="Arial" w:eastAsia="Arial" w:hAnsi="Arial"/>
                <w:sz w:val="16"/>
                <w:szCs w:val="16"/>
                <w:color w:val="auto"/>
              </w:rPr>
              <w:t>3/1/2021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-626110</wp:posOffset>
            </wp:positionV>
            <wp:extent cx="7071995"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-412115</wp:posOffset>
            </wp:positionV>
            <wp:extent cx="7071995" cy="1054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071995" cy="1054100"/>
                    </a:xfrm>
                    <a:prstGeom prst="rect">
                      <a:avLst/>
                    </a:prstGeom>
                    <a:noFill/>
                  </pic:spPr>
                </pic:pic>
              </a:graphicData>
            </a:graphic>
          </wp:anchor>
        </w:drawing>
      </w:r>
    </w:p>
    <w:p>
      <w:pPr>
        <w:ind w:left="1200"/>
        <w:spacing w:after="0" w:line="211"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2021, by and among Chesapeake Escrow Issuer</w:t>
        </w:r>
      </w:hyperlink>
    </w:p>
    <w:p>
      <w:pPr>
        <w:ind w:left="1200"/>
        <w:spacing w:after="0" w:line="211"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LLC, and Goldman Sachs &amp; Co. LLC, RBC Capital</w:t>
        </w:r>
      </w:hyperlink>
    </w:p>
    <w:p>
      <w:pPr>
        <w:ind w:left="1200"/>
        <w:spacing w:after="0" w:line="211"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Markets, LLC, as representatives of the purchasers</w:t>
        </w:r>
      </w:hyperlink>
    </w:p>
    <w:p>
      <w:pPr>
        <w:ind w:left="1200"/>
        <w:spacing w:after="0" w:line="212"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signatory thereto, with respect to 5.5% Senior</w:t>
        </w:r>
      </w:hyperlink>
    </w:p>
    <w:p>
      <w:pPr>
        <w:ind w:left="1200"/>
        <w:spacing w:after="0" w:line="211" w:lineRule="auto"/>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Notes due 2026 and 5.875% Senior Notes due</w:t>
        </w:r>
      </w:hyperlink>
    </w:p>
    <w:p>
      <w:pPr>
        <w:ind w:left="1200"/>
        <w:spacing w:after="0"/>
        <w:rPr>
          <w:rFonts w:ascii="Arial" w:cs="Arial" w:eastAsia="Arial" w:hAnsi="Arial"/>
          <w:sz w:val="16"/>
          <w:szCs w:val="16"/>
          <w:u w:val="single" w:color="auto"/>
          <w:color w:val="0000FF"/>
        </w:rPr>
      </w:pPr>
      <w:hyperlink r:id="rId258">
        <w:r>
          <w:rPr>
            <w:rFonts w:ascii="Arial" w:cs="Arial" w:eastAsia="Arial" w:hAnsi="Arial"/>
            <w:sz w:val="16"/>
            <w:szCs w:val="16"/>
            <w:u w:val="single" w:color="auto"/>
            <w:color w:val="0000FF"/>
          </w:rPr>
          <w:t>2029.</w:t>
        </w:r>
      </w:hyperlink>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586" w:lineRule="exact"/>
        <w:rPr>
          <w:sz w:val="20"/>
          <w:szCs w:val="20"/>
          <w:color w:val="auto"/>
        </w:rPr>
      </w:pPr>
    </w:p>
    <w:p>
      <w:pPr>
        <w:sectPr>
          <w:pgSz w:w="11900" w:h="16838" w:orient="portrait"/>
          <w:cols w:equalWidth="0" w:num="2">
            <w:col w:w="9840" w:space="720"/>
            <w:col w:w="640"/>
          </w:cols>
          <w:pgMar w:left="320" w:top="121" w:right="37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10.10</w:t>
            </w:r>
          </w:p>
        </w:tc>
        <w:tc>
          <w:tcPr>
            <w:tcW w:w="3700" w:type="dxa"/>
            <w:vAlign w:val="bottom"/>
            <w:gridSpan w:val="16"/>
            <w:shd w:val="clear" w:color="auto" w:fill="DBDBDB"/>
          </w:tcPr>
          <w:p>
            <w:pPr>
              <w:spacing w:after="0"/>
              <w:rPr>
                <w:rFonts w:ascii="Arial" w:cs="Arial" w:eastAsia="Arial" w:hAnsi="Arial"/>
                <w:sz w:val="16"/>
                <w:szCs w:val="16"/>
                <w:color w:val="0000FF"/>
              </w:rPr>
            </w:pPr>
            <w:hyperlink r:id="rId261">
              <w:r>
                <w:rPr>
                  <w:rFonts w:ascii="Arial" w:cs="Arial" w:eastAsia="Arial" w:hAnsi="Arial"/>
                  <w:sz w:val="16"/>
                  <w:szCs w:val="16"/>
                  <w:color w:val="0000FF"/>
                </w:rPr>
                <w:t>Indenture dated as of February 5, 2021, among</w:t>
              </w:r>
            </w:hyperlink>
          </w:p>
        </w:tc>
        <w:tc>
          <w:tcPr>
            <w:tcW w:w="11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001-13726</w:t>
            </w:r>
          </w:p>
        </w:tc>
        <w:tc>
          <w:tcPr>
            <w:tcW w:w="112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10.11</w:t>
            </w:r>
          </w:p>
        </w:tc>
        <w:tc>
          <w:tcPr>
            <w:tcW w:w="2640" w:type="dxa"/>
            <w:vAlign w:val="bottom"/>
            <w:shd w:val="clear" w:color="auto" w:fill="DBDBDB"/>
          </w:tcPr>
          <w:p>
            <w:pPr>
              <w:jc w:val="right"/>
              <w:ind w:right="1539"/>
              <w:spacing w:after="0"/>
              <w:rPr>
                <w:sz w:val="20"/>
                <w:szCs w:val="20"/>
                <w:color w:val="auto"/>
              </w:rPr>
            </w:pPr>
            <w:r>
              <w:rPr>
                <w:rFonts w:ascii="Arial" w:cs="Arial" w:eastAsia="Arial" w:hAnsi="Arial"/>
                <w:sz w:val="16"/>
                <w:szCs w:val="16"/>
                <w:color w:val="auto"/>
              </w:rPr>
              <w:t>3/1/2021</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360" w:type="dxa"/>
            <w:vAlign w:val="bottom"/>
            <w:tcBorders>
              <w:top w:val="single" w:sz="8" w:color="0000FF"/>
              <w:bottom w:val="single" w:sz="8" w:color="0000FF"/>
            </w:tcBorders>
            <w:gridSpan w:val="5"/>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Chesapeake Escrow Issuer LLC, as issuer, the</w:t>
              </w:r>
            </w:hyperlink>
          </w:p>
        </w:tc>
        <w:tc>
          <w:tcPr>
            <w:tcW w:w="40" w:type="dxa"/>
            <w:vAlign w:val="bottom"/>
            <w:tcBorders>
              <w:top w:val="single" w:sz="8" w:color="0000FF"/>
              <w:bottom w:val="single" w:sz="8" w:color="DBDBDB"/>
            </w:tcBorders>
            <w:gridSpan w:val="2"/>
            <w:shd w:val="clear" w:color="auto" w:fill="DBDBDB"/>
          </w:tcPr>
          <w:p>
            <w:pPr>
              <w:spacing w:after="0"/>
              <w:rPr>
                <w:sz w:val="12"/>
                <w:szCs w:val="12"/>
                <w:color w:val="auto"/>
              </w:rPr>
            </w:pPr>
          </w:p>
        </w:tc>
        <w:tc>
          <w:tcPr>
            <w:tcW w:w="100" w:type="dxa"/>
            <w:vAlign w:val="bottom"/>
            <w:tcBorders>
              <w:top w:val="single" w:sz="8" w:color="DBDBDB"/>
              <w:bottom w:val="single" w:sz="8" w:color="DBDBDB"/>
              <w:right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00" w:type="dxa"/>
            <w:vAlign w:val="bottom"/>
            <w:gridSpan w:val="16"/>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guarantors signatory thereto, and Deutsche Bank</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20" w:type="dxa"/>
            <w:vAlign w:val="bottom"/>
            <w:tcBorders>
              <w:top w:val="single" w:sz="8" w:color="0000FF"/>
              <w:bottom w:val="single" w:sz="8" w:color="0000FF"/>
            </w:tcBorders>
            <w:gridSpan w:val="9"/>
            <w:shd w:val="clear" w:color="auto" w:fill="DBDBDB"/>
          </w:tcPr>
          <w:p>
            <w:pPr>
              <w:spacing w:after="0" w:line="142" w:lineRule="exact"/>
              <w:rPr>
                <w:rFonts w:ascii="Arial" w:cs="Arial" w:eastAsia="Arial" w:hAnsi="Arial"/>
                <w:sz w:val="16"/>
                <w:szCs w:val="16"/>
                <w:color w:val="0000FF"/>
                <w:w w:val="97"/>
              </w:rPr>
            </w:pPr>
            <w:hyperlink r:id="rId261">
              <w:r>
                <w:rPr>
                  <w:rFonts w:ascii="Arial" w:cs="Arial" w:eastAsia="Arial" w:hAnsi="Arial"/>
                  <w:sz w:val="16"/>
                  <w:szCs w:val="16"/>
                  <w:color w:val="0000FF"/>
                  <w:w w:val="97"/>
                </w:rPr>
                <w:t>Trust Company Americas, as Trustee, with respect</w:t>
              </w:r>
            </w:hyperlink>
          </w:p>
        </w:tc>
        <w:tc>
          <w:tcPr>
            <w:tcW w:w="4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4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tcBorders>
              <w:bottom w:val="single" w:sz="8" w:color="DBDBDB"/>
            </w:tcBorders>
            <w:shd w:val="clear" w:color="auto" w:fill="DBDBDB"/>
          </w:tcPr>
          <w:p>
            <w:pPr>
              <w:spacing w:after="0"/>
              <w:rPr>
                <w:sz w:val="12"/>
                <w:szCs w:val="12"/>
                <w:color w:val="auto"/>
              </w:rPr>
            </w:pPr>
          </w:p>
        </w:tc>
        <w:tc>
          <w:tcPr>
            <w:tcW w:w="3620" w:type="dxa"/>
            <w:vAlign w:val="bottom"/>
            <w:tcBorders>
              <w:bottom w:val="single" w:sz="8" w:color="0000FF"/>
            </w:tcBorders>
            <w:gridSpan w:val="12"/>
            <w:shd w:val="clear" w:color="auto" w:fill="DBDBDB"/>
          </w:tcPr>
          <w:p>
            <w:pPr>
              <w:spacing w:after="0" w:line="142" w:lineRule="exact"/>
              <w:rPr>
                <w:rFonts w:ascii="Arial" w:cs="Arial" w:eastAsia="Arial" w:hAnsi="Arial"/>
                <w:sz w:val="16"/>
                <w:szCs w:val="16"/>
                <w:color w:val="0000FF"/>
                <w:w w:val="99"/>
              </w:rPr>
            </w:pPr>
            <w:hyperlink r:id="rId261">
              <w:r>
                <w:rPr>
                  <w:rFonts w:ascii="Arial" w:cs="Arial" w:eastAsia="Arial" w:hAnsi="Arial"/>
                  <w:sz w:val="16"/>
                  <w:szCs w:val="16"/>
                  <w:color w:val="0000FF"/>
                  <w:w w:val="99"/>
                </w:rPr>
                <w:t>to 5.5% Senior Notes due 2026 and 5.875% Senior</w:t>
              </w:r>
            </w:hyperlink>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20" w:type="dxa"/>
            <w:vAlign w:val="bottom"/>
            <w:tcBorders>
              <w:bottom w:val="single" w:sz="8" w:color="0000FF"/>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spacing w:after="0"/>
              <w:rPr>
                <w:sz w:val="12"/>
                <w:szCs w:val="12"/>
                <w:color w:val="auto"/>
              </w:rPr>
            </w:pPr>
          </w:p>
        </w:tc>
        <w:tc>
          <w:tcPr>
            <w:tcW w:w="1440" w:type="dxa"/>
            <w:vAlign w:val="bottom"/>
            <w:tcBorders>
              <w:bottom w:val="single" w:sz="8" w:color="DBDBDB"/>
            </w:tcBorders>
            <w:shd w:val="clear" w:color="auto" w:fill="DBDBDB"/>
          </w:tcPr>
          <w:p>
            <w:pPr>
              <w:spacing w:after="0"/>
              <w:rPr>
                <w:sz w:val="12"/>
                <w:szCs w:val="12"/>
                <w:color w:val="auto"/>
              </w:rPr>
            </w:pPr>
          </w:p>
        </w:tc>
        <w:tc>
          <w:tcPr>
            <w:tcW w:w="1120" w:type="dxa"/>
            <w:vAlign w:val="bottom"/>
            <w:tcBorders>
              <w:bottom w:val="single" w:sz="8" w:color="DBDBDB"/>
            </w:tcBorders>
            <w:shd w:val="clear" w:color="auto" w:fill="DBDBDB"/>
          </w:tcPr>
          <w:p>
            <w:pPr>
              <w:spacing w:after="0"/>
              <w:rPr>
                <w:sz w:val="12"/>
                <w:szCs w:val="12"/>
                <w:color w:val="auto"/>
              </w:rPr>
            </w:pPr>
          </w:p>
        </w:tc>
        <w:tc>
          <w:tcPr>
            <w:tcW w:w="2640" w:type="dxa"/>
            <w:vAlign w:val="bottom"/>
            <w:tcBorders>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700" w:type="dxa"/>
            <w:vAlign w:val="bottom"/>
            <w:gridSpan w:val="16"/>
            <w:shd w:val="clear" w:color="auto" w:fill="DBDBDB"/>
          </w:tcPr>
          <w:p>
            <w:pPr>
              <w:spacing w:after="0" w:line="142" w:lineRule="exact"/>
              <w:rPr>
                <w:rFonts w:ascii="Arial" w:cs="Arial" w:eastAsia="Arial" w:hAnsi="Arial"/>
                <w:sz w:val="16"/>
                <w:szCs w:val="16"/>
                <w:color w:val="0000FF"/>
              </w:rPr>
            </w:pPr>
            <w:hyperlink r:id="rId261">
              <w:r>
                <w:rPr>
                  <w:rFonts w:ascii="Arial" w:cs="Arial" w:eastAsia="Arial" w:hAnsi="Arial"/>
                  <w:sz w:val="16"/>
                  <w:szCs w:val="16"/>
                  <w:color w:val="0000FF"/>
                </w:rPr>
                <w:t>Notes due 2029.</w:t>
              </w:r>
            </w:hyperlink>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64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264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10.11</w:t>
            </w:r>
          </w:p>
        </w:tc>
        <w:tc>
          <w:tcPr>
            <w:tcW w:w="3700" w:type="dxa"/>
            <w:vAlign w:val="bottom"/>
            <w:gridSpan w:val="16"/>
            <w:shd w:val="clear" w:color="auto" w:fill="DBDBDB"/>
          </w:tcPr>
          <w:p>
            <w:pPr>
              <w:spacing w:after="0" w:line="175" w:lineRule="exact"/>
              <w:rPr>
                <w:rFonts w:ascii="Arial" w:cs="Arial" w:eastAsia="Arial" w:hAnsi="Arial"/>
                <w:sz w:val="16"/>
                <w:szCs w:val="16"/>
                <w:color w:val="0000FF"/>
              </w:rPr>
            </w:pPr>
            <w:hyperlink r:id="rId262">
              <w:r>
                <w:rPr>
                  <w:rFonts w:ascii="Arial" w:cs="Arial" w:eastAsia="Arial" w:hAnsi="Arial"/>
                  <w:sz w:val="16"/>
                  <w:szCs w:val="16"/>
                  <w:color w:val="0000FF"/>
                </w:rPr>
                <w:t>Joinder Agreement, dated as of February 9, 2021,</w:t>
              </w:r>
            </w:hyperlink>
          </w:p>
        </w:tc>
        <w:tc>
          <w:tcPr>
            <w:tcW w:w="1100" w:type="dxa"/>
            <w:vAlign w:val="bottom"/>
            <w:shd w:val="clear" w:color="auto" w:fill="DBDBDB"/>
          </w:tcPr>
          <w:p>
            <w:pPr>
              <w:ind w:left="44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20" w:type="dxa"/>
            <w:vAlign w:val="bottom"/>
            <w:shd w:val="clear" w:color="auto" w:fill="DBDBDB"/>
          </w:tcPr>
          <w:p>
            <w:pPr>
              <w:jc w:val="right"/>
              <w:ind w:right="299"/>
              <w:spacing w:after="0" w:line="175" w:lineRule="exact"/>
              <w:rPr>
                <w:sz w:val="20"/>
                <w:szCs w:val="20"/>
                <w:color w:val="auto"/>
              </w:rPr>
            </w:pPr>
            <w:r>
              <w:rPr>
                <w:rFonts w:ascii="Arial" w:cs="Arial" w:eastAsia="Arial" w:hAnsi="Arial"/>
                <w:sz w:val="16"/>
                <w:szCs w:val="16"/>
                <w:color w:val="auto"/>
              </w:rPr>
              <w:t>10.12</w:t>
            </w:r>
          </w:p>
        </w:tc>
        <w:tc>
          <w:tcPr>
            <w:tcW w:w="2640" w:type="dxa"/>
            <w:vAlign w:val="bottom"/>
            <w:shd w:val="clear" w:color="auto" w:fill="DBDBDB"/>
          </w:tcPr>
          <w:p>
            <w:pPr>
              <w:jc w:val="right"/>
              <w:ind w:right="1539"/>
              <w:spacing w:after="0" w:line="175" w:lineRule="exact"/>
              <w:rPr>
                <w:sz w:val="20"/>
                <w:szCs w:val="20"/>
                <w:color w:val="auto"/>
              </w:rPr>
            </w:pPr>
            <w:r>
              <w:rPr>
                <w:rFonts w:ascii="Arial" w:cs="Arial" w:eastAsia="Arial" w:hAnsi="Arial"/>
                <w:sz w:val="16"/>
                <w:szCs w:val="16"/>
                <w:color w:val="auto"/>
              </w:rPr>
              <w:t>3/1/2021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11"/>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by and among Chesapeake Energy Corporation</w:t>
              </w:r>
            </w:hyperlink>
          </w:p>
        </w:tc>
        <w:tc>
          <w:tcPr>
            <w:tcW w:w="6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264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DBDBDB"/>
            </w:tcBorders>
            <w:gridSpan w:val="2"/>
            <w:shd w:val="clear" w:color="auto" w:fill="0000FF"/>
          </w:tcPr>
          <w:p>
            <w:pPr>
              <w:spacing w:after="0" w:line="20" w:lineRule="exact"/>
              <w:rPr>
                <w:sz w:val="1"/>
                <w:szCs w:val="1"/>
                <w:color w:val="auto"/>
              </w:rPr>
            </w:pPr>
          </w:p>
        </w:tc>
        <w:tc>
          <w:tcPr>
            <w:tcW w:w="60" w:type="dxa"/>
            <w:vAlign w:val="bottom"/>
            <w:gridSpan w:val="2"/>
            <w:shd w:val="clear" w:color="auto" w:fill="DBDBDB"/>
          </w:tcPr>
          <w:p>
            <w:pPr>
              <w:spacing w:after="0" w:line="20" w:lineRule="exact"/>
              <w:rPr>
                <w:sz w:val="1"/>
                <w:szCs w:val="1"/>
                <w:color w:val="auto"/>
              </w:rPr>
            </w:pPr>
          </w:p>
        </w:tc>
        <w:tc>
          <w:tcPr>
            <w:tcW w:w="8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264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00" w:type="dxa"/>
            <w:vAlign w:val="bottom"/>
            <w:gridSpan w:val="16"/>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and the Guarantors party thereto, with respect to</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00" w:type="dxa"/>
            <w:vAlign w:val="bottom"/>
            <w:tcBorders>
              <w:top w:val="single" w:sz="8" w:color="0000FF"/>
              <w:bottom w:val="single" w:sz="8" w:color="0000FF"/>
              <w:right w:val="single" w:sz="8" w:color="DBDBDB"/>
            </w:tcBorders>
            <w:gridSpan w:val="8"/>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5.</w:t>
              </w:r>
              <w:r>
                <w:rPr>
                  <w:rFonts w:ascii="Arial" w:cs="Arial" w:eastAsia="Arial" w:hAnsi="Arial"/>
                  <w:sz w:val="16"/>
                  <w:szCs w:val="16"/>
                  <w:u w:val="single" w:color="auto"/>
                  <w:color w:val="0000FF"/>
                </w:rPr>
                <w:t>5%</w:t>
              </w:r>
              <w:r>
                <w:rPr>
                  <w:rFonts w:ascii="Arial" w:cs="Arial" w:eastAsia="Arial" w:hAnsi="Arial"/>
                  <w:sz w:val="16"/>
                  <w:szCs w:val="16"/>
                  <w:color w:val="0000FF"/>
                </w:rPr>
                <w:t xml:space="preserve"> Senior Notes due 2026 and 5.875% Senior</w:t>
              </w:r>
            </w:hyperlink>
          </w:p>
        </w:tc>
        <w:tc>
          <w:tcPr>
            <w:tcW w:w="6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8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500" w:type="dxa"/>
            <w:vAlign w:val="bottom"/>
            <w:tcBorders>
              <w:right w:val="single" w:sz="8" w:color="DBDBDB"/>
            </w:tcBorders>
            <w:gridSpan w:val="8"/>
            <w:shd w:val="clear" w:color="auto" w:fill="DBDBDB"/>
          </w:tcPr>
          <w:p>
            <w:pPr>
              <w:spacing w:after="0" w:line="142" w:lineRule="exact"/>
              <w:rPr>
                <w:rFonts w:ascii="Arial" w:cs="Arial" w:eastAsia="Arial" w:hAnsi="Arial"/>
                <w:sz w:val="16"/>
                <w:szCs w:val="16"/>
                <w:color w:val="0000FF"/>
              </w:rPr>
            </w:pPr>
            <w:hyperlink r:id="rId262">
              <w:r>
                <w:rPr>
                  <w:rFonts w:ascii="Arial" w:cs="Arial" w:eastAsia="Arial" w:hAnsi="Arial"/>
                  <w:sz w:val="16"/>
                  <w:szCs w:val="16"/>
                  <w:color w:val="0000FF"/>
                </w:rPr>
                <w:t>Notes due 2029.</w:t>
              </w:r>
            </w:hyperlink>
          </w:p>
        </w:tc>
        <w:tc>
          <w:tcPr>
            <w:tcW w:w="60" w:type="dxa"/>
            <w:vAlign w:val="bottom"/>
            <w:gridSpan w:val="2"/>
            <w:shd w:val="clear" w:color="auto" w:fill="DBDBDB"/>
          </w:tcPr>
          <w:p>
            <w:pPr>
              <w:spacing w:after="0"/>
              <w:rPr>
                <w:sz w:val="14"/>
                <w:szCs w:val="14"/>
                <w:color w:val="auto"/>
              </w:rPr>
            </w:pPr>
          </w:p>
        </w:tc>
        <w:tc>
          <w:tcPr>
            <w:tcW w:w="80" w:type="dxa"/>
            <w:vAlign w:val="bottom"/>
            <w:gridSpan w:val="3"/>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264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74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264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10.12</w:t>
            </w:r>
          </w:p>
        </w:tc>
        <w:tc>
          <w:tcPr>
            <w:tcW w:w="3700" w:type="dxa"/>
            <w:vAlign w:val="bottom"/>
            <w:gridSpan w:val="16"/>
            <w:shd w:val="clear" w:color="auto" w:fill="DBDBDB"/>
          </w:tcPr>
          <w:p>
            <w:pPr>
              <w:spacing w:after="0" w:line="175" w:lineRule="exact"/>
              <w:rPr>
                <w:rFonts w:ascii="Arial" w:cs="Arial" w:eastAsia="Arial" w:hAnsi="Arial"/>
                <w:sz w:val="16"/>
                <w:szCs w:val="16"/>
                <w:color w:val="0000FF"/>
              </w:rPr>
            </w:pPr>
            <w:hyperlink r:id="rId263">
              <w:r>
                <w:rPr>
                  <w:rFonts w:ascii="Arial" w:cs="Arial" w:eastAsia="Arial" w:hAnsi="Arial"/>
                  <w:sz w:val="16"/>
                  <w:szCs w:val="16"/>
                  <w:color w:val="0000FF"/>
                </w:rPr>
                <w:t>First Supplemental Indenture, dated as of February</w:t>
              </w:r>
            </w:hyperlink>
          </w:p>
        </w:tc>
        <w:tc>
          <w:tcPr>
            <w:tcW w:w="1100" w:type="dxa"/>
            <w:vAlign w:val="bottom"/>
            <w:shd w:val="clear" w:color="auto" w:fill="DBDBDB"/>
          </w:tcPr>
          <w:p>
            <w:pPr>
              <w:ind w:left="440"/>
              <w:spacing w:after="0" w:line="175" w:lineRule="exact"/>
              <w:rPr>
                <w:sz w:val="20"/>
                <w:szCs w:val="20"/>
                <w:color w:val="auto"/>
              </w:rPr>
            </w:pPr>
            <w:r>
              <w:rPr>
                <w:rFonts w:ascii="Arial" w:cs="Arial" w:eastAsia="Arial" w:hAnsi="Arial"/>
                <w:sz w:val="16"/>
                <w:szCs w:val="16"/>
                <w:color w:val="auto"/>
              </w:rPr>
              <w:t>10-K</w:t>
            </w:r>
          </w:p>
        </w:tc>
        <w:tc>
          <w:tcPr>
            <w:tcW w:w="1440" w:type="dxa"/>
            <w:vAlign w:val="bottom"/>
            <w:shd w:val="clear" w:color="auto" w:fill="DBDBDB"/>
          </w:tcPr>
          <w:p>
            <w:pPr>
              <w:jc w:val="right"/>
              <w:ind w:right="239"/>
              <w:spacing w:after="0" w:line="175" w:lineRule="exact"/>
              <w:rPr>
                <w:sz w:val="20"/>
                <w:szCs w:val="20"/>
                <w:color w:val="auto"/>
              </w:rPr>
            </w:pPr>
            <w:r>
              <w:rPr>
                <w:rFonts w:ascii="Arial" w:cs="Arial" w:eastAsia="Arial" w:hAnsi="Arial"/>
                <w:sz w:val="16"/>
                <w:szCs w:val="16"/>
                <w:color w:val="auto"/>
              </w:rPr>
              <w:t>001-13726</w:t>
            </w:r>
          </w:p>
        </w:tc>
        <w:tc>
          <w:tcPr>
            <w:tcW w:w="1120" w:type="dxa"/>
            <w:vAlign w:val="bottom"/>
            <w:shd w:val="clear" w:color="auto" w:fill="DBDBDB"/>
          </w:tcPr>
          <w:p>
            <w:pPr>
              <w:jc w:val="right"/>
              <w:ind w:right="299"/>
              <w:spacing w:after="0" w:line="175" w:lineRule="exact"/>
              <w:rPr>
                <w:sz w:val="20"/>
                <w:szCs w:val="20"/>
                <w:color w:val="auto"/>
              </w:rPr>
            </w:pPr>
            <w:r>
              <w:rPr>
                <w:rFonts w:ascii="Arial" w:cs="Arial" w:eastAsia="Arial" w:hAnsi="Arial"/>
                <w:sz w:val="16"/>
                <w:szCs w:val="16"/>
                <w:color w:val="auto"/>
              </w:rPr>
              <w:t>10.13</w:t>
            </w:r>
          </w:p>
        </w:tc>
        <w:tc>
          <w:tcPr>
            <w:tcW w:w="2640" w:type="dxa"/>
            <w:vAlign w:val="bottom"/>
            <w:shd w:val="clear" w:color="auto" w:fill="DBDBDB"/>
          </w:tcPr>
          <w:p>
            <w:pPr>
              <w:jc w:val="right"/>
              <w:ind w:right="1539"/>
              <w:spacing w:after="0" w:line="175" w:lineRule="exact"/>
              <w:rPr>
                <w:sz w:val="20"/>
                <w:szCs w:val="20"/>
                <w:color w:val="auto"/>
              </w:rPr>
            </w:pPr>
            <w:r>
              <w:rPr>
                <w:rFonts w:ascii="Arial" w:cs="Arial" w:eastAsia="Arial" w:hAnsi="Arial"/>
                <w:sz w:val="16"/>
                <w:szCs w:val="16"/>
                <w:color w:val="auto"/>
              </w:rPr>
              <w:t>3/1/2021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80" w:type="dxa"/>
            <w:vAlign w:val="bottom"/>
            <w:tcBorders>
              <w:top w:val="single" w:sz="8" w:color="0000FF"/>
            </w:tcBorders>
            <w:gridSpan w:val="15"/>
            <w:shd w:val="clear" w:color="auto" w:fill="DBDBDB"/>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9, 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264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Borders>
              <w:right w:val="single" w:sz="8" w:color="DBDBDB"/>
            </w:tcBorders>
            <w:shd w:val="clear" w:color="auto" w:fill="0000FF"/>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80" w:type="dxa"/>
            <w:vAlign w:val="bottom"/>
            <w:gridSpan w:val="4"/>
            <w:shd w:val="clear" w:color="auto" w:fill="DBDBDB"/>
          </w:tcPr>
          <w:p>
            <w:pPr>
              <w:spacing w:after="0" w:line="20" w:lineRule="exact"/>
              <w:rPr>
                <w:sz w:val="1"/>
                <w:szCs w:val="1"/>
                <w:color w:val="auto"/>
              </w:rPr>
            </w:pPr>
          </w:p>
        </w:tc>
        <w:tc>
          <w:tcPr>
            <w:tcW w:w="8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264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00" w:type="dxa"/>
            <w:vAlign w:val="bottom"/>
            <w:gridSpan w:val="16"/>
            <w:shd w:val="clear" w:color="auto" w:fill="DBDBDB"/>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Corporation, the Guarantors signatory thereto, and</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220" w:type="dxa"/>
            <w:vAlign w:val="bottom"/>
            <w:tcBorders>
              <w:top w:val="single" w:sz="8" w:color="0000FF"/>
              <w:bottom w:val="single" w:sz="8" w:color="0000FF"/>
              <w:right w:val="single" w:sz="8" w:color="DBDBDB"/>
            </w:tcBorders>
            <w:gridSpan w:val="4"/>
            <w:shd w:val="clear" w:color="auto" w:fill="DBDBDB"/>
          </w:tcPr>
          <w:p>
            <w:pPr>
              <w:spacing w:after="0" w:line="142" w:lineRule="exact"/>
              <w:rPr>
                <w:rFonts w:ascii="Arial" w:cs="Arial" w:eastAsia="Arial" w:hAnsi="Arial"/>
                <w:sz w:val="16"/>
                <w:szCs w:val="16"/>
                <w:color w:val="0000FF"/>
                <w:w w:val="99"/>
              </w:rPr>
            </w:pPr>
            <w:hyperlink r:id="rId263">
              <w:r>
                <w:rPr>
                  <w:rFonts w:ascii="Arial" w:cs="Arial" w:eastAsia="Arial" w:hAnsi="Arial"/>
                  <w:sz w:val="16"/>
                  <w:szCs w:val="16"/>
                  <w:color w:val="0000FF"/>
                  <w:w w:val="99"/>
                </w:rPr>
                <w:t>Deutsche Bank Trust Company Americas, as</w:t>
              </w:r>
            </w:hyperlink>
          </w:p>
        </w:tc>
        <w:tc>
          <w:tcPr>
            <w:tcW w:w="440" w:type="dxa"/>
            <w:vAlign w:val="bottom"/>
            <w:tcBorders>
              <w:top w:val="single" w:sz="8" w:color="0000FF"/>
              <w:bottom w:val="single" w:sz="8" w:color="DBDBDB"/>
            </w:tcBorders>
            <w:gridSpan w:val="10"/>
            <w:shd w:val="clear" w:color="auto" w:fill="DBDBDB"/>
          </w:tcPr>
          <w:p>
            <w:pPr>
              <w:spacing w:after="0"/>
              <w:rPr>
                <w:sz w:val="12"/>
                <w:szCs w:val="12"/>
                <w:color w:val="auto"/>
              </w:rPr>
            </w:pPr>
          </w:p>
        </w:tc>
        <w:tc>
          <w:tcPr>
            <w:tcW w:w="40" w:type="dxa"/>
            <w:vAlign w:val="bottom"/>
            <w:tcBorders>
              <w:top w:val="single" w:sz="8" w:color="DBDBDB"/>
              <w:bottom w:val="single" w:sz="8" w:color="DBDBDB"/>
            </w:tcBorders>
            <w:gridSpan w:val="2"/>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120" w:type="dxa"/>
            <w:vAlign w:val="bottom"/>
            <w:tcBorders>
              <w:top w:val="single" w:sz="8" w:color="DBDBDB"/>
              <w:bottom w:val="single" w:sz="8" w:color="DBDBDB"/>
            </w:tcBorders>
            <w:shd w:val="clear" w:color="auto" w:fill="DBDBDB"/>
          </w:tcPr>
          <w:p>
            <w:pPr>
              <w:spacing w:after="0"/>
              <w:rPr>
                <w:sz w:val="12"/>
                <w:szCs w:val="12"/>
                <w:color w:val="auto"/>
              </w:rPr>
            </w:pPr>
          </w:p>
        </w:tc>
        <w:tc>
          <w:tcPr>
            <w:tcW w:w="264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00" w:type="dxa"/>
            <w:vAlign w:val="bottom"/>
            <w:gridSpan w:val="16"/>
            <w:shd w:val="clear" w:color="auto" w:fill="DBDBDB"/>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Trustee, with respect to 5.5% Senior Notes due</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120" w:type="dxa"/>
            <w:vAlign w:val="bottom"/>
            <w:shd w:val="clear" w:color="auto" w:fill="DBDBDB"/>
          </w:tcPr>
          <w:p>
            <w:pPr>
              <w:spacing w:after="0"/>
              <w:rPr>
                <w:sz w:val="12"/>
                <w:szCs w:val="12"/>
                <w:color w:val="auto"/>
              </w:rPr>
            </w:pPr>
          </w:p>
        </w:tc>
        <w:tc>
          <w:tcPr>
            <w:tcW w:w="264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tcBorders>
            <w:gridSpan w:val="6"/>
            <w:shd w:val="clear" w:color="auto" w:fill="DBDBDB"/>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2026 and 5.875% Senior Notes due 2029.</w:t>
              </w:r>
            </w:hyperlink>
          </w:p>
        </w:tc>
        <w:tc>
          <w:tcPr>
            <w:tcW w:w="180" w:type="dxa"/>
            <w:vAlign w:val="bottom"/>
            <w:tcBorders>
              <w:top w:val="single" w:sz="8" w:color="DBDBDB"/>
            </w:tcBorders>
            <w:gridSpan w:val="4"/>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264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1180" w:type="dxa"/>
            <w:vAlign w:val="bottom"/>
            <w:tcBorders>
              <w:top w:val="single" w:sz="8" w:color="0000FF"/>
            </w:tcBorders>
          </w:tcPr>
          <w:p>
            <w:pPr>
              <w:spacing w:after="0"/>
              <w:rPr>
                <w:sz w:val="8"/>
                <w:szCs w:val="8"/>
                <w:color w:val="auto"/>
              </w:rPr>
            </w:pPr>
          </w:p>
        </w:tc>
        <w:tc>
          <w:tcPr>
            <w:tcW w:w="110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264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10.13†</w:t>
            </w:r>
          </w:p>
        </w:tc>
        <w:tc>
          <w:tcPr>
            <w:tcW w:w="3700" w:type="dxa"/>
            <w:vAlign w:val="bottom"/>
            <w:gridSpan w:val="16"/>
            <w:shd w:val="clear" w:color="auto" w:fill="DBDBDB"/>
          </w:tcPr>
          <w:p>
            <w:pPr>
              <w:spacing w:after="0" w:line="175" w:lineRule="exact"/>
              <w:rPr>
                <w:sz w:val="20"/>
                <w:szCs w:val="20"/>
                <w:color w:val="auto"/>
              </w:rPr>
            </w:pPr>
            <w:r>
              <w:rPr>
                <w:rFonts w:ascii="Arial" w:cs="Arial" w:eastAsia="Arial" w:hAnsi="Arial"/>
                <w:sz w:val="16"/>
                <w:szCs w:val="16"/>
                <w:color w:val="0000FF"/>
              </w:rPr>
              <w:t>Amendment to the Expand Energy Corporation</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2640" w:type="dxa"/>
            <w:vAlign w:val="bottom"/>
            <w:shd w:val="clear" w:color="auto" w:fill="DBDBDB"/>
          </w:tcPr>
          <w:p>
            <w:pPr>
              <w:jc w:val="right"/>
              <w:ind w:right="459"/>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60" w:type="dxa"/>
            <w:vAlign w:val="bottom"/>
            <w:tcBorders>
              <w:top w:val="single" w:sz="8" w:color="0000FF"/>
            </w:tcBorders>
            <w:gridSpan w:val="5"/>
            <w:shd w:val="clear" w:color="auto" w:fill="DBDBDB"/>
          </w:tcPr>
          <w:p>
            <w:pPr>
              <w:spacing w:after="0" w:line="142" w:lineRule="exact"/>
              <w:rPr>
                <w:sz w:val="20"/>
                <w:szCs w:val="20"/>
                <w:color w:val="auto"/>
              </w:rPr>
            </w:pPr>
            <w:r>
              <w:rPr>
                <w:rFonts w:ascii="Arial" w:cs="Arial" w:eastAsia="Arial" w:hAnsi="Arial"/>
                <w:sz w:val="16"/>
                <w:szCs w:val="16"/>
                <w:color w:val="0000FF"/>
              </w:rPr>
              <w:t>2021 Long Term Incentive Plan.</w:t>
            </w:r>
          </w:p>
        </w:tc>
        <w:tc>
          <w:tcPr>
            <w:tcW w:w="200" w:type="dxa"/>
            <w:vAlign w:val="bottom"/>
            <w:tcBorders>
              <w:top w:val="single" w:sz="8" w:color="DBDBDB"/>
            </w:tcBorders>
            <w:gridSpan w:val="5"/>
            <w:shd w:val="clear" w:color="auto" w:fill="DBDBDB"/>
          </w:tcPr>
          <w:p>
            <w:pPr>
              <w:spacing w:after="0"/>
              <w:rPr>
                <w:sz w:val="14"/>
                <w:szCs w:val="14"/>
                <w:color w:val="auto"/>
              </w:rPr>
            </w:pPr>
          </w:p>
        </w:tc>
        <w:tc>
          <w:tcPr>
            <w:tcW w:w="80" w:type="dxa"/>
            <w:vAlign w:val="bottom"/>
            <w:tcBorders>
              <w:top w:val="single" w:sz="8" w:color="DBDBDB"/>
            </w:tcBorders>
            <w:gridSpan w:val="3"/>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2640" w:type="dxa"/>
            <w:vAlign w:val="bottom"/>
            <w:tcBorders>
              <w:top w:val="single" w:sz="8" w:color="DBDBDB"/>
            </w:tcBorders>
            <w:shd w:val="clear" w:color="auto" w:fill="DBDBDB"/>
          </w:tcPr>
          <w:p>
            <w:pPr>
              <w:spacing w:after="0"/>
              <w:rPr>
                <w:sz w:val="14"/>
                <w:szCs w:val="14"/>
                <w:color w:val="auto"/>
              </w:rPr>
            </w:pPr>
          </w:p>
        </w:tc>
      </w:tr>
      <w:tr>
        <w:trPr>
          <w:trHeight w:val="54"/>
        </w:trPr>
        <w:tc>
          <w:tcPr>
            <w:tcW w:w="1140" w:type="dxa"/>
            <w:vAlign w:val="bottom"/>
            <w:tcBorders>
              <w:top w:val="single" w:sz="8" w:color="DBDBDB"/>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740" w:type="dxa"/>
            <w:vAlign w:val="bottom"/>
            <w:tcBorders>
              <w:top w:val="single" w:sz="8" w:color="DBDBDB"/>
            </w:tcBorders>
          </w:tcPr>
          <w:p>
            <w:pPr>
              <w:spacing w:after="0"/>
              <w:rPr>
                <w:sz w:val="4"/>
                <w:szCs w:val="4"/>
                <w:color w:val="auto"/>
              </w:rPr>
            </w:pPr>
          </w:p>
        </w:tc>
        <w:tc>
          <w:tcPr>
            <w:tcW w:w="200" w:type="dxa"/>
            <w:vAlign w:val="bottom"/>
            <w:tcBorders>
              <w:top w:val="single" w:sz="8" w:color="DBDBDB"/>
            </w:tcBorders>
          </w:tcPr>
          <w:p>
            <w:pPr>
              <w:spacing w:after="0"/>
              <w:rPr>
                <w:sz w:val="4"/>
                <w:szCs w:val="4"/>
                <w:color w:val="auto"/>
              </w:rPr>
            </w:pPr>
          </w:p>
        </w:tc>
        <w:tc>
          <w:tcPr>
            <w:tcW w:w="1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10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20" w:type="dxa"/>
            <w:vAlign w:val="bottom"/>
            <w:tcBorders>
              <w:top w:val="single" w:sz="8" w:color="DBDBDB"/>
            </w:tcBorders>
          </w:tcPr>
          <w:p>
            <w:pPr>
              <w:spacing w:after="0"/>
              <w:rPr>
                <w:sz w:val="4"/>
                <w:szCs w:val="4"/>
                <w:color w:val="auto"/>
              </w:rPr>
            </w:pPr>
          </w:p>
        </w:tc>
        <w:tc>
          <w:tcPr>
            <w:tcW w:w="1100" w:type="dxa"/>
            <w:vAlign w:val="bottom"/>
            <w:tcBorders>
              <w:top w:val="single" w:sz="8" w:color="DBDBDB"/>
            </w:tcBorders>
          </w:tcPr>
          <w:p>
            <w:pPr>
              <w:spacing w:after="0"/>
              <w:rPr>
                <w:sz w:val="4"/>
                <w:szCs w:val="4"/>
                <w:color w:val="auto"/>
              </w:rPr>
            </w:pPr>
          </w:p>
        </w:tc>
        <w:tc>
          <w:tcPr>
            <w:tcW w:w="1440" w:type="dxa"/>
            <w:vAlign w:val="bottom"/>
            <w:tcBorders>
              <w:top w:val="single" w:sz="8" w:color="DBDBDB"/>
            </w:tcBorders>
          </w:tcPr>
          <w:p>
            <w:pPr>
              <w:spacing w:after="0"/>
              <w:rPr>
                <w:sz w:val="4"/>
                <w:szCs w:val="4"/>
                <w:color w:val="auto"/>
              </w:rPr>
            </w:pPr>
          </w:p>
        </w:tc>
        <w:tc>
          <w:tcPr>
            <w:tcW w:w="1120" w:type="dxa"/>
            <w:vAlign w:val="bottom"/>
            <w:tcBorders>
              <w:top w:val="single" w:sz="8" w:color="DBDBDB"/>
            </w:tcBorders>
          </w:tcPr>
          <w:p>
            <w:pPr>
              <w:spacing w:after="0"/>
              <w:rPr>
                <w:sz w:val="4"/>
                <w:szCs w:val="4"/>
                <w:color w:val="auto"/>
              </w:rPr>
            </w:pPr>
          </w:p>
        </w:tc>
        <w:tc>
          <w:tcPr>
            <w:tcW w:w="2640" w:type="dxa"/>
            <w:vAlign w:val="bottom"/>
            <w:tcBorders>
              <w:top w:val="single" w:sz="8" w:color="DBDBDB"/>
            </w:tcBorders>
          </w:tcPr>
          <w:p>
            <w:pPr>
              <w:spacing w:after="0"/>
              <w:rPr>
                <w:sz w:val="4"/>
                <w:szCs w:val="4"/>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10.14†</w:t>
            </w:r>
          </w:p>
        </w:tc>
        <w:tc>
          <w:tcPr>
            <w:tcW w:w="3700" w:type="dxa"/>
            <w:vAlign w:val="bottom"/>
            <w:gridSpan w:val="16"/>
            <w:shd w:val="clear" w:color="auto" w:fill="DBDBDB"/>
          </w:tcPr>
          <w:p>
            <w:pPr>
              <w:spacing w:after="0" w:line="175" w:lineRule="exact"/>
              <w:rPr>
                <w:sz w:val="20"/>
                <w:szCs w:val="20"/>
                <w:color w:val="auto"/>
              </w:rPr>
            </w:pPr>
            <w:r>
              <w:rPr>
                <w:rFonts w:ascii="Arial" w:cs="Arial" w:eastAsia="Arial" w:hAnsi="Arial"/>
                <w:sz w:val="16"/>
                <w:szCs w:val="16"/>
                <w:color w:val="0000FF"/>
              </w:rPr>
              <w:t>Form of Executive/Employee Restricted Stock Unit</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2640" w:type="dxa"/>
            <w:vAlign w:val="bottom"/>
            <w:shd w:val="clear" w:color="auto" w:fill="DBDBDB"/>
          </w:tcPr>
          <w:p>
            <w:pPr>
              <w:jc w:val="right"/>
              <w:ind w:right="459"/>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40" w:type="dxa"/>
            <w:vAlign w:val="bottom"/>
            <w:tcBorders>
              <w:top w:val="single" w:sz="8" w:color="0000FF"/>
            </w:tcBorders>
            <w:gridSpan w:val="13"/>
            <w:shd w:val="clear" w:color="auto" w:fill="DBDBDB"/>
          </w:tcPr>
          <w:p>
            <w:pPr>
              <w:spacing w:after="0" w:line="142" w:lineRule="exact"/>
              <w:rPr>
                <w:sz w:val="20"/>
                <w:szCs w:val="20"/>
                <w:color w:val="auto"/>
              </w:rPr>
            </w:pPr>
            <w:r>
              <w:rPr>
                <w:rFonts w:ascii="Arial" w:cs="Arial" w:eastAsia="Arial" w:hAnsi="Arial"/>
                <w:sz w:val="16"/>
                <w:szCs w:val="16"/>
                <w:color w:val="0000FF"/>
              </w:rPr>
              <w:t>Award Agreement for Expand Energy Corporation</w:t>
            </w:r>
          </w:p>
        </w:tc>
        <w:tc>
          <w:tcPr>
            <w:tcW w:w="60" w:type="dxa"/>
            <w:vAlign w:val="bottom"/>
            <w:tcBorders>
              <w:top w:val="single" w:sz="8" w:color="DBDBDB"/>
            </w:tcBorders>
            <w:gridSpan w:val="3"/>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264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60" w:type="dxa"/>
            <w:vAlign w:val="bottom"/>
            <w:tcBorders>
              <w:top w:val="single" w:sz="8" w:color="0000FF"/>
            </w:tcBorders>
            <w:gridSpan w:val="10"/>
            <w:shd w:val="clear" w:color="auto" w:fill="DBDBDB"/>
          </w:tcPr>
          <w:p>
            <w:pPr>
              <w:spacing w:after="0" w:line="142" w:lineRule="exact"/>
              <w:rPr>
                <w:sz w:val="20"/>
                <w:szCs w:val="20"/>
                <w:color w:val="auto"/>
              </w:rPr>
            </w:pPr>
            <w:r>
              <w:rPr>
                <w:rFonts w:ascii="Arial" w:cs="Arial" w:eastAsia="Arial" w:hAnsi="Arial"/>
                <w:sz w:val="16"/>
                <w:szCs w:val="16"/>
                <w:color w:val="0000FF"/>
              </w:rPr>
              <w:t>2021 Long Term Incentive Plan.</w:t>
            </w:r>
          </w:p>
        </w:tc>
        <w:tc>
          <w:tcPr>
            <w:tcW w:w="140" w:type="dxa"/>
            <w:vAlign w:val="bottom"/>
            <w:tcBorders>
              <w:top w:val="single" w:sz="8" w:color="DBDBDB"/>
            </w:tcBorders>
            <w:gridSpan w:val="6"/>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2640" w:type="dxa"/>
            <w:vAlign w:val="bottom"/>
            <w:tcBorders>
              <w:top w:val="single" w:sz="8" w:color="DBDBDB"/>
            </w:tcBorders>
            <w:shd w:val="clear" w:color="auto" w:fill="DBDBDB"/>
          </w:tcPr>
          <w:p>
            <w:pPr>
              <w:spacing w:after="0"/>
              <w:rPr>
                <w:sz w:val="12"/>
                <w:szCs w:val="12"/>
                <w:color w:val="auto"/>
              </w:rPr>
            </w:pPr>
          </w:p>
        </w:tc>
      </w:tr>
      <w:tr>
        <w:trPr>
          <w:trHeight w:val="21"/>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1180" w:type="dxa"/>
            <w:vAlign w:val="bottom"/>
            <w:tcBorders>
              <w:top w:val="single" w:sz="8" w:color="0000FF"/>
            </w:tcBorders>
            <w:shd w:val="clear" w:color="auto" w:fill="DBDBDB"/>
          </w:tcPr>
          <w:p>
            <w:pPr>
              <w:spacing w:after="0" w:line="20" w:lineRule="exact"/>
              <w:rPr>
                <w:sz w:val="1"/>
                <w:szCs w:val="1"/>
                <w:color w:val="auto"/>
              </w:rPr>
            </w:pPr>
          </w:p>
        </w:tc>
        <w:tc>
          <w:tcPr>
            <w:tcW w:w="1100" w:type="dxa"/>
            <w:vAlign w:val="bottom"/>
            <w:tcBorders>
              <w:top w:val="single" w:sz="8" w:color="0000FF"/>
            </w:tcBorders>
            <w:shd w:val="clear" w:color="auto" w:fill="DBDBDB"/>
          </w:tcPr>
          <w:p>
            <w:pPr>
              <w:spacing w:after="0" w:line="20" w:lineRule="exact"/>
              <w:rPr>
                <w:sz w:val="1"/>
                <w:szCs w:val="1"/>
                <w:color w:val="auto"/>
              </w:rPr>
            </w:pPr>
          </w:p>
        </w:tc>
        <w:tc>
          <w:tcPr>
            <w:tcW w:w="74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100" w:type="dxa"/>
            <w:vAlign w:val="bottom"/>
            <w:tcBorders>
              <w:top w:val="single" w:sz="8" w:color="DBDBDB"/>
            </w:tcBorders>
            <w:shd w:val="clear" w:color="auto" w:fill="DBDBDB"/>
          </w:tcPr>
          <w:p>
            <w:pPr>
              <w:spacing w:after="0" w:line="20" w:lineRule="exact"/>
              <w:rPr>
                <w:sz w:val="1"/>
                <w:szCs w:val="1"/>
                <w:color w:val="auto"/>
              </w:rPr>
            </w:pPr>
          </w:p>
        </w:tc>
        <w:tc>
          <w:tcPr>
            <w:tcW w:w="1440" w:type="dxa"/>
            <w:vAlign w:val="bottom"/>
            <w:tcBorders>
              <w:top w:val="single" w:sz="8" w:color="DBDBDB"/>
            </w:tcBorders>
            <w:shd w:val="clear" w:color="auto" w:fill="DBDBDB"/>
          </w:tcPr>
          <w:p>
            <w:pPr>
              <w:spacing w:after="0" w:line="20" w:lineRule="exact"/>
              <w:rPr>
                <w:sz w:val="1"/>
                <w:szCs w:val="1"/>
                <w:color w:val="auto"/>
              </w:rPr>
            </w:pPr>
          </w:p>
        </w:tc>
        <w:tc>
          <w:tcPr>
            <w:tcW w:w="11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10.15†</w:t>
            </w:r>
          </w:p>
        </w:tc>
        <w:tc>
          <w:tcPr>
            <w:tcW w:w="3660" w:type="dxa"/>
            <w:vAlign w:val="bottom"/>
            <w:gridSpan w:val="27"/>
            <w:shd w:val="clear" w:color="auto" w:fill="DBDBDB"/>
          </w:tcPr>
          <w:p>
            <w:pPr>
              <w:spacing w:after="0"/>
              <w:rPr>
                <w:sz w:val="20"/>
                <w:szCs w:val="20"/>
                <w:color w:val="auto"/>
              </w:rPr>
            </w:pPr>
            <w:r>
              <w:rPr>
                <w:rFonts w:ascii="Arial" w:cs="Arial" w:eastAsia="Arial" w:hAnsi="Arial"/>
                <w:sz w:val="16"/>
                <w:szCs w:val="16"/>
                <w:color w:val="0000FF"/>
              </w:rPr>
              <w:t>Form of Non-Employee Director Restricted Stock</w:t>
            </w:r>
          </w:p>
        </w:tc>
        <w:tc>
          <w:tcPr>
            <w:tcW w:w="1120" w:type="dxa"/>
            <w:vAlign w:val="bottom"/>
            <w:shd w:val="clear" w:color="auto" w:fill="DBDBDB"/>
          </w:tcPr>
          <w:p>
            <w:pPr>
              <w:spacing w:after="0"/>
              <w:rPr>
                <w:sz w:val="16"/>
                <w:szCs w:val="16"/>
                <w:color w:val="auto"/>
              </w:rPr>
            </w:pPr>
          </w:p>
        </w:tc>
        <w:tc>
          <w:tcPr>
            <w:tcW w:w="146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2700" w:type="dxa"/>
            <w:vAlign w:val="bottom"/>
            <w:shd w:val="clear" w:color="auto" w:fill="DBDBDB"/>
          </w:tcPr>
          <w:p>
            <w:pPr>
              <w:ind w:left="2040"/>
              <w:spacing w:after="0"/>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00" w:type="dxa"/>
            <w:vAlign w:val="bottom"/>
            <w:tcBorders>
              <w:top w:val="single" w:sz="8" w:color="0000FF"/>
            </w:tcBorders>
            <w:gridSpan w:val="19"/>
            <w:shd w:val="clear" w:color="auto" w:fill="DBDBDB"/>
          </w:tcPr>
          <w:p>
            <w:pPr>
              <w:spacing w:after="0" w:line="142" w:lineRule="exact"/>
              <w:rPr>
                <w:sz w:val="20"/>
                <w:szCs w:val="20"/>
                <w:color w:val="auto"/>
              </w:rPr>
            </w:pPr>
            <w:r>
              <w:rPr>
                <w:rFonts w:ascii="Arial" w:cs="Arial" w:eastAsia="Arial" w:hAnsi="Arial"/>
                <w:sz w:val="16"/>
                <w:szCs w:val="16"/>
                <w:color w:val="0000FF"/>
              </w:rPr>
              <w:t>Unit Award Agreement for Expand Energy</w:t>
            </w: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shd w:val="clear" w:color="auto" w:fill="DBDBDB"/>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DBDBDB"/>
            </w:tcBorders>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6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660" w:type="dxa"/>
            <w:vAlign w:val="bottom"/>
            <w:gridSpan w:val="27"/>
            <w:shd w:val="clear" w:color="auto" w:fill="DBDBDB"/>
          </w:tcPr>
          <w:p>
            <w:pPr>
              <w:spacing w:after="0" w:line="142" w:lineRule="exact"/>
              <w:rPr>
                <w:sz w:val="20"/>
                <w:szCs w:val="20"/>
                <w:color w:val="auto"/>
              </w:rPr>
            </w:pPr>
            <w:r>
              <w:rPr>
                <w:rFonts w:ascii="Arial" w:cs="Arial" w:eastAsia="Arial" w:hAnsi="Arial"/>
                <w:sz w:val="16"/>
                <w:szCs w:val="16"/>
                <w:color w:val="0000FF"/>
              </w:rPr>
              <w:t>Corporation 2021 Long Term Incentive Plan.</w:t>
            </w:r>
          </w:p>
        </w:tc>
        <w:tc>
          <w:tcPr>
            <w:tcW w:w="112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10.16†</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Form of Performance Share Unit Award (Absolute</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80" w:type="dxa"/>
            <w:vAlign w:val="bottom"/>
            <w:tcBorders>
              <w:top w:val="single" w:sz="8" w:color="0000FF"/>
            </w:tcBorders>
            <w:gridSpan w:val="23"/>
            <w:shd w:val="clear" w:color="auto" w:fill="DBDBDB"/>
          </w:tcPr>
          <w:p>
            <w:pPr>
              <w:spacing w:after="0" w:line="142" w:lineRule="exact"/>
              <w:rPr>
                <w:sz w:val="20"/>
                <w:szCs w:val="20"/>
                <w:color w:val="auto"/>
              </w:rPr>
            </w:pPr>
            <w:r>
              <w:rPr>
                <w:rFonts w:ascii="Arial" w:cs="Arial" w:eastAsia="Arial" w:hAnsi="Arial"/>
                <w:sz w:val="16"/>
                <w:szCs w:val="16"/>
                <w:color w:val="0000FF"/>
              </w:rPr>
              <w:t>TSR) for Expand Energy Corporation 2021 Long</w:t>
            </w: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60" w:type="dxa"/>
            <w:vAlign w:val="bottom"/>
            <w:tcBorders>
              <w:top w:val="single" w:sz="8" w:color="0000FF"/>
            </w:tcBorders>
            <w:gridSpan w:val="17"/>
            <w:shd w:val="clear" w:color="auto" w:fill="DBDBDB"/>
          </w:tcPr>
          <w:p>
            <w:pPr>
              <w:spacing w:after="0" w:line="142" w:lineRule="exact"/>
              <w:rPr>
                <w:sz w:val="20"/>
                <w:szCs w:val="20"/>
                <w:color w:val="auto"/>
              </w:rPr>
            </w:pPr>
            <w:r>
              <w:rPr>
                <w:rFonts w:ascii="Arial" w:cs="Arial" w:eastAsia="Arial" w:hAnsi="Arial"/>
                <w:sz w:val="16"/>
                <w:szCs w:val="16"/>
                <w:color w:val="0000FF"/>
              </w:rPr>
              <w:t>Term Incentive Plan.</w:t>
            </w: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10.17†</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Form of Performance Share Unit Award (Relative</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20" w:type="dxa"/>
            <w:vAlign w:val="bottom"/>
            <w:tcBorders>
              <w:top w:val="single" w:sz="8" w:color="0000FF"/>
            </w:tcBorders>
            <w:gridSpan w:val="20"/>
            <w:shd w:val="clear" w:color="auto" w:fill="DBDBDB"/>
          </w:tcPr>
          <w:p>
            <w:pPr>
              <w:spacing w:after="0" w:line="142" w:lineRule="exact"/>
              <w:rPr>
                <w:sz w:val="20"/>
                <w:szCs w:val="20"/>
                <w:color w:val="auto"/>
              </w:rPr>
            </w:pPr>
            <w:r>
              <w:rPr>
                <w:rFonts w:ascii="Arial" w:cs="Arial" w:eastAsia="Arial" w:hAnsi="Arial"/>
                <w:sz w:val="16"/>
                <w:szCs w:val="16"/>
                <w:color w:val="0000FF"/>
              </w:rPr>
              <w:t>TSR) for Expand Energy Corporation 2021 Long</w:t>
            </w: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60" w:type="dxa"/>
            <w:vAlign w:val="bottom"/>
            <w:tcBorders>
              <w:top w:val="single" w:sz="8" w:color="0000FF"/>
            </w:tcBorders>
            <w:gridSpan w:val="17"/>
            <w:shd w:val="clear" w:color="auto" w:fill="DBDBDB"/>
          </w:tcPr>
          <w:p>
            <w:pPr>
              <w:spacing w:after="0" w:line="142" w:lineRule="exact"/>
              <w:rPr>
                <w:sz w:val="20"/>
                <w:szCs w:val="20"/>
                <w:color w:val="auto"/>
              </w:rPr>
            </w:pPr>
            <w:r>
              <w:rPr>
                <w:rFonts w:ascii="Arial" w:cs="Arial" w:eastAsia="Arial" w:hAnsi="Arial"/>
                <w:sz w:val="16"/>
                <w:szCs w:val="16"/>
                <w:color w:val="0000FF"/>
              </w:rPr>
              <w:t>Term Incentive Plan.</w:t>
            </w: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10.18†</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Expand Energy Corporation Executive Severance</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60" w:type="dxa"/>
            <w:vAlign w:val="bottom"/>
            <w:tcBorders>
              <w:top w:val="single" w:sz="8" w:color="0000FF"/>
            </w:tcBorders>
            <w:gridSpan w:val="22"/>
            <w:shd w:val="clear" w:color="auto" w:fill="DBDBDB"/>
          </w:tcPr>
          <w:p>
            <w:pPr>
              <w:spacing w:after="0" w:line="142" w:lineRule="exact"/>
              <w:rPr>
                <w:sz w:val="20"/>
                <w:szCs w:val="20"/>
                <w:color w:val="auto"/>
              </w:rPr>
            </w:pPr>
            <w:r>
              <w:rPr>
                <w:rFonts w:ascii="Arial" w:cs="Arial" w:eastAsia="Arial" w:hAnsi="Arial"/>
                <w:sz w:val="16"/>
                <w:szCs w:val="16"/>
                <w:color w:val="0000FF"/>
              </w:rPr>
              <w:t>Plan.</w:t>
            </w: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10.19†</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Form of Participation Agreement pursuant to</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6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7"/>
            <w:shd w:val="clear" w:color="auto" w:fill="DBDBDB"/>
          </w:tcPr>
          <w:p>
            <w:pPr>
              <w:spacing w:after="0" w:line="142" w:lineRule="exact"/>
              <w:rPr>
                <w:sz w:val="20"/>
                <w:szCs w:val="20"/>
                <w:color w:val="auto"/>
              </w:rPr>
            </w:pPr>
            <w:r>
              <w:rPr>
                <w:rFonts w:ascii="Arial" w:cs="Arial" w:eastAsia="Arial" w:hAnsi="Arial"/>
                <w:sz w:val="16"/>
                <w:szCs w:val="16"/>
                <w:color w:val="0000FF"/>
              </w:rPr>
              <w:t>Expand Energy Corporation Executive Severance</w:t>
            </w:r>
          </w:p>
        </w:tc>
        <w:tc>
          <w:tcPr>
            <w:tcW w:w="11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60" w:type="dxa"/>
            <w:vAlign w:val="bottom"/>
            <w:tcBorders>
              <w:top w:val="single" w:sz="8" w:color="0000FF"/>
            </w:tcBorders>
            <w:gridSpan w:val="22"/>
            <w:shd w:val="clear" w:color="auto" w:fill="DBDBDB"/>
          </w:tcPr>
          <w:p>
            <w:pPr>
              <w:spacing w:after="0" w:line="142" w:lineRule="exact"/>
              <w:rPr>
                <w:sz w:val="20"/>
                <w:szCs w:val="20"/>
                <w:color w:val="auto"/>
              </w:rPr>
            </w:pPr>
            <w:r>
              <w:rPr>
                <w:rFonts w:ascii="Arial" w:cs="Arial" w:eastAsia="Arial" w:hAnsi="Arial"/>
                <w:sz w:val="16"/>
                <w:szCs w:val="16"/>
                <w:color w:val="0000FF"/>
              </w:rPr>
              <w:t>Plan.</w:t>
            </w: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10.20†</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Second Amendment to the Expand Energy</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20"/>
        </w:trPr>
        <w:tc>
          <w:tcPr>
            <w:tcW w:w="1140" w:type="dxa"/>
            <w:vAlign w:val="bottom"/>
            <w:shd w:val="clear" w:color="auto" w:fill="DBDBDB"/>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DBDBDB"/>
            </w:tcBorders>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0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60" w:type="dxa"/>
            <w:vAlign w:val="bottom"/>
            <w:gridSpan w:val="3"/>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20" w:type="dxa"/>
            <w:vAlign w:val="bottom"/>
            <w:shd w:val="clear" w:color="auto" w:fill="DBDBDB"/>
          </w:tcPr>
          <w:p>
            <w:pPr>
              <w:spacing w:after="0" w:line="20" w:lineRule="exact"/>
              <w:rPr>
                <w:sz w:val="1"/>
                <w:szCs w:val="1"/>
                <w:color w:val="auto"/>
              </w:rPr>
            </w:pPr>
          </w:p>
        </w:tc>
        <w:tc>
          <w:tcPr>
            <w:tcW w:w="1460" w:type="dxa"/>
            <w:vAlign w:val="bottom"/>
            <w:shd w:val="clear" w:color="auto" w:fill="DBDBDB"/>
          </w:tcPr>
          <w:p>
            <w:pPr>
              <w:spacing w:after="0" w:line="20" w:lineRule="exact"/>
              <w:rPr>
                <w:sz w:val="1"/>
                <w:szCs w:val="1"/>
                <w:color w:val="auto"/>
              </w:rPr>
            </w:pPr>
          </w:p>
        </w:tc>
        <w:tc>
          <w:tcPr>
            <w:tcW w:w="1060" w:type="dxa"/>
            <w:vAlign w:val="bottom"/>
            <w:shd w:val="clear" w:color="auto" w:fill="DBDBDB"/>
          </w:tcPr>
          <w:p>
            <w:pPr>
              <w:spacing w:after="0" w:line="20" w:lineRule="exact"/>
              <w:rPr>
                <w:sz w:val="1"/>
                <w:szCs w:val="1"/>
                <w:color w:val="auto"/>
              </w:rPr>
            </w:pPr>
          </w:p>
        </w:tc>
        <w:tc>
          <w:tcPr>
            <w:tcW w:w="2700" w:type="dxa"/>
            <w:vAlign w:val="bottom"/>
            <w:shd w:val="clear" w:color="auto" w:fill="DBDBDB"/>
          </w:tcPr>
          <w:p>
            <w:pPr>
              <w:spacing w:after="0" w:line="20" w:lineRule="exact"/>
              <w:rPr>
                <w:sz w:val="1"/>
                <w:szCs w:val="1"/>
                <w:color w:val="auto"/>
              </w:rPr>
            </w:pPr>
          </w:p>
        </w:tc>
      </w:tr>
      <w:tr>
        <w:trPr>
          <w:trHeight w:val="163"/>
        </w:trPr>
        <w:tc>
          <w:tcPr>
            <w:tcW w:w="1140" w:type="dxa"/>
            <w:vAlign w:val="bottom"/>
            <w:shd w:val="clear" w:color="auto" w:fill="DBDBDB"/>
          </w:tcPr>
          <w:p>
            <w:pPr>
              <w:spacing w:after="0"/>
              <w:rPr>
                <w:sz w:val="14"/>
                <w:szCs w:val="14"/>
                <w:color w:val="auto"/>
              </w:rPr>
            </w:pPr>
          </w:p>
        </w:tc>
        <w:tc>
          <w:tcPr>
            <w:tcW w:w="3660" w:type="dxa"/>
            <w:vAlign w:val="bottom"/>
            <w:gridSpan w:val="27"/>
            <w:shd w:val="clear" w:color="auto" w:fill="DBDBDB"/>
          </w:tcPr>
          <w:p>
            <w:pPr>
              <w:spacing w:after="0" w:line="142" w:lineRule="exact"/>
              <w:rPr>
                <w:sz w:val="20"/>
                <w:szCs w:val="20"/>
                <w:color w:val="auto"/>
              </w:rPr>
            </w:pPr>
            <w:r>
              <w:rPr>
                <w:rFonts w:ascii="Arial" w:cs="Arial" w:eastAsia="Arial" w:hAnsi="Arial"/>
                <w:sz w:val="16"/>
                <w:szCs w:val="16"/>
                <w:color w:val="0000FF"/>
              </w:rPr>
              <w:t>Corporation 2021 Long Term Incentive Plan.</w:t>
            </w:r>
          </w:p>
        </w:tc>
        <w:tc>
          <w:tcPr>
            <w:tcW w:w="1120" w:type="dxa"/>
            <w:vAlign w:val="bottom"/>
            <w:shd w:val="clear" w:color="auto" w:fill="DBDBDB"/>
          </w:tcPr>
          <w:p>
            <w:pPr>
              <w:spacing w:after="0"/>
              <w:rPr>
                <w:sz w:val="14"/>
                <w:szCs w:val="14"/>
                <w:color w:val="auto"/>
              </w:rPr>
            </w:pPr>
          </w:p>
        </w:tc>
        <w:tc>
          <w:tcPr>
            <w:tcW w:w="146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70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1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10.21</w:t>
            </w:r>
          </w:p>
        </w:tc>
        <w:tc>
          <w:tcPr>
            <w:tcW w:w="3660" w:type="dxa"/>
            <w:vAlign w:val="bottom"/>
            <w:gridSpan w:val="27"/>
            <w:shd w:val="clear" w:color="auto" w:fill="DBDBDB"/>
          </w:tcPr>
          <w:p>
            <w:pPr>
              <w:spacing w:after="0" w:line="175" w:lineRule="exact"/>
              <w:rPr>
                <w:rFonts w:ascii="Arial" w:cs="Arial" w:eastAsia="Arial" w:hAnsi="Arial"/>
                <w:sz w:val="16"/>
                <w:szCs w:val="16"/>
                <w:color w:val="0000FF"/>
              </w:rPr>
            </w:pPr>
            <w:hyperlink r:id="rId265">
              <w:r>
                <w:rPr>
                  <w:rFonts w:ascii="Arial" w:cs="Arial" w:eastAsia="Arial" w:hAnsi="Arial"/>
                  <w:sz w:val="16"/>
                  <w:szCs w:val="16"/>
                  <w:color w:val="0000FF"/>
                </w:rPr>
                <w:t>Supplemental Indenture, dated as of November 2,</w:t>
              </w:r>
            </w:hyperlink>
          </w:p>
        </w:tc>
        <w:tc>
          <w:tcPr>
            <w:tcW w:w="1120" w:type="dxa"/>
            <w:vAlign w:val="bottom"/>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8"/>
              </w:rPr>
              <w:t>4.1</w:t>
            </w:r>
          </w:p>
        </w:tc>
        <w:tc>
          <w:tcPr>
            <w:tcW w:w="270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8"/>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6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Corporation, the guarantors party thereto</w:t>
              </w:r>
            </w:hyperlink>
          </w:p>
        </w:tc>
        <w:tc>
          <w:tcPr>
            <w:tcW w:w="600" w:type="dxa"/>
            <w:vAlign w:val="bottom"/>
            <w:tcBorders>
              <w:top w:val="single" w:sz="8" w:color="DBDBDB"/>
            </w:tcBorders>
            <w:gridSpan w:val="16"/>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and</w:t>
              </w:r>
            </w:hyperlink>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240" w:type="dxa"/>
            <w:vAlign w:val="bottom"/>
            <w:tcBorders>
              <w:top w:val="single" w:sz="8" w:color="0000FF"/>
              <w:right w:val="single" w:sz="8" w:color="DBDBDB"/>
            </w:tcBorders>
            <w:gridSpan w:val="12"/>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Wilmington Trust, National Association, as</w:t>
              </w:r>
            </w:hyperlink>
          </w:p>
        </w:tc>
        <w:tc>
          <w:tcPr>
            <w:tcW w:w="8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06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65">
              <w:r>
                <w:rPr>
                  <w:rFonts w:ascii="Arial" w:cs="Arial" w:eastAsia="Arial" w:hAnsi="Arial"/>
                  <w:sz w:val="16"/>
                  <w:szCs w:val="16"/>
                  <w:color w:val="0000FF"/>
                </w:rPr>
                <w:t>Trustee.</w:t>
              </w:r>
            </w:hyperlink>
          </w:p>
        </w:tc>
        <w:tc>
          <w:tcPr>
            <w:tcW w:w="180" w:type="dxa"/>
            <w:vAlign w:val="bottom"/>
            <w:tcBorders>
              <w:top w:val="single" w:sz="8" w:color="DBDBDB"/>
              <w:right w:val="single" w:sz="8" w:color="DBDBDB"/>
            </w:tcBorders>
            <w:shd w:val="clear" w:color="auto" w:fill="DBDBDB"/>
          </w:tcPr>
          <w:p>
            <w:pPr>
              <w:spacing w:after="0"/>
              <w:rPr>
                <w:sz w:val="14"/>
                <w:szCs w:val="14"/>
                <w:color w:val="auto"/>
              </w:rPr>
            </w:pPr>
          </w:p>
        </w:tc>
        <w:tc>
          <w:tcPr>
            <w:tcW w:w="8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10.22</w:t>
            </w:r>
          </w:p>
        </w:tc>
        <w:tc>
          <w:tcPr>
            <w:tcW w:w="3660" w:type="dxa"/>
            <w:vAlign w:val="bottom"/>
            <w:gridSpan w:val="27"/>
            <w:shd w:val="clear" w:color="auto" w:fill="DBDBDB"/>
          </w:tcPr>
          <w:p>
            <w:pPr>
              <w:spacing w:after="0" w:line="175" w:lineRule="exact"/>
              <w:rPr>
                <w:rFonts w:ascii="Arial" w:cs="Arial" w:eastAsia="Arial" w:hAnsi="Arial"/>
                <w:sz w:val="16"/>
                <w:szCs w:val="16"/>
                <w:color w:val="0000FF"/>
              </w:rPr>
            </w:pPr>
            <w:hyperlink r:id="rId266">
              <w:r>
                <w:rPr>
                  <w:rFonts w:ascii="Arial" w:cs="Arial" w:eastAsia="Arial" w:hAnsi="Arial"/>
                  <w:sz w:val="16"/>
                  <w:szCs w:val="16"/>
                  <w:color w:val="0000FF"/>
                </w:rPr>
                <w:t>Supplemental Indenture, dated as of November 2,</w:t>
              </w:r>
            </w:hyperlink>
          </w:p>
        </w:tc>
        <w:tc>
          <w:tcPr>
            <w:tcW w:w="1120" w:type="dxa"/>
            <w:vAlign w:val="bottom"/>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8"/>
              </w:rPr>
              <w:t>4.2</w:t>
            </w:r>
          </w:p>
        </w:tc>
        <w:tc>
          <w:tcPr>
            <w:tcW w:w="270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8"/>
              </w:rPr>
              <w:t>11/2/2021</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2021, by and among Chesapeake Energy</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6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Corporation, the guarantors party thereto</w:t>
              </w:r>
            </w:hyperlink>
          </w:p>
        </w:tc>
        <w:tc>
          <w:tcPr>
            <w:tcW w:w="600" w:type="dxa"/>
            <w:vAlign w:val="bottom"/>
            <w:tcBorders>
              <w:top w:val="single" w:sz="8" w:color="DBDBDB"/>
            </w:tcBorders>
            <w:gridSpan w:val="16"/>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and</w:t>
              </w:r>
            </w:hyperlink>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240" w:type="dxa"/>
            <w:vAlign w:val="bottom"/>
            <w:tcBorders>
              <w:top w:val="single" w:sz="8" w:color="0000FF"/>
              <w:right w:val="single" w:sz="8" w:color="DBDBDB"/>
            </w:tcBorders>
            <w:gridSpan w:val="12"/>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Deutsche Bank Trust Company Americas, as</w:t>
              </w:r>
            </w:hyperlink>
          </w:p>
        </w:tc>
        <w:tc>
          <w:tcPr>
            <w:tcW w:w="8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0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60" w:type="dxa"/>
            <w:vAlign w:val="bottom"/>
            <w:tcBorders>
              <w:top w:val="single" w:sz="8" w:color="DBDBDB"/>
            </w:tcBorders>
            <w:gridSpan w:val="3"/>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2"/>
        </w:trPr>
        <w:tc>
          <w:tcPr>
            <w:tcW w:w="1140" w:type="dxa"/>
            <w:vAlign w:val="bottom"/>
            <w:tcBorders>
              <w:top w:val="single" w:sz="8" w:color="DBDBDB"/>
            </w:tcBorders>
            <w:shd w:val="clear" w:color="auto" w:fill="DBDBDB"/>
          </w:tcPr>
          <w:p>
            <w:pPr>
              <w:spacing w:after="0"/>
              <w:rPr>
                <w:sz w:val="14"/>
                <w:szCs w:val="14"/>
                <w:color w:val="auto"/>
              </w:rPr>
            </w:pPr>
          </w:p>
        </w:tc>
        <w:tc>
          <w:tcPr>
            <w:tcW w:w="3240" w:type="dxa"/>
            <w:vAlign w:val="bottom"/>
            <w:tcBorders>
              <w:top w:val="single" w:sz="8" w:color="0000FF"/>
              <w:right w:val="single" w:sz="8" w:color="DBDBDB"/>
            </w:tcBorders>
            <w:gridSpan w:val="12"/>
            <w:shd w:val="clear" w:color="auto" w:fill="DBDBDB"/>
          </w:tcPr>
          <w:p>
            <w:pPr>
              <w:spacing w:after="0" w:line="142" w:lineRule="exact"/>
              <w:rPr>
                <w:rFonts w:ascii="Arial" w:cs="Arial" w:eastAsia="Arial" w:hAnsi="Arial"/>
                <w:sz w:val="16"/>
                <w:szCs w:val="16"/>
                <w:color w:val="0000FF"/>
              </w:rPr>
            </w:pPr>
            <w:hyperlink r:id="rId266">
              <w:r>
                <w:rPr>
                  <w:rFonts w:ascii="Arial" w:cs="Arial" w:eastAsia="Arial" w:hAnsi="Arial"/>
                  <w:sz w:val="16"/>
                  <w:szCs w:val="16"/>
                  <w:color w:val="0000FF"/>
                </w:rPr>
                <w:t>Trustee.</w:t>
              </w:r>
            </w:hyperlink>
          </w:p>
        </w:tc>
        <w:tc>
          <w:tcPr>
            <w:tcW w:w="8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60" w:type="dxa"/>
            <w:vAlign w:val="bottom"/>
            <w:tcBorders>
              <w:top w:val="single" w:sz="8" w:color="DBDBDB"/>
            </w:tcBorders>
            <w:gridSpan w:val="3"/>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420" w:type="dxa"/>
            <w:vAlign w:val="bottom"/>
            <w:tcBorders>
              <w:top w:val="single" w:sz="8" w:color="DBDBDB"/>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10.23</w:t>
            </w:r>
          </w:p>
        </w:tc>
        <w:tc>
          <w:tcPr>
            <w:tcW w:w="3340" w:type="dxa"/>
            <w:vAlign w:val="bottom"/>
            <w:tcBorders>
              <w:bottom w:val="single" w:sz="8" w:color="0000FF"/>
            </w:tcBorders>
            <w:gridSpan w:val="14"/>
            <w:shd w:val="clear" w:color="auto" w:fill="DBDBDB"/>
          </w:tcPr>
          <w:p>
            <w:pPr>
              <w:spacing w:after="0" w:line="175" w:lineRule="exact"/>
              <w:rPr>
                <w:rFonts w:ascii="Arial" w:cs="Arial" w:eastAsia="Arial" w:hAnsi="Arial"/>
                <w:sz w:val="16"/>
                <w:szCs w:val="16"/>
                <w:color w:val="0000FF"/>
              </w:rPr>
            </w:pPr>
            <w:hyperlink r:id="rId267">
              <w:r>
                <w:rPr>
                  <w:rFonts w:ascii="Arial" w:cs="Arial" w:eastAsia="Arial" w:hAnsi="Arial"/>
                  <w:sz w:val="16"/>
                  <w:szCs w:val="16"/>
                  <w:color w:val="0000FF"/>
                </w:rPr>
                <w:t>Registration Rights Agreement dated March 9,</w:t>
              </w:r>
            </w:hyperlink>
          </w:p>
        </w:tc>
        <w:tc>
          <w:tcPr>
            <w:tcW w:w="320" w:type="dxa"/>
            <w:vAlign w:val="bottom"/>
            <w:tcBorders>
              <w:bottom w:val="single" w:sz="8" w:color="DBDBDB"/>
            </w:tcBorders>
            <w:gridSpan w:val="13"/>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tcBorders>
              <w:bottom w:val="single" w:sz="8" w:color="DBDBDB"/>
            </w:tcBorders>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9"/>
              </w:rPr>
              <w:t>3/9/2022</w:t>
            </w: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7"/>
            <w:shd w:val="clear" w:color="auto" w:fill="DBDBDB"/>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2022, by and among the Company and The Jan &amp;</w:t>
              </w:r>
            </w:hyperlink>
          </w:p>
        </w:tc>
        <w:tc>
          <w:tcPr>
            <w:tcW w:w="11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20" w:type="dxa"/>
            <w:vAlign w:val="bottom"/>
            <w:tcBorders>
              <w:top w:val="single" w:sz="8" w:color="0000FF"/>
            </w:tcBorders>
            <w:gridSpan w:val="25"/>
            <w:shd w:val="clear" w:color="auto" w:fill="DBDBDB"/>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Trevor Rees-Jones Revocable Trust, Rees-Jones</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540" w:type="dxa"/>
            <w:vAlign w:val="bottom"/>
            <w:tcBorders>
              <w:top w:val="single" w:sz="8" w:color="0000FF"/>
            </w:tcBorders>
            <w:gridSpan w:val="21"/>
            <w:shd w:val="clear" w:color="auto" w:fill="DBDBDB"/>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Family Holdings, LP, Chief E&amp;D Participants, LP,</w:t>
              </w:r>
            </w:hyperlink>
          </w:p>
        </w:tc>
        <w:tc>
          <w:tcPr>
            <w:tcW w:w="60" w:type="dxa"/>
            <w:vAlign w:val="bottom"/>
            <w:tcBorders>
              <w:top w:val="single" w:sz="8" w:color="DBDBDB"/>
            </w:tcBorders>
            <w:gridSpan w:val="3"/>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80" w:type="dxa"/>
            <w:vAlign w:val="bottom"/>
            <w:tcBorders>
              <w:top w:val="single" w:sz="8" w:color="0000FF"/>
            </w:tcBorders>
            <w:gridSpan w:val="18"/>
            <w:shd w:val="clear" w:color="auto" w:fill="DBDBDB"/>
          </w:tcPr>
          <w:p>
            <w:pPr>
              <w:spacing w:after="0" w:line="142" w:lineRule="exact"/>
              <w:rPr>
                <w:rFonts w:ascii="Arial" w:cs="Arial" w:eastAsia="Arial" w:hAnsi="Arial"/>
                <w:sz w:val="16"/>
                <w:szCs w:val="16"/>
                <w:color w:val="0000FF"/>
              </w:rPr>
            </w:pPr>
            <w:hyperlink r:id="rId267">
              <w:r>
                <w:rPr>
                  <w:rFonts w:ascii="Arial" w:cs="Arial" w:eastAsia="Arial" w:hAnsi="Arial"/>
                  <w:sz w:val="16"/>
                  <w:szCs w:val="16"/>
                  <w:color w:val="0000FF"/>
                </w:rPr>
                <w:t>and Chief E&amp;D (GP) LLC.</w:t>
              </w:r>
            </w:hyperlink>
          </w:p>
        </w:tc>
        <w:tc>
          <w:tcPr>
            <w:tcW w:w="20" w:type="dxa"/>
            <w:vAlign w:val="bottom"/>
            <w:tcBorders>
              <w:top w:val="single" w:sz="8" w:color="DBDBDB"/>
            </w:tcBorders>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10.24</w:t>
            </w:r>
          </w:p>
        </w:tc>
        <w:tc>
          <w:tcPr>
            <w:tcW w:w="3660" w:type="dxa"/>
            <w:vAlign w:val="bottom"/>
            <w:gridSpan w:val="27"/>
            <w:shd w:val="clear" w:color="auto" w:fill="DBDBDB"/>
          </w:tcPr>
          <w:p>
            <w:pPr>
              <w:spacing w:after="0" w:line="175" w:lineRule="exact"/>
              <w:rPr>
                <w:rFonts w:ascii="Arial" w:cs="Arial" w:eastAsia="Arial" w:hAnsi="Arial"/>
                <w:sz w:val="16"/>
                <w:szCs w:val="16"/>
                <w:color w:val="0000FF"/>
              </w:rPr>
            </w:pPr>
            <w:hyperlink r:id="rId268">
              <w:r>
                <w:rPr>
                  <w:rFonts w:ascii="Arial" w:cs="Arial" w:eastAsia="Arial" w:hAnsi="Arial"/>
                  <w:sz w:val="16"/>
                  <w:szCs w:val="16"/>
                  <w:color w:val="0000FF"/>
                </w:rPr>
                <w:t>Registration Rights Agreement dated March 9,</w:t>
              </w:r>
            </w:hyperlink>
          </w:p>
        </w:tc>
        <w:tc>
          <w:tcPr>
            <w:tcW w:w="1120" w:type="dxa"/>
            <w:vAlign w:val="bottom"/>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10.2</w:t>
            </w:r>
          </w:p>
        </w:tc>
        <w:tc>
          <w:tcPr>
            <w:tcW w:w="270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9"/>
              </w:rPr>
              <w:t>3/9/2022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340" w:type="dxa"/>
            <w:vAlign w:val="bottom"/>
            <w:tcBorders>
              <w:top w:val="single" w:sz="8" w:color="0000FF"/>
            </w:tcBorders>
            <w:gridSpan w:val="14"/>
            <w:shd w:val="clear" w:color="auto" w:fill="DBDBDB"/>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2022, by and among the Company and Radler</w:t>
              </w:r>
            </w:hyperlink>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DBDBDB"/>
            </w:tcBorders>
            <w:gridSpan w:val="3"/>
            <w:shd w:val="clear" w:color="auto" w:fill="DBDBDB"/>
          </w:tcPr>
          <w:p>
            <w:pPr>
              <w:spacing w:after="0"/>
              <w:rPr>
                <w:sz w:val="12"/>
                <w:szCs w:val="12"/>
                <w:color w:val="auto"/>
              </w:rPr>
            </w:pPr>
          </w:p>
        </w:tc>
        <w:tc>
          <w:tcPr>
            <w:tcW w:w="100" w:type="dxa"/>
            <w:vAlign w:val="bottom"/>
            <w:tcBorders>
              <w:top w:val="single" w:sz="8" w:color="DBDBDB"/>
            </w:tcBorders>
            <w:gridSpan w:val="5"/>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20" w:type="dxa"/>
            <w:vAlign w:val="bottom"/>
            <w:tcBorders>
              <w:top w:val="single" w:sz="8" w:color="0000FF"/>
            </w:tcBorders>
            <w:gridSpan w:val="13"/>
            <w:shd w:val="clear" w:color="auto" w:fill="DBDBDB"/>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2000 Limited Partnership.</w:t>
              </w:r>
            </w:hyperlink>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gridSpan w:val="3"/>
            <w:shd w:val="clear" w:color="auto" w:fill="DBDBDB"/>
          </w:tcPr>
          <w:p>
            <w:pPr>
              <w:spacing w:after="0"/>
              <w:rPr>
                <w:sz w:val="14"/>
                <w:szCs w:val="14"/>
                <w:color w:val="auto"/>
              </w:rPr>
            </w:pPr>
          </w:p>
        </w:tc>
        <w:tc>
          <w:tcPr>
            <w:tcW w:w="100" w:type="dxa"/>
            <w:vAlign w:val="bottom"/>
            <w:tcBorders>
              <w:top w:val="single" w:sz="8" w:color="DBDBDB"/>
            </w:tcBorders>
            <w:gridSpan w:val="5"/>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10.25</w:t>
            </w:r>
          </w:p>
        </w:tc>
        <w:tc>
          <w:tcPr>
            <w:tcW w:w="3660" w:type="dxa"/>
            <w:vAlign w:val="bottom"/>
            <w:tcBorders>
              <w:bottom w:val="single" w:sz="8" w:color="0000FF"/>
            </w:tcBorders>
            <w:gridSpan w:val="27"/>
            <w:shd w:val="clear" w:color="auto" w:fill="DBDBDB"/>
          </w:tcPr>
          <w:p>
            <w:pPr>
              <w:spacing w:after="0" w:line="175" w:lineRule="exact"/>
              <w:rPr>
                <w:rFonts w:ascii="Arial" w:cs="Arial" w:eastAsia="Arial" w:hAnsi="Arial"/>
                <w:sz w:val="16"/>
                <w:szCs w:val="16"/>
                <w:color w:val="0000FF"/>
              </w:rPr>
            </w:pPr>
            <w:hyperlink r:id="rId269">
              <w:r>
                <w:rPr>
                  <w:rFonts w:ascii="Arial" w:cs="Arial" w:eastAsia="Arial" w:hAnsi="Arial"/>
                  <w:sz w:val="16"/>
                  <w:szCs w:val="16"/>
                  <w:color w:val="0000FF"/>
                </w:rPr>
                <w:t>Form of Dealer Manager Agreement in connection</w:t>
              </w:r>
            </w:hyperlink>
          </w:p>
        </w:tc>
        <w:tc>
          <w:tcPr>
            <w:tcW w:w="112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S-4</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10.34</w:t>
            </w:r>
          </w:p>
        </w:tc>
        <w:tc>
          <w:tcPr>
            <w:tcW w:w="2700" w:type="dxa"/>
            <w:vAlign w:val="bottom"/>
            <w:tcBorders>
              <w:bottom w:val="single" w:sz="8" w:color="DBDBDB"/>
            </w:tcBorders>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8/18/2022</w:t>
            </w: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7"/>
            <w:shd w:val="clear" w:color="auto" w:fill="DBDBDB"/>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with exchange offers for Warrants.</w:t>
              </w:r>
            </w:hyperlink>
          </w:p>
        </w:tc>
        <w:tc>
          <w:tcPr>
            <w:tcW w:w="11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507"/>
        </w:trPr>
        <w:tc>
          <w:tcPr>
            <w:tcW w:w="1140" w:type="dxa"/>
            <w:vAlign w:val="bottom"/>
            <w:tcBorders>
              <w:top w:val="single" w:sz="8" w:color="DBDBDB"/>
            </w:tcBorders>
            <w:shd w:val="clear" w:color="auto" w:fill="DBDBDB"/>
          </w:tcPr>
          <w:p>
            <w:pPr>
              <w:spacing w:after="0"/>
              <w:rPr>
                <w:sz w:val="24"/>
                <w:szCs w:val="24"/>
                <w:color w:val="auto"/>
              </w:rPr>
            </w:pPr>
          </w:p>
        </w:tc>
        <w:tc>
          <w:tcPr>
            <w:tcW w:w="360" w:type="dxa"/>
            <w:vAlign w:val="bottom"/>
            <w:tcBorders>
              <w:top w:val="single" w:sz="8" w:color="0000FF"/>
            </w:tcBorders>
            <w:shd w:val="clear" w:color="auto" w:fill="DBDBDB"/>
          </w:tcPr>
          <w:p>
            <w:pPr>
              <w:spacing w:after="0"/>
              <w:rPr>
                <w:sz w:val="24"/>
                <w:szCs w:val="24"/>
                <w:color w:val="auto"/>
              </w:rPr>
            </w:pPr>
          </w:p>
        </w:tc>
        <w:tc>
          <w:tcPr>
            <w:tcW w:w="220" w:type="dxa"/>
            <w:vAlign w:val="bottom"/>
            <w:tcBorders>
              <w:top w:val="single" w:sz="8" w:color="0000FF"/>
            </w:tcBorders>
            <w:shd w:val="clear" w:color="auto" w:fill="DBDBDB"/>
          </w:tcPr>
          <w:p>
            <w:pPr>
              <w:spacing w:after="0"/>
              <w:rPr>
                <w:sz w:val="24"/>
                <w:szCs w:val="24"/>
                <w:color w:val="auto"/>
              </w:rPr>
            </w:pPr>
          </w:p>
        </w:tc>
        <w:tc>
          <w:tcPr>
            <w:tcW w:w="80" w:type="dxa"/>
            <w:vAlign w:val="bottom"/>
            <w:tcBorders>
              <w:top w:val="single" w:sz="8" w:color="0000FF"/>
            </w:tcBorders>
            <w:shd w:val="clear" w:color="auto" w:fill="DBDBDB"/>
          </w:tcPr>
          <w:p>
            <w:pPr>
              <w:spacing w:after="0"/>
              <w:rPr>
                <w:sz w:val="24"/>
                <w:szCs w:val="24"/>
                <w:color w:val="auto"/>
              </w:rPr>
            </w:pPr>
          </w:p>
        </w:tc>
        <w:tc>
          <w:tcPr>
            <w:tcW w:w="420" w:type="dxa"/>
            <w:vAlign w:val="bottom"/>
            <w:tcBorders>
              <w:top w:val="single" w:sz="8" w:color="0000FF"/>
            </w:tcBorders>
            <w:shd w:val="clear" w:color="auto" w:fill="DBDBDB"/>
          </w:tcPr>
          <w:p>
            <w:pPr>
              <w:spacing w:after="0"/>
              <w:rPr>
                <w:sz w:val="24"/>
                <w:szCs w:val="24"/>
                <w:color w:val="auto"/>
              </w:rPr>
            </w:pPr>
          </w:p>
        </w:tc>
        <w:tc>
          <w:tcPr>
            <w:tcW w:w="200" w:type="dxa"/>
            <w:vAlign w:val="bottom"/>
            <w:tcBorders>
              <w:top w:val="single" w:sz="8" w:color="0000FF"/>
            </w:tcBorders>
            <w:shd w:val="clear" w:color="auto" w:fill="DBDBDB"/>
          </w:tcPr>
          <w:p>
            <w:pPr>
              <w:spacing w:after="0"/>
              <w:rPr>
                <w:sz w:val="24"/>
                <w:szCs w:val="24"/>
                <w:color w:val="auto"/>
              </w:rPr>
            </w:pPr>
          </w:p>
        </w:tc>
        <w:tc>
          <w:tcPr>
            <w:tcW w:w="180" w:type="dxa"/>
            <w:vAlign w:val="bottom"/>
            <w:tcBorders>
              <w:top w:val="single" w:sz="8" w:color="0000FF"/>
            </w:tcBorders>
            <w:shd w:val="clear" w:color="auto" w:fill="DBDBDB"/>
          </w:tcPr>
          <w:p>
            <w:pPr>
              <w:spacing w:after="0"/>
              <w:rPr>
                <w:sz w:val="24"/>
                <w:szCs w:val="24"/>
                <w:color w:val="auto"/>
              </w:rPr>
            </w:pPr>
          </w:p>
        </w:tc>
        <w:tc>
          <w:tcPr>
            <w:tcW w:w="380" w:type="dxa"/>
            <w:vAlign w:val="bottom"/>
            <w:tcBorders>
              <w:top w:val="single" w:sz="8" w:color="0000FF"/>
            </w:tcBorders>
            <w:shd w:val="clear" w:color="auto" w:fill="DBDBDB"/>
          </w:tcPr>
          <w:p>
            <w:pPr>
              <w:spacing w:after="0"/>
              <w:rPr>
                <w:sz w:val="24"/>
                <w:szCs w:val="24"/>
                <w:color w:val="auto"/>
              </w:rPr>
            </w:pPr>
          </w:p>
        </w:tc>
        <w:tc>
          <w:tcPr>
            <w:tcW w:w="160" w:type="dxa"/>
            <w:vAlign w:val="bottom"/>
            <w:tcBorders>
              <w:top w:val="single" w:sz="8" w:color="0000FF"/>
            </w:tcBorders>
            <w:shd w:val="clear" w:color="auto" w:fill="DBDBDB"/>
          </w:tcPr>
          <w:p>
            <w:pPr>
              <w:spacing w:after="0"/>
              <w:rPr>
                <w:sz w:val="24"/>
                <w:szCs w:val="24"/>
                <w:color w:val="auto"/>
              </w:rPr>
            </w:pPr>
          </w:p>
        </w:tc>
        <w:tc>
          <w:tcPr>
            <w:tcW w:w="460" w:type="dxa"/>
            <w:vAlign w:val="bottom"/>
            <w:tcBorders>
              <w:top w:val="single" w:sz="8" w:color="0000FF"/>
            </w:tcBorders>
            <w:shd w:val="clear" w:color="auto" w:fill="DBDBDB"/>
          </w:tcPr>
          <w:p>
            <w:pPr>
              <w:spacing w:after="0"/>
              <w:rPr>
                <w:sz w:val="24"/>
                <w:szCs w:val="24"/>
                <w:color w:val="auto"/>
              </w:rPr>
            </w:pPr>
          </w:p>
        </w:tc>
        <w:tc>
          <w:tcPr>
            <w:tcW w:w="50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DBDBDB"/>
              <w:right w:val="single" w:sz="8" w:color="DBDBDB"/>
            </w:tcBorders>
            <w:shd w:val="clear" w:color="auto" w:fill="DBDBDB"/>
          </w:tcPr>
          <w:p>
            <w:pPr>
              <w:spacing w:after="0"/>
              <w:rPr>
                <w:sz w:val="24"/>
                <w:szCs w:val="24"/>
                <w:color w:val="auto"/>
              </w:rPr>
            </w:pPr>
          </w:p>
        </w:tc>
        <w:tc>
          <w:tcPr>
            <w:tcW w:w="18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120" w:type="dxa"/>
            <w:vAlign w:val="bottom"/>
            <w:tcBorders>
              <w:top w:val="single" w:sz="8" w:color="DBDBDB"/>
            </w:tcBorders>
            <w:shd w:val="clear" w:color="auto" w:fill="DBDBDB"/>
          </w:tcPr>
          <w:p>
            <w:pPr>
              <w:spacing w:after="0"/>
              <w:rPr>
                <w:sz w:val="24"/>
                <w:szCs w:val="24"/>
                <w:color w:val="auto"/>
              </w:rPr>
            </w:pPr>
          </w:p>
        </w:tc>
        <w:tc>
          <w:tcPr>
            <w:tcW w:w="1460" w:type="dxa"/>
            <w:vAlign w:val="bottom"/>
            <w:tcBorders>
              <w:top w:val="single" w:sz="8" w:color="DBDBDB"/>
            </w:tcBorders>
            <w:shd w:val="clear" w:color="auto" w:fill="DBDBDB"/>
          </w:tcPr>
          <w:p>
            <w:pPr>
              <w:spacing w:after="0"/>
              <w:rPr>
                <w:sz w:val="24"/>
                <w:szCs w:val="24"/>
                <w:color w:val="auto"/>
              </w:rPr>
            </w:pPr>
          </w:p>
        </w:tc>
        <w:tc>
          <w:tcPr>
            <w:tcW w:w="1060" w:type="dxa"/>
            <w:vAlign w:val="bottom"/>
            <w:tcBorders>
              <w:top w:val="single" w:sz="8" w:color="DBDBDB"/>
            </w:tcBorders>
            <w:shd w:val="clear" w:color="auto" w:fill="DBDBDB"/>
          </w:tcPr>
          <w:p>
            <w:pPr>
              <w:spacing w:after="0"/>
              <w:rPr>
                <w:sz w:val="24"/>
                <w:szCs w:val="24"/>
                <w:color w:val="auto"/>
              </w:rPr>
            </w:pPr>
          </w:p>
        </w:tc>
        <w:tc>
          <w:tcPr>
            <w:tcW w:w="2700" w:type="dxa"/>
            <w:vAlign w:val="bottom"/>
            <w:tcBorders>
              <w:top w:val="single" w:sz="8" w:color="DBDBDB"/>
            </w:tcBorders>
            <w:shd w:val="clear" w:color="auto" w:fill="DBDBDB"/>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10.26</w:t>
            </w:r>
          </w:p>
        </w:tc>
        <w:tc>
          <w:tcPr>
            <w:tcW w:w="3360" w:type="dxa"/>
            <w:vAlign w:val="bottom"/>
            <w:tcBorders>
              <w:bottom w:val="single" w:sz="8" w:color="0000FF"/>
            </w:tcBorders>
            <w:gridSpan w:val="15"/>
            <w:shd w:val="clear" w:color="auto" w:fill="DBDBDB"/>
          </w:tcPr>
          <w:p>
            <w:pPr>
              <w:spacing w:after="0" w:line="175" w:lineRule="exact"/>
              <w:rPr>
                <w:rFonts w:ascii="Arial" w:cs="Arial" w:eastAsia="Arial" w:hAnsi="Arial"/>
                <w:sz w:val="16"/>
                <w:szCs w:val="16"/>
                <w:color w:val="0000FF"/>
              </w:rPr>
            </w:pPr>
            <w:hyperlink r:id="rId270">
              <w:r>
                <w:rPr>
                  <w:rFonts w:ascii="Arial" w:cs="Arial" w:eastAsia="Arial" w:hAnsi="Arial"/>
                  <w:sz w:val="16"/>
                  <w:szCs w:val="16"/>
                  <w:color w:val="0000FF"/>
                </w:rPr>
                <w:t>Form of Tender and Support Agreement, dated</w:t>
              </w:r>
            </w:hyperlink>
          </w:p>
        </w:tc>
        <w:tc>
          <w:tcPr>
            <w:tcW w:w="300" w:type="dxa"/>
            <w:vAlign w:val="bottom"/>
            <w:tcBorders>
              <w:bottom w:val="single" w:sz="8" w:color="DBDBDB"/>
            </w:tcBorders>
            <w:gridSpan w:val="12"/>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9"/>
              </w:rPr>
              <w:t>S-4/A</w:t>
            </w:r>
          </w:p>
        </w:tc>
        <w:tc>
          <w:tcPr>
            <w:tcW w:w="14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rPr>
              <w:t>333-266961</w:t>
            </w:r>
          </w:p>
        </w:tc>
        <w:tc>
          <w:tcPr>
            <w:tcW w:w="1060" w:type="dxa"/>
            <w:vAlign w:val="bottom"/>
            <w:tcBorders>
              <w:bottom w:val="single" w:sz="8" w:color="DBDBDB"/>
            </w:tcBorders>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10.35</w:t>
            </w:r>
          </w:p>
        </w:tc>
        <w:tc>
          <w:tcPr>
            <w:tcW w:w="2700" w:type="dxa"/>
            <w:vAlign w:val="bottom"/>
            <w:tcBorders>
              <w:bottom w:val="single" w:sz="8" w:color="DBDBDB"/>
            </w:tcBorders>
            <w:shd w:val="clear" w:color="auto" w:fill="DBDBDB"/>
          </w:tcPr>
          <w:p>
            <w:pPr>
              <w:jc w:val="center"/>
              <w:ind w:right="1139"/>
              <w:spacing w:after="0" w:line="175" w:lineRule="exact"/>
              <w:rPr>
                <w:sz w:val="20"/>
                <w:szCs w:val="20"/>
                <w:color w:val="auto"/>
              </w:rPr>
            </w:pPr>
            <w:r>
              <w:rPr>
                <w:rFonts w:ascii="Arial" w:cs="Arial" w:eastAsia="Arial" w:hAnsi="Arial"/>
                <w:sz w:val="16"/>
                <w:szCs w:val="16"/>
                <w:color w:val="auto"/>
              </w:rPr>
              <w:t>9/12/2022</w:t>
            </w:r>
          </w:p>
        </w:tc>
      </w:tr>
      <w:tr>
        <w:trPr>
          <w:trHeight w:val="142"/>
        </w:trPr>
        <w:tc>
          <w:tcPr>
            <w:tcW w:w="1140" w:type="dxa"/>
            <w:vAlign w:val="bottom"/>
            <w:shd w:val="clear" w:color="auto" w:fill="DBDBDB"/>
          </w:tcPr>
          <w:p>
            <w:pPr>
              <w:spacing w:after="0"/>
              <w:rPr>
                <w:sz w:val="12"/>
                <w:szCs w:val="12"/>
                <w:color w:val="auto"/>
              </w:rPr>
            </w:pPr>
          </w:p>
        </w:tc>
        <w:tc>
          <w:tcPr>
            <w:tcW w:w="3660" w:type="dxa"/>
            <w:vAlign w:val="bottom"/>
            <w:gridSpan w:val="27"/>
            <w:shd w:val="clear" w:color="auto" w:fill="DBDBDB"/>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September 12, 2022, in connection with exchange</w:t>
              </w:r>
            </w:hyperlink>
          </w:p>
        </w:tc>
        <w:tc>
          <w:tcPr>
            <w:tcW w:w="1120" w:type="dxa"/>
            <w:vAlign w:val="bottom"/>
            <w:shd w:val="clear" w:color="auto" w:fill="DBDBDB"/>
          </w:tcPr>
          <w:p>
            <w:pPr>
              <w:spacing w:after="0"/>
              <w:rPr>
                <w:sz w:val="12"/>
                <w:szCs w:val="12"/>
                <w:color w:val="auto"/>
              </w:rPr>
            </w:pPr>
          </w:p>
        </w:tc>
        <w:tc>
          <w:tcPr>
            <w:tcW w:w="14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70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40" w:type="dxa"/>
            <w:vAlign w:val="bottom"/>
            <w:tcBorders>
              <w:top w:val="single" w:sz="8" w:color="0000FF"/>
            </w:tcBorders>
            <w:gridSpan w:val="26"/>
            <w:shd w:val="clear" w:color="auto" w:fill="DBDBDB"/>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offers for Warrant.</w:t>
              </w:r>
            </w:hyperlink>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507"/>
        </w:trPr>
        <w:tc>
          <w:tcPr>
            <w:tcW w:w="1140" w:type="dxa"/>
            <w:vAlign w:val="bottom"/>
            <w:tcBorders>
              <w:top w:val="single" w:sz="8" w:color="DBDBDB"/>
            </w:tcBorders>
            <w:shd w:val="clear" w:color="auto" w:fill="DBDBDB"/>
          </w:tcPr>
          <w:p>
            <w:pPr>
              <w:spacing w:after="0"/>
              <w:rPr>
                <w:sz w:val="24"/>
                <w:szCs w:val="24"/>
                <w:color w:val="auto"/>
              </w:rPr>
            </w:pPr>
          </w:p>
        </w:tc>
        <w:tc>
          <w:tcPr>
            <w:tcW w:w="360" w:type="dxa"/>
            <w:vAlign w:val="bottom"/>
            <w:tcBorders>
              <w:top w:val="single" w:sz="8" w:color="0000FF"/>
            </w:tcBorders>
            <w:shd w:val="clear" w:color="auto" w:fill="DBDBDB"/>
          </w:tcPr>
          <w:p>
            <w:pPr>
              <w:spacing w:after="0"/>
              <w:rPr>
                <w:sz w:val="24"/>
                <w:szCs w:val="24"/>
                <w:color w:val="auto"/>
              </w:rPr>
            </w:pPr>
          </w:p>
        </w:tc>
        <w:tc>
          <w:tcPr>
            <w:tcW w:w="220" w:type="dxa"/>
            <w:vAlign w:val="bottom"/>
            <w:tcBorders>
              <w:top w:val="single" w:sz="8" w:color="0000FF"/>
            </w:tcBorders>
            <w:shd w:val="clear" w:color="auto" w:fill="DBDBDB"/>
          </w:tcPr>
          <w:p>
            <w:pPr>
              <w:spacing w:after="0"/>
              <w:rPr>
                <w:sz w:val="24"/>
                <w:szCs w:val="24"/>
                <w:color w:val="auto"/>
              </w:rPr>
            </w:pPr>
          </w:p>
        </w:tc>
        <w:tc>
          <w:tcPr>
            <w:tcW w:w="80" w:type="dxa"/>
            <w:vAlign w:val="bottom"/>
            <w:tcBorders>
              <w:top w:val="single" w:sz="8" w:color="0000FF"/>
            </w:tcBorders>
            <w:shd w:val="clear" w:color="auto" w:fill="DBDBDB"/>
          </w:tcPr>
          <w:p>
            <w:pPr>
              <w:spacing w:after="0"/>
              <w:rPr>
                <w:sz w:val="24"/>
                <w:szCs w:val="24"/>
                <w:color w:val="auto"/>
              </w:rPr>
            </w:pPr>
          </w:p>
        </w:tc>
        <w:tc>
          <w:tcPr>
            <w:tcW w:w="420" w:type="dxa"/>
            <w:vAlign w:val="bottom"/>
            <w:tcBorders>
              <w:top w:val="single" w:sz="8" w:color="0000FF"/>
            </w:tcBorders>
            <w:shd w:val="clear" w:color="auto" w:fill="DBDBDB"/>
          </w:tcPr>
          <w:p>
            <w:pPr>
              <w:spacing w:after="0"/>
              <w:rPr>
                <w:sz w:val="24"/>
                <w:szCs w:val="24"/>
                <w:color w:val="auto"/>
              </w:rPr>
            </w:pPr>
          </w:p>
        </w:tc>
        <w:tc>
          <w:tcPr>
            <w:tcW w:w="200" w:type="dxa"/>
            <w:vAlign w:val="bottom"/>
            <w:tcBorders>
              <w:top w:val="single" w:sz="8" w:color="0000FF"/>
            </w:tcBorders>
            <w:shd w:val="clear" w:color="auto" w:fill="DBDBDB"/>
          </w:tcPr>
          <w:p>
            <w:pPr>
              <w:spacing w:after="0"/>
              <w:rPr>
                <w:sz w:val="24"/>
                <w:szCs w:val="24"/>
                <w:color w:val="auto"/>
              </w:rPr>
            </w:pPr>
          </w:p>
        </w:tc>
        <w:tc>
          <w:tcPr>
            <w:tcW w:w="180" w:type="dxa"/>
            <w:vAlign w:val="bottom"/>
            <w:tcBorders>
              <w:top w:val="single" w:sz="8" w:color="DBDBDB"/>
            </w:tcBorders>
            <w:shd w:val="clear" w:color="auto" w:fill="DBDBDB"/>
          </w:tcPr>
          <w:p>
            <w:pPr>
              <w:spacing w:after="0"/>
              <w:rPr>
                <w:sz w:val="24"/>
                <w:szCs w:val="24"/>
                <w:color w:val="auto"/>
              </w:rPr>
            </w:pPr>
          </w:p>
        </w:tc>
        <w:tc>
          <w:tcPr>
            <w:tcW w:w="380" w:type="dxa"/>
            <w:vAlign w:val="bottom"/>
            <w:tcBorders>
              <w:top w:val="single" w:sz="8" w:color="DBDBDB"/>
            </w:tcBorders>
            <w:shd w:val="clear" w:color="auto" w:fill="DBDBDB"/>
          </w:tcPr>
          <w:p>
            <w:pPr>
              <w:spacing w:after="0"/>
              <w:rPr>
                <w:sz w:val="24"/>
                <w:szCs w:val="24"/>
                <w:color w:val="auto"/>
              </w:rPr>
            </w:pPr>
          </w:p>
        </w:tc>
        <w:tc>
          <w:tcPr>
            <w:tcW w:w="160" w:type="dxa"/>
            <w:vAlign w:val="bottom"/>
            <w:tcBorders>
              <w:top w:val="single" w:sz="8" w:color="DBDBDB"/>
            </w:tcBorders>
            <w:shd w:val="clear" w:color="auto" w:fill="DBDBDB"/>
          </w:tcPr>
          <w:p>
            <w:pPr>
              <w:spacing w:after="0"/>
              <w:rPr>
                <w:sz w:val="24"/>
                <w:szCs w:val="24"/>
                <w:color w:val="auto"/>
              </w:rPr>
            </w:pPr>
          </w:p>
        </w:tc>
        <w:tc>
          <w:tcPr>
            <w:tcW w:w="460" w:type="dxa"/>
            <w:vAlign w:val="bottom"/>
            <w:tcBorders>
              <w:top w:val="single" w:sz="8" w:color="DBDBDB"/>
            </w:tcBorders>
            <w:shd w:val="clear" w:color="auto" w:fill="DBDBDB"/>
          </w:tcPr>
          <w:p>
            <w:pPr>
              <w:spacing w:after="0"/>
              <w:rPr>
                <w:sz w:val="24"/>
                <w:szCs w:val="24"/>
                <w:color w:val="auto"/>
              </w:rPr>
            </w:pPr>
          </w:p>
        </w:tc>
        <w:tc>
          <w:tcPr>
            <w:tcW w:w="500" w:type="dxa"/>
            <w:vAlign w:val="bottom"/>
            <w:tcBorders>
              <w:top w:val="single" w:sz="8" w:color="DBDBDB"/>
            </w:tcBorders>
            <w:shd w:val="clear" w:color="auto" w:fill="DBDBDB"/>
          </w:tcPr>
          <w:p>
            <w:pPr>
              <w:spacing w:after="0"/>
              <w:rPr>
                <w:sz w:val="24"/>
                <w:szCs w:val="24"/>
                <w:color w:val="auto"/>
              </w:rPr>
            </w:pPr>
          </w:p>
        </w:tc>
        <w:tc>
          <w:tcPr>
            <w:tcW w:w="100" w:type="dxa"/>
            <w:vAlign w:val="bottom"/>
            <w:tcBorders>
              <w:top w:val="single" w:sz="8" w:color="DBDBDB"/>
              <w:right w:val="single" w:sz="8" w:color="DBDBDB"/>
            </w:tcBorders>
            <w:shd w:val="clear" w:color="auto" w:fill="DBDBDB"/>
          </w:tcPr>
          <w:p>
            <w:pPr>
              <w:spacing w:after="0"/>
              <w:rPr>
                <w:sz w:val="24"/>
                <w:szCs w:val="24"/>
                <w:color w:val="auto"/>
              </w:rPr>
            </w:pPr>
          </w:p>
        </w:tc>
        <w:tc>
          <w:tcPr>
            <w:tcW w:w="180" w:type="dxa"/>
            <w:vAlign w:val="bottom"/>
            <w:tcBorders>
              <w:top w:val="single" w:sz="8" w:color="DBDBDB"/>
              <w:right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8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20" w:type="dxa"/>
            <w:vAlign w:val="bottom"/>
            <w:tcBorders>
              <w:top w:val="single" w:sz="8" w:color="DBDBDB"/>
            </w:tcBorders>
            <w:shd w:val="clear" w:color="auto" w:fill="DBDBDB"/>
          </w:tcPr>
          <w:p>
            <w:pPr>
              <w:spacing w:after="0"/>
              <w:rPr>
                <w:sz w:val="24"/>
                <w:szCs w:val="24"/>
                <w:color w:val="auto"/>
              </w:rPr>
            </w:pPr>
          </w:p>
        </w:tc>
        <w:tc>
          <w:tcPr>
            <w:tcW w:w="1120" w:type="dxa"/>
            <w:vAlign w:val="bottom"/>
            <w:tcBorders>
              <w:top w:val="single" w:sz="8" w:color="DBDBDB"/>
            </w:tcBorders>
            <w:shd w:val="clear" w:color="auto" w:fill="DBDBDB"/>
          </w:tcPr>
          <w:p>
            <w:pPr>
              <w:spacing w:after="0"/>
              <w:rPr>
                <w:sz w:val="24"/>
                <w:szCs w:val="24"/>
                <w:color w:val="auto"/>
              </w:rPr>
            </w:pPr>
          </w:p>
        </w:tc>
        <w:tc>
          <w:tcPr>
            <w:tcW w:w="1460" w:type="dxa"/>
            <w:vAlign w:val="bottom"/>
            <w:tcBorders>
              <w:top w:val="single" w:sz="8" w:color="DBDBDB"/>
            </w:tcBorders>
            <w:shd w:val="clear" w:color="auto" w:fill="DBDBDB"/>
          </w:tcPr>
          <w:p>
            <w:pPr>
              <w:spacing w:after="0"/>
              <w:rPr>
                <w:sz w:val="24"/>
                <w:szCs w:val="24"/>
                <w:color w:val="auto"/>
              </w:rPr>
            </w:pPr>
          </w:p>
        </w:tc>
        <w:tc>
          <w:tcPr>
            <w:tcW w:w="1060" w:type="dxa"/>
            <w:vAlign w:val="bottom"/>
            <w:tcBorders>
              <w:top w:val="single" w:sz="8" w:color="DBDBDB"/>
            </w:tcBorders>
            <w:shd w:val="clear" w:color="auto" w:fill="DBDBDB"/>
          </w:tcPr>
          <w:p>
            <w:pPr>
              <w:spacing w:after="0"/>
              <w:rPr>
                <w:sz w:val="24"/>
                <w:szCs w:val="24"/>
                <w:color w:val="auto"/>
              </w:rPr>
            </w:pPr>
          </w:p>
        </w:tc>
        <w:tc>
          <w:tcPr>
            <w:tcW w:w="2700" w:type="dxa"/>
            <w:vAlign w:val="bottom"/>
            <w:tcBorders>
              <w:top w:val="single" w:sz="8" w:color="DBDBDB"/>
            </w:tcBorders>
            <w:shd w:val="clear" w:color="auto" w:fill="DBDBDB"/>
          </w:tcPr>
          <w:p>
            <w:pPr>
              <w:spacing w:after="0"/>
              <w:rPr>
                <w:sz w:val="24"/>
                <w:szCs w:val="24"/>
                <w:color w:val="auto"/>
              </w:rPr>
            </w:pPr>
          </w:p>
        </w:tc>
      </w:tr>
      <w:tr>
        <w:trPr>
          <w:trHeight w:val="94"/>
        </w:trPr>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700" w:type="dxa"/>
            <w:vAlign w:val="bottom"/>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10.27</w:t>
            </w:r>
          </w:p>
        </w:tc>
        <w:tc>
          <w:tcPr>
            <w:tcW w:w="3660" w:type="dxa"/>
            <w:vAlign w:val="bottom"/>
            <w:gridSpan w:val="27"/>
            <w:shd w:val="clear" w:color="auto" w:fill="DBDBDB"/>
          </w:tcPr>
          <w:p>
            <w:pPr>
              <w:spacing w:after="0" w:line="175" w:lineRule="exact"/>
              <w:rPr>
                <w:rFonts w:ascii="Arial" w:cs="Arial" w:eastAsia="Arial" w:hAnsi="Arial"/>
                <w:sz w:val="16"/>
                <w:szCs w:val="16"/>
                <w:color w:val="0000FF"/>
              </w:rPr>
            </w:pPr>
            <w:hyperlink r:id="rId271">
              <w:r>
                <w:rPr>
                  <w:rFonts w:ascii="Arial" w:cs="Arial" w:eastAsia="Arial" w:hAnsi="Arial"/>
                  <w:sz w:val="16"/>
                  <w:szCs w:val="16"/>
                  <w:color w:val="0000FF"/>
                </w:rPr>
                <w:t>Credit Agreement, dated as of December 9, 2022,</w:t>
              </w:r>
            </w:hyperlink>
          </w:p>
        </w:tc>
        <w:tc>
          <w:tcPr>
            <w:tcW w:w="1120" w:type="dxa"/>
            <w:vAlign w:val="bottom"/>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rPr>
              <w:t>12/12/2022</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600" w:type="dxa"/>
            <w:vAlign w:val="bottom"/>
            <w:tcBorders>
              <w:top w:val="single" w:sz="8" w:color="0000FF"/>
            </w:tcBorders>
            <w:gridSpan w:val="24"/>
            <w:shd w:val="clear" w:color="auto" w:fill="DBDBDB"/>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among Chesapeake Energy Corporation, as</w:t>
              </w:r>
            </w:hyperlink>
          </w:p>
        </w:tc>
        <w:tc>
          <w:tcPr>
            <w:tcW w:w="60" w:type="dxa"/>
            <w:vAlign w:val="bottom"/>
            <w:tcBorders>
              <w:top w:val="single" w:sz="8" w:color="DBDBDB"/>
            </w:tcBorders>
            <w:gridSpan w:val="3"/>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240" w:type="dxa"/>
            <w:vAlign w:val="bottom"/>
            <w:tcBorders>
              <w:top w:val="single" w:sz="8" w:color="0000FF"/>
              <w:right w:val="single" w:sz="8" w:color="DBDBDB"/>
            </w:tcBorders>
            <w:gridSpan w:val="12"/>
            <w:shd w:val="clear" w:color="auto" w:fill="DBDBDB"/>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borrower, JPMorgan Chase Bank, N.A., as</w:t>
              </w:r>
            </w:hyperlink>
          </w:p>
        </w:tc>
        <w:tc>
          <w:tcPr>
            <w:tcW w:w="140" w:type="dxa"/>
            <w:vAlign w:val="bottom"/>
            <w:tcBorders>
              <w:top w:val="single" w:sz="8" w:color="DBDBDB"/>
            </w:tcBorders>
            <w:gridSpan w:val="4"/>
            <w:shd w:val="clear" w:color="auto" w:fill="DBDBDB"/>
          </w:tcPr>
          <w:p>
            <w:pPr>
              <w:spacing w:after="0"/>
              <w:rPr>
                <w:sz w:val="12"/>
                <w:szCs w:val="12"/>
                <w:color w:val="auto"/>
              </w:rPr>
            </w:pPr>
          </w:p>
        </w:tc>
        <w:tc>
          <w:tcPr>
            <w:tcW w:w="120" w:type="dxa"/>
            <w:vAlign w:val="bottom"/>
            <w:tcBorders>
              <w:top w:val="single" w:sz="8" w:color="DBDBDB"/>
            </w:tcBorders>
            <w:gridSpan w:val="3"/>
            <w:shd w:val="clear" w:color="auto" w:fill="DBDBDB"/>
          </w:tcPr>
          <w:p>
            <w:pPr>
              <w:spacing w:after="0"/>
              <w:rPr>
                <w:sz w:val="12"/>
                <w:szCs w:val="12"/>
                <w:color w:val="auto"/>
              </w:rPr>
            </w:pPr>
          </w:p>
        </w:tc>
        <w:tc>
          <w:tcPr>
            <w:tcW w:w="160" w:type="dxa"/>
            <w:vAlign w:val="bottom"/>
            <w:tcBorders>
              <w:top w:val="single" w:sz="8" w:color="DBDBDB"/>
            </w:tcBorders>
            <w:gridSpan w:val="8"/>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060" w:type="dxa"/>
            <w:vAlign w:val="bottom"/>
            <w:tcBorders>
              <w:top w:val="single" w:sz="8" w:color="0000FF"/>
              <w:right w:val="single" w:sz="8" w:color="DBDBDB"/>
            </w:tcBorders>
            <w:gridSpan w:val="11"/>
            <w:shd w:val="clear" w:color="auto" w:fill="DBDBDB"/>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administrative agent, and the lenders and</w:t>
              </w:r>
            </w:hyperlink>
          </w:p>
        </w:tc>
        <w:tc>
          <w:tcPr>
            <w:tcW w:w="600" w:type="dxa"/>
            <w:vAlign w:val="bottom"/>
            <w:tcBorders>
              <w:top w:val="single" w:sz="8" w:color="DBDBDB"/>
            </w:tcBorders>
            <w:gridSpan w:val="16"/>
            <w:shd w:val="clear" w:color="auto" w:fill="DBDBDB"/>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other</w:t>
              </w:r>
            </w:hyperlink>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80" w:type="dxa"/>
            <w:vAlign w:val="bottom"/>
            <w:tcBorders>
              <w:top w:val="single" w:sz="8" w:color="0000FF"/>
            </w:tcBorders>
            <w:gridSpan w:val="16"/>
            <w:shd w:val="clear" w:color="auto" w:fill="DBDBDB"/>
          </w:tcPr>
          <w:p>
            <w:pPr>
              <w:spacing w:after="0" w:line="142" w:lineRule="exact"/>
              <w:rPr>
                <w:rFonts w:ascii="Arial" w:cs="Arial" w:eastAsia="Arial" w:hAnsi="Arial"/>
                <w:sz w:val="16"/>
                <w:szCs w:val="16"/>
                <w:color w:val="0000FF"/>
              </w:rPr>
            </w:pPr>
            <w:hyperlink r:id="rId271">
              <w:r>
                <w:rPr>
                  <w:rFonts w:ascii="Arial" w:cs="Arial" w:eastAsia="Arial" w:hAnsi="Arial"/>
                  <w:sz w:val="16"/>
                  <w:szCs w:val="16"/>
                  <w:color w:val="0000FF"/>
                </w:rPr>
                <w:t>parties thereto.</w:t>
              </w:r>
            </w:hyperlink>
          </w:p>
        </w:tc>
        <w:tc>
          <w:tcPr>
            <w:tcW w:w="120" w:type="dxa"/>
            <w:vAlign w:val="bottom"/>
            <w:tcBorders>
              <w:top w:val="single" w:sz="8" w:color="DBDBDB"/>
            </w:tcBorders>
            <w:gridSpan w:val="3"/>
            <w:shd w:val="clear" w:color="auto" w:fill="DBDBDB"/>
          </w:tcPr>
          <w:p>
            <w:pPr>
              <w:spacing w:after="0"/>
              <w:rPr>
                <w:sz w:val="14"/>
                <w:szCs w:val="14"/>
                <w:color w:val="auto"/>
              </w:rPr>
            </w:pPr>
          </w:p>
        </w:tc>
        <w:tc>
          <w:tcPr>
            <w:tcW w:w="160" w:type="dxa"/>
            <w:vAlign w:val="bottom"/>
            <w:tcBorders>
              <w:top w:val="single" w:sz="8" w:color="DBDBDB"/>
            </w:tcBorders>
            <w:gridSpan w:val="8"/>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3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10.28†</w:t>
            </w:r>
          </w:p>
        </w:tc>
        <w:tc>
          <w:tcPr>
            <w:tcW w:w="3660" w:type="dxa"/>
            <w:vAlign w:val="bottom"/>
            <w:gridSpan w:val="27"/>
            <w:shd w:val="clear" w:color="auto" w:fill="DBDBDB"/>
          </w:tcPr>
          <w:p>
            <w:pPr>
              <w:spacing w:after="0" w:line="175" w:lineRule="exact"/>
              <w:rPr>
                <w:rFonts w:ascii="Arial" w:cs="Arial" w:eastAsia="Arial" w:hAnsi="Arial"/>
                <w:sz w:val="16"/>
                <w:szCs w:val="16"/>
                <w:color w:val="0000FF"/>
              </w:rPr>
            </w:pPr>
            <w:hyperlink r:id="rId272">
              <w:r>
                <w:rPr>
                  <w:rFonts w:ascii="Arial" w:cs="Arial" w:eastAsia="Arial" w:hAnsi="Arial"/>
                  <w:sz w:val="16"/>
                  <w:szCs w:val="16"/>
                  <w:color w:val="0000FF"/>
                </w:rPr>
                <w:t>Form of Chesapeake Energy Corporation</w:t>
              </w:r>
            </w:hyperlink>
          </w:p>
        </w:tc>
        <w:tc>
          <w:tcPr>
            <w:tcW w:w="1120" w:type="dxa"/>
            <w:vAlign w:val="bottom"/>
            <w:shd w:val="clear" w:color="auto" w:fill="DBDBDB"/>
          </w:tcPr>
          <w:p>
            <w:pPr>
              <w:jc w:val="center"/>
              <w:ind w:left="39"/>
              <w:spacing w:after="0" w:line="175" w:lineRule="exact"/>
              <w:rPr>
                <w:sz w:val="20"/>
                <w:szCs w:val="20"/>
                <w:color w:val="auto"/>
              </w:rPr>
            </w:pPr>
            <w:r>
              <w:rPr>
                <w:rFonts w:ascii="Arial" w:cs="Arial" w:eastAsia="Arial" w:hAnsi="Arial"/>
                <w:sz w:val="16"/>
                <w:szCs w:val="16"/>
                <w:color w:val="auto"/>
                <w:w w:val="96"/>
              </w:rPr>
              <w:t>8-K</w:t>
            </w:r>
          </w:p>
        </w:tc>
        <w:tc>
          <w:tcPr>
            <w:tcW w:w="14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9"/>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700" w:type="dxa"/>
            <w:vAlign w:val="bottom"/>
            <w:shd w:val="clear" w:color="auto" w:fill="DBDBDB"/>
          </w:tcPr>
          <w:p>
            <w:pPr>
              <w:jc w:val="center"/>
              <w:ind w:right="1119"/>
              <w:spacing w:after="0" w:line="175" w:lineRule="exact"/>
              <w:rPr>
                <w:sz w:val="20"/>
                <w:szCs w:val="20"/>
                <w:color w:val="auto"/>
              </w:rPr>
            </w:pPr>
            <w:r>
              <w:rPr>
                <w:rFonts w:ascii="Arial" w:cs="Arial" w:eastAsia="Arial" w:hAnsi="Arial"/>
                <w:sz w:val="16"/>
                <w:szCs w:val="16"/>
                <w:color w:val="auto"/>
                <w:w w:val="98"/>
              </w:rPr>
              <w:t>1/11/2024</w:t>
            </w:r>
          </w:p>
        </w:tc>
      </w:tr>
      <w:tr>
        <w:trPr>
          <w:trHeight w:val="162"/>
        </w:trPr>
        <w:tc>
          <w:tcPr>
            <w:tcW w:w="1140" w:type="dxa"/>
            <w:vAlign w:val="bottom"/>
            <w:tcBorders>
              <w:top w:val="single" w:sz="8" w:color="DBDBDB"/>
            </w:tcBorders>
            <w:shd w:val="clear" w:color="auto" w:fill="DBDBDB"/>
          </w:tcPr>
          <w:p>
            <w:pPr>
              <w:spacing w:after="0"/>
              <w:rPr>
                <w:sz w:val="14"/>
                <w:szCs w:val="14"/>
                <w:color w:val="auto"/>
              </w:rPr>
            </w:pPr>
          </w:p>
        </w:tc>
        <w:tc>
          <w:tcPr>
            <w:tcW w:w="2960" w:type="dxa"/>
            <w:vAlign w:val="bottom"/>
            <w:tcBorders>
              <w:top w:val="single" w:sz="8" w:color="0000FF"/>
            </w:tcBorders>
            <w:gridSpan w:val="10"/>
            <w:shd w:val="clear" w:color="auto" w:fill="DBDBDB"/>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Executive Letter Agreement</w:t>
              </w:r>
            </w:hyperlink>
          </w:p>
        </w:tc>
        <w:tc>
          <w:tcPr>
            <w:tcW w:w="540" w:type="dxa"/>
            <w:vAlign w:val="bottom"/>
            <w:tcBorders>
              <w:top w:val="single" w:sz="8" w:color="DBDBDB"/>
            </w:tcBorders>
            <w:gridSpan w:val="9"/>
            <w:shd w:val="clear" w:color="auto" w:fill="DBDBDB"/>
          </w:tcPr>
          <w:p>
            <w:pPr>
              <w:spacing w:after="0"/>
              <w:rPr>
                <w:sz w:val="14"/>
                <w:szCs w:val="14"/>
                <w:color w:val="auto"/>
              </w:rPr>
            </w:pPr>
          </w:p>
        </w:tc>
        <w:tc>
          <w:tcPr>
            <w:tcW w:w="160" w:type="dxa"/>
            <w:vAlign w:val="bottom"/>
            <w:tcBorders>
              <w:top w:val="single" w:sz="8" w:color="DBDBDB"/>
            </w:tcBorders>
            <w:gridSpan w:val="8"/>
            <w:shd w:val="clear" w:color="auto" w:fill="DBDBDB"/>
          </w:tcPr>
          <w:p>
            <w:pPr>
              <w:spacing w:after="0"/>
              <w:rPr>
                <w:sz w:val="14"/>
                <w:szCs w:val="14"/>
                <w:color w:val="auto"/>
              </w:rPr>
            </w:pPr>
          </w:p>
        </w:tc>
        <w:tc>
          <w:tcPr>
            <w:tcW w:w="1120" w:type="dxa"/>
            <w:vAlign w:val="bottom"/>
            <w:tcBorders>
              <w:top w:val="single" w:sz="8" w:color="DBDBDB"/>
            </w:tcBorders>
            <w:shd w:val="clear" w:color="auto" w:fill="DBDBDB"/>
          </w:tcPr>
          <w:p>
            <w:pPr>
              <w:spacing w:after="0"/>
              <w:rPr>
                <w:sz w:val="14"/>
                <w:szCs w:val="14"/>
                <w:color w:val="auto"/>
              </w:rPr>
            </w:pPr>
          </w:p>
        </w:tc>
        <w:tc>
          <w:tcPr>
            <w:tcW w:w="146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70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4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60" w:type="dxa"/>
            <w:vAlign w:val="bottom"/>
            <w:tcBorders>
              <w:top w:val="single" w:sz="8" w:color="DBDBDB"/>
            </w:tcBorders>
          </w:tcPr>
          <w:p>
            <w:pPr>
              <w:spacing w:after="0"/>
              <w:rPr>
                <w:sz w:val="8"/>
                <w:szCs w:val="8"/>
                <w:color w:val="auto"/>
              </w:rPr>
            </w:pPr>
          </w:p>
        </w:tc>
        <w:tc>
          <w:tcPr>
            <w:tcW w:w="500" w:type="dxa"/>
            <w:vAlign w:val="bottom"/>
            <w:tcBorders>
              <w:top w:val="single" w:sz="8" w:color="DBDBDB"/>
            </w:tcBorders>
          </w:tcPr>
          <w:p>
            <w:pPr>
              <w:spacing w:after="0"/>
              <w:rPr>
                <w:sz w:val="8"/>
                <w:szCs w:val="8"/>
                <w:color w:val="auto"/>
              </w:rPr>
            </w:pPr>
          </w:p>
        </w:tc>
        <w:tc>
          <w:tcPr>
            <w:tcW w:w="10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20" w:type="dxa"/>
            <w:vAlign w:val="bottom"/>
            <w:tcBorders>
              <w:top w:val="single" w:sz="8" w:color="DBDBDB"/>
            </w:tcBorders>
          </w:tcPr>
          <w:p>
            <w:pPr>
              <w:spacing w:after="0"/>
              <w:rPr>
                <w:sz w:val="8"/>
                <w:szCs w:val="8"/>
                <w:color w:val="auto"/>
              </w:rPr>
            </w:pPr>
          </w:p>
        </w:tc>
        <w:tc>
          <w:tcPr>
            <w:tcW w:w="146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70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10.29†</w:t>
            </w:r>
          </w:p>
        </w:tc>
        <w:tc>
          <w:tcPr>
            <w:tcW w:w="3660" w:type="dxa"/>
            <w:vAlign w:val="bottom"/>
            <w:gridSpan w:val="27"/>
            <w:shd w:val="clear" w:color="auto" w:fill="DBDBDB"/>
          </w:tcPr>
          <w:p>
            <w:pPr>
              <w:spacing w:after="0" w:line="175" w:lineRule="exact"/>
              <w:rPr>
                <w:sz w:val="20"/>
                <w:szCs w:val="20"/>
                <w:color w:val="auto"/>
              </w:rPr>
            </w:pPr>
            <w:r>
              <w:rPr>
                <w:rFonts w:ascii="Arial" w:cs="Arial" w:eastAsia="Arial" w:hAnsi="Arial"/>
                <w:sz w:val="16"/>
                <w:szCs w:val="16"/>
                <w:color w:val="0000FF"/>
              </w:rPr>
              <w:t>Letter Agreement with Chris Lacy, dated October</w:t>
            </w:r>
          </w:p>
        </w:tc>
        <w:tc>
          <w:tcPr>
            <w:tcW w:w="11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70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0000FF"/>
            </w:tcBorders>
            <w:gridSpan w:val="4"/>
            <w:shd w:val="clear" w:color="auto" w:fill="DBDBDB"/>
          </w:tcPr>
          <w:p>
            <w:pPr>
              <w:spacing w:after="0" w:line="142" w:lineRule="exact"/>
              <w:rPr>
                <w:sz w:val="20"/>
                <w:szCs w:val="20"/>
                <w:color w:val="auto"/>
              </w:rPr>
            </w:pPr>
            <w:r>
              <w:rPr>
                <w:rFonts w:ascii="Arial" w:cs="Arial" w:eastAsia="Arial" w:hAnsi="Arial"/>
                <w:sz w:val="16"/>
                <w:szCs w:val="16"/>
                <w:color w:val="0000FF"/>
              </w:rPr>
              <w:t>11, 2024.</w:t>
            </w:r>
          </w:p>
        </w:tc>
        <w:tc>
          <w:tcPr>
            <w:tcW w:w="200" w:type="dxa"/>
            <w:vAlign w:val="bottom"/>
            <w:tcBorders>
              <w:top w:val="single" w:sz="8" w:color="0000FF"/>
            </w:tcBorders>
            <w:shd w:val="clear" w:color="auto" w:fill="DBDBDB"/>
          </w:tcPr>
          <w:p>
            <w:pPr>
              <w:spacing w:after="0"/>
              <w:rPr>
                <w:sz w:val="12"/>
                <w:szCs w:val="12"/>
                <w:color w:val="auto"/>
              </w:rPr>
            </w:pPr>
          </w:p>
        </w:tc>
        <w:tc>
          <w:tcPr>
            <w:tcW w:w="180" w:type="dxa"/>
            <w:vAlign w:val="bottom"/>
            <w:tcBorders>
              <w:top w:val="single" w:sz="8" w:color="0000FF"/>
            </w:tcBorders>
            <w:shd w:val="clear" w:color="auto" w:fill="DBDBDB"/>
          </w:tcPr>
          <w:p>
            <w:pPr>
              <w:spacing w:after="0"/>
              <w:rPr>
                <w:sz w:val="12"/>
                <w:szCs w:val="12"/>
                <w:color w:val="auto"/>
              </w:rPr>
            </w:pPr>
          </w:p>
        </w:tc>
        <w:tc>
          <w:tcPr>
            <w:tcW w:w="380" w:type="dxa"/>
            <w:vAlign w:val="bottom"/>
            <w:tcBorders>
              <w:top w:val="single" w:sz="8" w:color="0000FF"/>
            </w:tcBorders>
            <w:shd w:val="clear" w:color="auto" w:fill="DBDBDB"/>
          </w:tcPr>
          <w:p>
            <w:pPr>
              <w:spacing w:after="0"/>
              <w:rPr>
                <w:sz w:val="12"/>
                <w:szCs w:val="12"/>
                <w:color w:val="auto"/>
              </w:rPr>
            </w:pPr>
          </w:p>
        </w:tc>
        <w:tc>
          <w:tcPr>
            <w:tcW w:w="160" w:type="dxa"/>
            <w:vAlign w:val="bottom"/>
            <w:tcBorders>
              <w:top w:val="single" w:sz="8" w:color="0000FF"/>
            </w:tcBorders>
            <w:shd w:val="clear" w:color="auto" w:fill="DBDBDB"/>
          </w:tcPr>
          <w:p>
            <w:pPr>
              <w:spacing w:after="0"/>
              <w:rPr>
                <w:sz w:val="12"/>
                <w:szCs w:val="12"/>
                <w:color w:val="auto"/>
              </w:rPr>
            </w:pPr>
          </w:p>
        </w:tc>
        <w:tc>
          <w:tcPr>
            <w:tcW w:w="460" w:type="dxa"/>
            <w:vAlign w:val="bottom"/>
            <w:tcBorders>
              <w:top w:val="single" w:sz="8" w:color="0000FF"/>
            </w:tcBorders>
            <w:shd w:val="clear" w:color="auto" w:fill="DBDBDB"/>
          </w:tcPr>
          <w:p>
            <w:pPr>
              <w:spacing w:after="0"/>
              <w:rPr>
                <w:sz w:val="12"/>
                <w:szCs w:val="12"/>
                <w:color w:val="auto"/>
              </w:rPr>
            </w:pPr>
          </w:p>
        </w:tc>
        <w:tc>
          <w:tcPr>
            <w:tcW w:w="500" w:type="dxa"/>
            <w:vAlign w:val="bottom"/>
            <w:tcBorders>
              <w:top w:val="single" w:sz="8" w:color="0000FF"/>
            </w:tcBorders>
            <w:shd w:val="clear" w:color="auto" w:fill="DBDBDB"/>
          </w:tcPr>
          <w:p>
            <w:pPr>
              <w:spacing w:after="0"/>
              <w:rPr>
                <w:sz w:val="12"/>
                <w:szCs w:val="12"/>
                <w:color w:val="auto"/>
              </w:rPr>
            </w:pPr>
          </w:p>
        </w:tc>
        <w:tc>
          <w:tcPr>
            <w:tcW w:w="100" w:type="dxa"/>
            <w:vAlign w:val="bottom"/>
            <w:tcBorders>
              <w:top w:val="single" w:sz="8" w:color="0000FF"/>
              <w:right w:val="single" w:sz="8" w:color="DBDBDB"/>
            </w:tcBorders>
            <w:shd w:val="clear" w:color="auto" w:fill="DBDBDB"/>
          </w:tcPr>
          <w:p>
            <w:pPr>
              <w:spacing w:after="0"/>
              <w:rPr>
                <w:sz w:val="12"/>
                <w:szCs w:val="12"/>
                <w:color w:val="auto"/>
              </w:rPr>
            </w:pPr>
          </w:p>
        </w:tc>
        <w:tc>
          <w:tcPr>
            <w:tcW w:w="180" w:type="dxa"/>
            <w:vAlign w:val="bottom"/>
            <w:tcBorders>
              <w:top w:val="single" w:sz="8" w:color="0000FF"/>
              <w:right w:val="single" w:sz="8" w:color="DBDBDB"/>
            </w:tcBorders>
            <w:shd w:val="clear" w:color="auto" w:fill="DBDBDB"/>
          </w:tcPr>
          <w:p>
            <w:pPr>
              <w:spacing w:after="0"/>
              <w:rPr>
                <w:sz w:val="12"/>
                <w:szCs w:val="12"/>
                <w:color w:val="auto"/>
              </w:rPr>
            </w:pPr>
          </w:p>
        </w:tc>
        <w:tc>
          <w:tcPr>
            <w:tcW w:w="8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0000FF"/>
            </w:tcBorders>
            <w:shd w:val="clear" w:color="auto" w:fill="DBDBDB"/>
          </w:tcPr>
          <w:p>
            <w:pPr>
              <w:spacing w:after="0"/>
              <w:rPr>
                <w:sz w:val="12"/>
                <w:szCs w:val="12"/>
                <w:color w:val="auto"/>
              </w:rPr>
            </w:pPr>
          </w:p>
        </w:tc>
        <w:tc>
          <w:tcPr>
            <w:tcW w:w="8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0000FF"/>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2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146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700" w:type="dxa"/>
            <w:vAlign w:val="bottom"/>
            <w:tcBorders>
              <w:top w:val="single" w:sz="8" w:color="DBDBDB"/>
            </w:tcBorders>
            <w:shd w:val="clear" w:color="auto" w:fill="DBDBDB"/>
          </w:tcPr>
          <w:p>
            <w:pPr>
              <w:spacing w:after="0"/>
              <w:rPr>
                <w:sz w:val="12"/>
                <w:szCs w:val="12"/>
                <w:color w:val="auto"/>
              </w:rPr>
            </w:pPr>
          </w:p>
        </w:tc>
      </w:tr>
      <w:tr>
        <w:trPr>
          <w:trHeight w:val="20"/>
        </w:trPr>
        <w:tc>
          <w:tcPr>
            <w:tcW w:w="11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20" w:type="dxa"/>
            <w:vAlign w:val="bottom"/>
            <w:tcBorders>
              <w:top w:val="single" w:sz="8" w:color="0000FF"/>
            </w:tcBorders>
            <w:shd w:val="clear" w:color="auto" w:fill="DBDBDB"/>
          </w:tcPr>
          <w:p>
            <w:pPr>
              <w:spacing w:after="0" w:line="20" w:lineRule="exact"/>
              <w:rPr>
                <w:sz w:val="1"/>
                <w:szCs w:val="1"/>
                <w:color w:val="auto"/>
              </w:rPr>
            </w:pPr>
          </w:p>
        </w:tc>
        <w:tc>
          <w:tcPr>
            <w:tcW w:w="80" w:type="dxa"/>
            <w:vAlign w:val="bottom"/>
            <w:tcBorders>
              <w:top w:val="single" w:sz="8" w:color="0000FF"/>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60" w:type="dxa"/>
            <w:vAlign w:val="bottom"/>
            <w:tcBorders>
              <w:top w:val="single" w:sz="8" w:color="DBDBDB"/>
            </w:tcBorders>
            <w:shd w:val="clear" w:color="auto" w:fill="DBDBDB"/>
          </w:tcPr>
          <w:p>
            <w:pPr>
              <w:spacing w:after="0" w:line="20" w:lineRule="exact"/>
              <w:rPr>
                <w:sz w:val="1"/>
                <w:szCs w:val="1"/>
                <w:color w:val="auto"/>
              </w:rPr>
            </w:pPr>
          </w:p>
        </w:tc>
        <w:tc>
          <w:tcPr>
            <w:tcW w:w="5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120" w:type="dxa"/>
            <w:vAlign w:val="bottom"/>
            <w:tcBorders>
              <w:top w:val="single" w:sz="8" w:color="DBDBDB"/>
            </w:tcBorders>
            <w:shd w:val="clear" w:color="auto" w:fill="DBDBDB"/>
          </w:tcPr>
          <w:p>
            <w:pPr>
              <w:spacing w:after="0" w:line="20" w:lineRule="exact"/>
              <w:rPr>
                <w:sz w:val="1"/>
                <w:szCs w:val="1"/>
                <w:color w:val="auto"/>
              </w:rPr>
            </w:pPr>
          </w:p>
        </w:tc>
        <w:tc>
          <w:tcPr>
            <w:tcW w:w="1460" w:type="dxa"/>
            <w:vAlign w:val="bottom"/>
            <w:tcBorders>
              <w:top w:val="single" w:sz="8" w:color="DBDBDB"/>
            </w:tcBorders>
            <w:shd w:val="clear" w:color="auto" w:fill="DBDBDB"/>
          </w:tcPr>
          <w:p>
            <w:pPr>
              <w:spacing w:after="0" w:line="20" w:lineRule="exact"/>
              <w:rPr>
                <w:sz w:val="1"/>
                <w:szCs w:val="1"/>
                <w:color w:val="auto"/>
              </w:rPr>
            </w:pPr>
          </w:p>
        </w:tc>
        <w:tc>
          <w:tcPr>
            <w:tcW w:w="1060" w:type="dxa"/>
            <w:vAlign w:val="bottom"/>
            <w:tcBorders>
              <w:top w:val="single" w:sz="8" w:color="DBDBDB"/>
            </w:tcBorders>
            <w:shd w:val="clear" w:color="auto" w:fill="DBDBDB"/>
          </w:tcPr>
          <w:p>
            <w:pPr>
              <w:spacing w:after="0" w:line="20" w:lineRule="exact"/>
              <w:rPr>
                <w:sz w:val="1"/>
                <w:szCs w:val="1"/>
                <w:color w:val="auto"/>
              </w:rPr>
            </w:pPr>
          </w:p>
        </w:tc>
        <w:tc>
          <w:tcPr>
            <w:tcW w:w="2700" w:type="dxa"/>
            <w:vAlign w:val="bottom"/>
            <w:tcBorders>
              <w:top w:val="single" w:sz="8" w:color="DBDBDB"/>
            </w:tcBorders>
            <w:shd w:val="clear" w:color="auto" w:fill="DBDBDB"/>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10.30</w:t>
            </w:r>
          </w:p>
        </w:tc>
        <w:tc>
          <w:tcPr>
            <w:tcW w:w="3720" w:type="dxa"/>
            <w:vAlign w:val="bottom"/>
            <w:gridSpan w:val="31"/>
            <w:shd w:val="clear" w:color="auto" w:fill="DBDBDB"/>
          </w:tcPr>
          <w:p>
            <w:pPr>
              <w:spacing w:after="0"/>
              <w:rPr>
                <w:rFonts w:ascii="Arial" w:cs="Arial" w:eastAsia="Arial" w:hAnsi="Arial"/>
                <w:sz w:val="16"/>
                <w:szCs w:val="16"/>
                <w:color w:val="0000FF"/>
              </w:rPr>
            </w:pPr>
            <w:hyperlink r:id="rId274">
              <w:r>
                <w:rPr>
                  <w:rFonts w:ascii="Arial" w:cs="Arial" w:eastAsia="Arial" w:hAnsi="Arial"/>
                  <w:sz w:val="16"/>
                  <w:szCs w:val="16"/>
                  <w:color w:val="0000FF"/>
                </w:rPr>
                <w:t>Indenture, dated as of December 2, 2024, by and</w:t>
              </w:r>
            </w:hyperlink>
          </w:p>
        </w:tc>
        <w:tc>
          <w:tcPr>
            <w:tcW w:w="11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8-K</w:t>
            </w:r>
          </w:p>
        </w:tc>
        <w:tc>
          <w:tcPr>
            <w:tcW w:w="144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4.1</w:t>
            </w:r>
          </w:p>
        </w:tc>
        <w:tc>
          <w:tcPr>
            <w:tcW w:w="2680" w:type="dxa"/>
            <w:vAlign w:val="bottom"/>
            <w:shd w:val="clear" w:color="auto" w:fill="DBDBDB"/>
          </w:tcPr>
          <w:p>
            <w:pPr>
              <w:ind w:left="380"/>
              <w:spacing w:after="0"/>
              <w:rPr>
                <w:sz w:val="20"/>
                <w:szCs w:val="20"/>
                <w:color w:val="auto"/>
              </w:rPr>
            </w:pPr>
            <w:r>
              <w:rPr>
                <w:rFonts w:ascii="Arial" w:cs="Arial" w:eastAsia="Arial" w:hAnsi="Arial"/>
                <w:sz w:val="16"/>
                <w:szCs w:val="16"/>
                <w:color w:val="auto"/>
              </w:rPr>
              <w:t>12/2/2024</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20" w:type="dxa"/>
            <w:vAlign w:val="bottom"/>
            <w:tcBorders>
              <w:top w:val="single" w:sz="8" w:color="0000FF"/>
              <w:bottom w:val="single" w:sz="8" w:color="0000FF"/>
            </w:tcBorders>
            <w:gridSpan w:val="22"/>
            <w:shd w:val="clear" w:color="auto" w:fill="DBDBDB"/>
          </w:tcPr>
          <w:p>
            <w:pPr>
              <w:spacing w:after="0" w:line="142" w:lineRule="exact"/>
              <w:rPr>
                <w:rFonts w:ascii="Arial" w:cs="Arial" w:eastAsia="Arial" w:hAnsi="Arial"/>
                <w:sz w:val="16"/>
                <w:szCs w:val="16"/>
                <w:color w:val="0000FF"/>
                <w:w w:val="98"/>
              </w:rPr>
            </w:pPr>
            <w:hyperlink r:id="rId274">
              <w:r>
                <w:rPr>
                  <w:rFonts w:ascii="Arial" w:cs="Arial" w:eastAsia="Arial" w:hAnsi="Arial"/>
                  <w:sz w:val="16"/>
                  <w:szCs w:val="16"/>
                  <w:color w:val="0000FF"/>
                  <w:w w:val="98"/>
                </w:rPr>
                <w:t>between Expand Energy Corporation and Regions</w:t>
              </w:r>
            </w:hyperlink>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4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0000FF"/>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660" w:type="dxa"/>
            <w:vAlign w:val="bottom"/>
            <w:gridSpan w:val="28"/>
            <w:shd w:val="clear" w:color="auto" w:fill="DBDBDB"/>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Bank, as Trustee.</w:t>
              </w:r>
            </w:hyperlink>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10.31</w:t>
            </w:r>
          </w:p>
        </w:tc>
        <w:tc>
          <w:tcPr>
            <w:tcW w:w="3720" w:type="dxa"/>
            <w:vAlign w:val="bottom"/>
            <w:gridSpan w:val="31"/>
            <w:shd w:val="clear" w:color="auto" w:fill="DBDBDB"/>
          </w:tcPr>
          <w:p>
            <w:pPr>
              <w:spacing w:after="0" w:line="175" w:lineRule="exact"/>
              <w:rPr>
                <w:rFonts w:ascii="Arial" w:cs="Arial" w:eastAsia="Arial" w:hAnsi="Arial"/>
                <w:sz w:val="16"/>
                <w:szCs w:val="16"/>
                <w:color w:val="0000FF"/>
              </w:rPr>
            </w:pPr>
            <w:hyperlink r:id="rId275">
              <w:r>
                <w:rPr>
                  <w:rFonts w:ascii="Arial" w:cs="Arial" w:eastAsia="Arial" w:hAnsi="Arial"/>
                  <w:sz w:val="16"/>
                  <w:szCs w:val="16"/>
                  <w:color w:val="0000FF"/>
                </w:rPr>
                <w:t>First Supplemental Indenture, dated as of</w:t>
              </w:r>
            </w:hyperlink>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40" w:type="dxa"/>
            <w:vAlign w:val="bottom"/>
            <w:shd w:val="clear" w:color="auto" w:fill="DBDBDB"/>
          </w:tcPr>
          <w:p>
            <w:pPr>
              <w:jc w:val="right"/>
              <w:ind w:right="259"/>
              <w:spacing w:after="0" w:line="175" w:lineRule="exact"/>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w w:val="98"/>
              </w:rPr>
              <w:t>4.2</w:t>
            </w:r>
          </w:p>
        </w:tc>
        <w:tc>
          <w:tcPr>
            <w:tcW w:w="2680" w:type="dxa"/>
            <w:vAlign w:val="bottom"/>
            <w:shd w:val="clear" w:color="auto" w:fill="DBDBDB"/>
          </w:tcPr>
          <w:p>
            <w:pPr>
              <w:ind w:left="380"/>
              <w:spacing w:after="0" w:line="175" w:lineRule="exact"/>
              <w:rPr>
                <w:sz w:val="20"/>
                <w:szCs w:val="20"/>
                <w:color w:val="auto"/>
              </w:rPr>
            </w:pPr>
            <w:r>
              <w:rPr>
                <w:rFonts w:ascii="Arial" w:cs="Arial" w:eastAsia="Arial" w:hAnsi="Arial"/>
                <w:sz w:val="16"/>
                <w:szCs w:val="16"/>
                <w:color w:val="auto"/>
              </w:rPr>
              <w:t>12/2/2024</w:t>
            </w:r>
          </w:p>
        </w:tc>
      </w:tr>
      <w:tr>
        <w:trPr>
          <w:trHeight w:val="20"/>
        </w:trPr>
        <w:tc>
          <w:tcPr>
            <w:tcW w:w="1140" w:type="dxa"/>
            <w:vAlign w:val="bottom"/>
            <w:shd w:val="clear" w:color="auto" w:fill="DBDBDB"/>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Borders>
              <w:right w:val="single" w:sz="8" w:color="DBDBDB"/>
            </w:tcBorders>
            <w:shd w:val="clear" w:color="auto" w:fill="0000FF"/>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40" w:type="dxa"/>
            <w:vAlign w:val="bottom"/>
            <w:gridSpan w:val="2"/>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1060" w:type="dxa"/>
            <w:vAlign w:val="bottom"/>
            <w:shd w:val="clear" w:color="auto" w:fill="DBDBDB"/>
          </w:tcPr>
          <w:p>
            <w:pPr>
              <w:spacing w:after="0" w:line="20" w:lineRule="exact"/>
              <w:rPr>
                <w:sz w:val="1"/>
                <w:szCs w:val="1"/>
                <w:color w:val="auto"/>
              </w:rPr>
            </w:pPr>
          </w:p>
        </w:tc>
        <w:tc>
          <w:tcPr>
            <w:tcW w:w="2680" w:type="dxa"/>
            <w:vAlign w:val="bottom"/>
            <w:shd w:val="clear" w:color="auto" w:fill="DBDBDB"/>
          </w:tcPr>
          <w:p>
            <w:pPr>
              <w:spacing w:after="0" w:line="20" w:lineRule="exact"/>
              <w:rPr>
                <w:sz w:val="1"/>
                <w:szCs w:val="1"/>
                <w:color w:val="auto"/>
              </w:rPr>
            </w:pPr>
          </w:p>
        </w:tc>
      </w:tr>
      <w:tr>
        <w:trPr>
          <w:trHeight w:val="142"/>
        </w:trPr>
        <w:tc>
          <w:tcPr>
            <w:tcW w:w="1140" w:type="dxa"/>
            <w:vAlign w:val="bottom"/>
            <w:shd w:val="clear" w:color="auto" w:fill="DBDBDB"/>
          </w:tcPr>
          <w:p>
            <w:pPr>
              <w:spacing w:after="0"/>
              <w:rPr>
                <w:sz w:val="12"/>
                <w:szCs w:val="12"/>
                <w:color w:val="auto"/>
              </w:rPr>
            </w:pPr>
          </w:p>
        </w:tc>
        <w:tc>
          <w:tcPr>
            <w:tcW w:w="3720" w:type="dxa"/>
            <w:vAlign w:val="bottom"/>
            <w:gridSpan w:val="31"/>
            <w:shd w:val="clear" w:color="auto" w:fill="DBDBDB"/>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December 2, 2024, by and between Expand</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160" w:type="dxa"/>
            <w:vAlign w:val="bottom"/>
            <w:tcBorders>
              <w:top w:val="single" w:sz="8" w:color="0000FF"/>
            </w:tcBorders>
            <w:gridSpan w:val="12"/>
            <w:shd w:val="clear" w:color="auto" w:fill="DBDBDB"/>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Energy Corporation and Regions Bank, as</w:t>
              </w:r>
            </w:hyperlink>
          </w:p>
        </w:tc>
        <w:tc>
          <w:tcPr>
            <w:tcW w:w="560" w:type="dxa"/>
            <w:vAlign w:val="bottom"/>
            <w:tcBorders>
              <w:top w:val="single" w:sz="8" w:color="DBDBDB"/>
            </w:tcBorders>
            <w:gridSpan w:val="19"/>
            <w:shd w:val="clear" w:color="auto" w:fill="DBDBDB"/>
          </w:tcPr>
          <w:p>
            <w:pPr>
              <w:spacing w:after="0" w:line="142" w:lineRule="exact"/>
              <w:rPr>
                <w:rFonts w:ascii="Arial" w:cs="Arial" w:eastAsia="Arial" w:hAnsi="Arial"/>
                <w:sz w:val="16"/>
                <w:szCs w:val="16"/>
                <w:color w:val="0000FF"/>
                <w:w w:val="99"/>
              </w:rPr>
            </w:pPr>
            <w:hyperlink r:id="rId275">
              <w:r>
                <w:rPr>
                  <w:rFonts w:ascii="Arial" w:cs="Arial" w:eastAsia="Arial" w:hAnsi="Arial"/>
                  <w:sz w:val="16"/>
                  <w:szCs w:val="16"/>
                  <w:color w:val="0000FF"/>
                  <w:w w:val="99"/>
                </w:rPr>
                <w:t>Trustee</w:t>
              </w:r>
            </w:hyperlink>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80" w:type="dxa"/>
            <w:vAlign w:val="bottom"/>
            <w:tcBorders>
              <w:top w:val="single" w:sz="8" w:color="0000FF"/>
            </w:tcBorders>
            <w:gridSpan w:val="29"/>
            <w:shd w:val="clear" w:color="auto" w:fill="DBDBDB"/>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(including the form of the Notes).</w:t>
              </w:r>
            </w:hyperlink>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10.32</w:t>
            </w:r>
          </w:p>
        </w:tc>
        <w:tc>
          <w:tcPr>
            <w:tcW w:w="3720" w:type="dxa"/>
            <w:vAlign w:val="bottom"/>
            <w:gridSpan w:val="31"/>
            <w:shd w:val="clear" w:color="auto" w:fill="DBDBDB"/>
          </w:tcPr>
          <w:p>
            <w:pPr>
              <w:spacing w:after="0" w:line="175" w:lineRule="exact"/>
              <w:rPr>
                <w:rFonts w:ascii="Arial" w:cs="Arial" w:eastAsia="Arial" w:hAnsi="Arial"/>
                <w:sz w:val="16"/>
                <w:szCs w:val="16"/>
                <w:color w:val="0000FF"/>
              </w:rPr>
            </w:pPr>
            <w:hyperlink r:id="rId276">
              <w:r>
                <w:rPr>
                  <w:rFonts w:ascii="Arial" w:cs="Arial" w:eastAsia="Arial" w:hAnsi="Arial"/>
                  <w:sz w:val="16"/>
                  <w:szCs w:val="16"/>
                  <w:color w:val="0000FF"/>
                </w:rPr>
                <w:t>Agreement No. 1 and Borrowing Base Agreement,</w:t>
              </w:r>
            </w:hyperlink>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10-Q</w:t>
            </w:r>
          </w:p>
        </w:tc>
        <w:tc>
          <w:tcPr>
            <w:tcW w:w="1440" w:type="dxa"/>
            <w:vAlign w:val="bottom"/>
            <w:shd w:val="clear" w:color="auto" w:fill="DBDBDB"/>
          </w:tcPr>
          <w:p>
            <w:pPr>
              <w:jc w:val="right"/>
              <w:ind w:right="259"/>
              <w:spacing w:after="0" w:line="175" w:lineRule="exact"/>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shd w:val="clear" w:color="auto" w:fill="DBDBDB"/>
          </w:tcPr>
          <w:p>
            <w:pPr>
              <w:ind w:left="380"/>
              <w:spacing w:after="0" w:line="175" w:lineRule="exact"/>
              <w:rPr>
                <w:sz w:val="20"/>
                <w:szCs w:val="20"/>
                <w:color w:val="auto"/>
              </w:rPr>
            </w:pPr>
            <w:r>
              <w:rPr>
                <w:rFonts w:ascii="Arial" w:cs="Arial" w:eastAsia="Arial" w:hAnsi="Arial"/>
                <w:sz w:val="16"/>
                <w:szCs w:val="16"/>
                <w:color w:val="auto"/>
              </w:rPr>
              <w:t>7/29/2024</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380" w:type="dxa"/>
            <w:vAlign w:val="bottom"/>
            <w:tcBorders>
              <w:top w:val="single" w:sz="8" w:color="0000FF"/>
              <w:bottom w:val="single" w:sz="8" w:color="0000FF"/>
            </w:tcBorders>
            <w:gridSpan w:val="16"/>
            <w:shd w:val="clear" w:color="auto" w:fill="DBDBDB"/>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dated as of April 29, 2024, among Chesapeake</w:t>
              </w:r>
            </w:hyperlink>
          </w:p>
        </w:tc>
        <w:tc>
          <w:tcPr>
            <w:tcW w:w="260" w:type="dxa"/>
            <w:vAlign w:val="bottom"/>
            <w:tcBorders>
              <w:top w:val="single" w:sz="8" w:color="0000FF"/>
              <w:bottom w:val="single" w:sz="8" w:color="DBDBDB"/>
            </w:tcBorders>
            <w:gridSpan w:val="11"/>
            <w:shd w:val="clear" w:color="auto" w:fill="DBDBDB"/>
          </w:tcPr>
          <w:p>
            <w:pPr>
              <w:spacing w:after="0"/>
              <w:rPr>
                <w:sz w:val="12"/>
                <w:szCs w:val="12"/>
                <w:color w:val="auto"/>
              </w:rPr>
            </w:pPr>
          </w:p>
        </w:tc>
        <w:tc>
          <w:tcPr>
            <w:tcW w:w="60" w:type="dxa"/>
            <w:vAlign w:val="bottom"/>
            <w:tcBorders>
              <w:top w:val="single" w:sz="8" w:color="DBDBDB"/>
              <w:bottom w:val="single" w:sz="8" w:color="DBDBDB"/>
            </w:tcBorders>
            <w:gridSpan w:val="3"/>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20" w:type="dxa"/>
            <w:vAlign w:val="bottom"/>
            <w:gridSpan w:val="31"/>
            <w:shd w:val="clear" w:color="auto" w:fill="DBDBDB"/>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Energy Corporation, JPMorgan Chase Bank, N.A.,</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620" w:type="dxa"/>
            <w:vAlign w:val="bottom"/>
            <w:tcBorders>
              <w:top w:val="single" w:sz="8" w:color="0000FF"/>
              <w:bottom w:val="single" w:sz="8" w:color="0000FF"/>
            </w:tcBorders>
            <w:gridSpan w:val="26"/>
            <w:shd w:val="clear" w:color="auto" w:fill="DBDBDB"/>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as Administrative Agent, and the lenders and other</w:t>
              </w:r>
            </w:hyperlink>
          </w:p>
        </w:tc>
        <w:tc>
          <w:tcPr>
            <w:tcW w:w="80" w:type="dxa"/>
            <w:vAlign w:val="bottom"/>
            <w:tcBorders>
              <w:top w:val="single" w:sz="8" w:color="DBDBDB"/>
              <w:bottom w:val="single" w:sz="8" w:color="0000FF"/>
            </w:tcBorders>
            <w:gridSpan w:val="4"/>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700" w:type="dxa"/>
            <w:vAlign w:val="bottom"/>
            <w:gridSpan w:val="30"/>
            <w:shd w:val="clear" w:color="auto" w:fill="DBDBDB"/>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parties thereto.</w:t>
              </w:r>
            </w:hyperlink>
          </w:p>
        </w:tc>
        <w:tc>
          <w:tcPr>
            <w:tcW w:w="20" w:type="dxa"/>
            <w:vAlign w:val="bottom"/>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10.33</w:t>
            </w:r>
          </w:p>
        </w:tc>
        <w:tc>
          <w:tcPr>
            <w:tcW w:w="3720" w:type="dxa"/>
            <w:vAlign w:val="bottom"/>
            <w:gridSpan w:val="31"/>
            <w:shd w:val="clear" w:color="auto" w:fill="DBDBDB"/>
          </w:tcPr>
          <w:p>
            <w:pPr>
              <w:spacing w:after="0" w:line="175" w:lineRule="exact"/>
              <w:rPr>
                <w:rFonts w:ascii="Arial" w:cs="Arial" w:eastAsia="Arial" w:hAnsi="Arial"/>
                <w:sz w:val="16"/>
                <w:szCs w:val="16"/>
                <w:color w:val="0000FF"/>
              </w:rPr>
            </w:pPr>
            <w:hyperlink r:id="rId277">
              <w:r>
                <w:rPr>
                  <w:rFonts w:ascii="Arial" w:cs="Arial" w:eastAsia="Arial" w:hAnsi="Arial"/>
                  <w:sz w:val="16"/>
                  <w:szCs w:val="16"/>
                  <w:color w:val="0000FF"/>
                </w:rPr>
                <w:t>Credit Agreement, dated as of December 9, 2022</w:t>
              </w:r>
            </w:hyperlink>
          </w:p>
        </w:tc>
        <w:tc>
          <w:tcPr>
            <w:tcW w:w="110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8-K</w:t>
            </w:r>
          </w:p>
        </w:tc>
        <w:tc>
          <w:tcPr>
            <w:tcW w:w="1440" w:type="dxa"/>
            <w:vAlign w:val="bottom"/>
            <w:shd w:val="clear" w:color="auto" w:fill="DBDBDB"/>
          </w:tcPr>
          <w:p>
            <w:pPr>
              <w:jc w:val="right"/>
              <w:ind w:right="259"/>
              <w:spacing w:after="0" w:line="175" w:lineRule="exact"/>
              <w:rPr>
                <w:sz w:val="20"/>
                <w:szCs w:val="20"/>
                <w:color w:val="auto"/>
              </w:rPr>
            </w:pPr>
            <w:r>
              <w:rPr>
                <w:rFonts w:ascii="Arial" w:cs="Arial" w:eastAsia="Arial" w:hAnsi="Arial"/>
                <w:sz w:val="16"/>
                <w:szCs w:val="16"/>
                <w:color w:val="auto"/>
              </w:rPr>
              <w:t>001-13726</w:t>
            </w:r>
          </w:p>
        </w:tc>
        <w:tc>
          <w:tcPr>
            <w:tcW w:w="1060" w:type="dxa"/>
            <w:vAlign w:val="bottom"/>
            <w:shd w:val="clear" w:color="auto" w:fill="DBDBDB"/>
          </w:tcPr>
          <w:p>
            <w:pPr>
              <w:jc w:val="center"/>
              <w:spacing w:after="0" w:line="175" w:lineRule="exact"/>
              <w:rPr>
                <w:sz w:val="20"/>
                <w:szCs w:val="20"/>
                <w:color w:val="auto"/>
              </w:rPr>
            </w:pPr>
            <w:r>
              <w:rPr>
                <w:rFonts w:ascii="Arial" w:cs="Arial" w:eastAsia="Arial" w:hAnsi="Arial"/>
                <w:sz w:val="16"/>
                <w:szCs w:val="16"/>
                <w:color w:val="auto"/>
              </w:rPr>
              <w:t>10.1</w:t>
            </w:r>
          </w:p>
        </w:tc>
        <w:tc>
          <w:tcPr>
            <w:tcW w:w="2680" w:type="dxa"/>
            <w:vAlign w:val="bottom"/>
            <w:shd w:val="clear" w:color="auto" w:fill="DBDBDB"/>
          </w:tcPr>
          <w:p>
            <w:pPr>
              <w:ind w:left="400"/>
              <w:spacing w:after="0" w:line="175" w:lineRule="exact"/>
              <w:rPr>
                <w:sz w:val="20"/>
                <w:szCs w:val="20"/>
                <w:color w:val="auto"/>
              </w:rPr>
            </w:pPr>
            <w:r>
              <w:rPr>
                <w:rFonts w:ascii="Arial" w:cs="Arial" w:eastAsia="Arial" w:hAnsi="Arial"/>
                <w:sz w:val="16"/>
                <w:szCs w:val="16"/>
                <w:color w:val="auto"/>
              </w:rPr>
              <w:t>11/1/2024</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500" w:type="dxa"/>
            <w:vAlign w:val="bottom"/>
            <w:tcBorders>
              <w:top w:val="single" w:sz="8" w:color="0000FF"/>
              <w:bottom w:val="single" w:sz="8" w:color="0000FF"/>
            </w:tcBorders>
            <w:gridSpan w:val="21"/>
            <w:shd w:val="clear" w:color="auto" w:fill="DBDBDB"/>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by and among Expand Energy Corporation (f/k/a</w:t>
              </w:r>
            </w:hyperlink>
          </w:p>
        </w:tc>
        <w:tc>
          <w:tcPr>
            <w:tcW w:w="40" w:type="dxa"/>
            <w:vAlign w:val="bottom"/>
            <w:tcBorders>
              <w:top w:val="single" w:sz="8" w:color="0000FF"/>
              <w:bottom w:val="single" w:sz="8" w:color="DBDBDB"/>
            </w:tcBorders>
            <w:gridSpan w:val="2"/>
            <w:shd w:val="clear" w:color="auto" w:fill="DBDBDB"/>
          </w:tcPr>
          <w:p>
            <w:pPr>
              <w:spacing w:after="0"/>
              <w:rPr>
                <w:sz w:val="12"/>
                <w:szCs w:val="12"/>
                <w:color w:val="auto"/>
              </w:rPr>
            </w:pPr>
          </w:p>
        </w:tc>
        <w:tc>
          <w:tcPr>
            <w:tcW w:w="20" w:type="dxa"/>
            <w:vAlign w:val="bottom"/>
            <w:tcBorders>
              <w:top w:val="single" w:sz="8" w:color="DBDBDB"/>
              <w:bottom w:val="single" w:sz="8" w:color="DBDBDB"/>
            </w:tcBorders>
            <w:shd w:val="clear" w:color="auto" w:fill="DBDBDB"/>
          </w:tcPr>
          <w:p>
            <w:pPr>
              <w:spacing w:after="0"/>
              <w:rPr>
                <w:sz w:val="12"/>
                <w:szCs w:val="12"/>
                <w:color w:val="auto"/>
              </w:rPr>
            </w:pPr>
          </w:p>
        </w:tc>
        <w:tc>
          <w:tcPr>
            <w:tcW w:w="40" w:type="dxa"/>
            <w:vAlign w:val="bottom"/>
            <w:tcBorders>
              <w:top w:val="single" w:sz="8" w:color="DBDBDB"/>
              <w:bottom w:val="single" w:sz="8" w:color="DBDBDB"/>
            </w:tcBorders>
            <w:shd w:val="clear" w:color="auto" w:fill="DBDBDB"/>
          </w:tcPr>
          <w:p>
            <w:pPr>
              <w:spacing w:after="0"/>
              <w:rPr>
                <w:sz w:val="12"/>
                <w:szCs w:val="12"/>
                <w:color w:val="auto"/>
              </w:rPr>
            </w:pPr>
          </w:p>
        </w:tc>
        <w:tc>
          <w:tcPr>
            <w:tcW w:w="120" w:type="dxa"/>
            <w:vAlign w:val="bottom"/>
            <w:tcBorders>
              <w:top w:val="single" w:sz="8" w:color="DBDBDB"/>
              <w:bottom w:val="single" w:sz="8" w:color="DBDBDB"/>
            </w:tcBorders>
            <w:gridSpan w:val="6"/>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42"/>
        </w:trPr>
        <w:tc>
          <w:tcPr>
            <w:tcW w:w="1140" w:type="dxa"/>
            <w:vAlign w:val="bottom"/>
            <w:tcBorders>
              <w:bottom w:val="single" w:sz="8" w:color="DBDBDB"/>
            </w:tcBorders>
            <w:shd w:val="clear" w:color="auto" w:fill="DBDBDB"/>
          </w:tcPr>
          <w:p>
            <w:pPr>
              <w:spacing w:after="0"/>
              <w:rPr>
                <w:sz w:val="12"/>
                <w:szCs w:val="12"/>
                <w:color w:val="auto"/>
              </w:rPr>
            </w:pPr>
          </w:p>
        </w:tc>
        <w:tc>
          <w:tcPr>
            <w:tcW w:w="3720" w:type="dxa"/>
            <w:vAlign w:val="bottom"/>
            <w:tcBorders>
              <w:bottom w:val="single" w:sz="8" w:color="0000FF"/>
            </w:tcBorders>
            <w:gridSpan w:val="31"/>
            <w:shd w:val="clear" w:color="auto" w:fill="DBDBDB"/>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Chesapeake Energy Corporation), the lenders from</w:t>
              </w:r>
            </w:hyperlink>
          </w:p>
        </w:tc>
        <w:tc>
          <w:tcPr>
            <w:tcW w:w="1100" w:type="dxa"/>
            <w:vAlign w:val="bottom"/>
            <w:tcBorders>
              <w:bottom w:val="single" w:sz="8" w:color="DBDBDB"/>
            </w:tcBorders>
            <w:shd w:val="clear" w:color="auto" w:fill="DBDBDB"/>
          </w:tcPr>
          <w:p>
            <w:pPr>
              <w:spacing w:after="0"/>
              <w:rPr>
                <w:sz w:val="12"/>
                <w:szCs w:val="12"/>
                <w:color w:val="auto"/>
              </w:rPr>
            </w:pPr>
          </w:p>
        </w:tc>
        <w:tc>
          <w:tcPr>
            <w:tcW w:w="144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spacing w:after="0"/>
              <w:rPr>
                <w:sz w:val="12"/>
                <w:szCs w:val="12"/>
                <w:color w:val="auto"/>
              </w:rPr>
            </w:pPr>
          </w:p>
        </w:tc>
        <w:tc>
          <w:tcPr>
            <w:tcW w:w="2680" w:type="dxa"/>
            <w:vAlign w:val="bottom"/>
            <w:tcBorders>
              <w:bottom w:val="single" w:sz="8" w:color="DBDBDB"/>
            </w:tcBorders>
            <w:shd w:val="clear" w:color="auto" w:fill="DBDBDB"/>
          </w:tcPr>
          <w:p>
            <w:pPr>
              <w:spacing w:after="0"/>
              <w:rPr>
                <w:sz w:val="12"/>
                <w:szCs w:val="12"/>
                <w:color w:val="auto"/>
              </w:rPr>
            </w:pPr>
          </w:p>
        </w:tc>
      </w:tr>
      <w:tr>
        <w:trPr>
          <w:trHeight w:val="142"/>
        </w:trPr>
        <w:tc>
          <w:tcPr>
            <w:tcW w:w="1140" w:type="dxa"/>
            <w:vAlign w:val="bottom"/>
            <w:shd w:val="clear" w:color="auto" w:fill="DBDBDB"/>
          </w:tcPr>
          <w:p>
            <w:pPr>
              <w:spacing w:after="0"/>
              <w:rPr>
                <w:sz w:val="12"/>
                <w:szCs w:val="12"/>
                <w:color w:val="auto"/>
              </w:rPr>
            </w:pPr>
          </w:p>
        </w:tc>
        <w:tc>
          <w:tcPr>
            <w:tcW w:w="3720" w:type="dxa"/>
            <w:vAlign w:val="bottom"/>
            <w:gridSpan w:val="31"/>
            <w:shd w:val="clear" w:color="auto" w:fill="DBDBDB"/>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time to time party thereto and JPMorgan Chase</w:t>
              </w:r>
            </w:hyperlink>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00" w:type="dxa"/>
            <w:vAlign w:val="bottom"/>
            <w:tcBorders>
              <w:top w:val="single" w:sz="8" w:color="0000FF"/>
            </w:tcBorders>
            <w:gridSpan w:val="17"/>
            <w:shd w:val="clear" w:color="auto" w:fill="DBDBDB"/>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Bank, N.A., as Administrative Agent</w:t>
              </w:r>
            </w:hyperlink>
          </w:p>
        </w:tc>
        <w:tc>
          <w:tcPr>
            <w:tcW w:w="4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20" w:type="dxa"/>
            <w:vAlign w:val="bottom"/>
            <w:tcBorders>
              <w:top w:val="single" w:sz="8" w:color="DBDBDB"/>
            </w:tcBorders>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gridSpan w:val="6"/>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10.34†</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Global Supplement to Awards under the Expand</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60" w:type="dxa"/>
            <w:vAlign w:val="bottom"/>
            <w:tcBorders>
              <w:top w:val="single" w:sz="8" w:color="0000FF"/>
            </w:tcBorders>
            <w:gridSpan w:val="19"/>
            <w:shd w:val="clear" w:color="auto" w:fill="DBDBDB"/>
          </w:tcPr>
          <w:p>
            <w:pPr>
              <w:spacing w:after="0" w:line="142" w:lineRule="exact"/>
              <w:rPr>
                <w:sz w:val="20"/>
                <w:szCs w:val="20"/>
                <w:color w:val="auto"/>
              </w:rPr>
            </w:pPr>
            <w:r>
              <w:rPr>
                <w:rFonts w:ascii="Arial" w:cs="Arial" w:eastAsia="Arial" w:hAnsi="Arial"/>
                <w:sz w:val="16"/>
                <w:szCs w:val="16"/>
                <w:color w:val="0000FF"/>
              </w:rPr>
              <w:t>Energy Corporation 2021 Long Term Incentive</w:t>
            </w:r>
          </w:p>
        </w:tc>
        <w:tc>
          <w:tcPr>
            <w:tcW w:w="20" w:type="dxa"/>
            <w:vAlign w:val="bottom"/>
            <w:tcBorders>
              <w:top w:val="single" w:sz="8" w:color="DBDBDB"/>
            </w:tcBorders>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40" w:type="dxa"/>
            <w:vAlign w:val="bottom"/>
            <w:tcBorders>
              <w:top w:val="single" w:sz="8" w:color="DBDBDB"/>
            </w:tcBorders>
            <w:gridSpan w:val="2"/>
            <w:shd w:val="clear" w:color="auto" w:fill="DBDBDB"/>
          </w:tcPr>
          <w:p>
            <w:pPr>
              <w:spacing w:after="0"/>
              <w:rPr>
                <w:sz w:val="12"/>
                <w:szCs w:val="12"/>
                <w:color w:val="auto"/>
              </w:rPr>
            </w:pPr>
          </w:p>
        </w:tc>
        <w:tc>
          <w:tcPr>
            <w:tcW w:w="40" w:type="dxa"/>
            <w:vAlign w:val="bottom"/>
            <w:tcBorders>
              <w:top w:val="single" w:sz="8" w:color="DBDBDB"/>
            </w:tcBorders>
            <w:shd w:val="clear" w:color="auto" w:fill="DBDBDB"/>
          </w:tcPr>
          <w:p>
            <w:pPr>
              <w:spacing w:after="0"/>
              <w:rPr>
                <w:sz w:val="12"/>
                <w:szCs w:val="12"/>
                <w:color w:val="auto"/>
              </w:rPr>
            </w:pPr>
          </w:p>
        </w:tc>
        <w:tc>
          <w:tcPr>
            <w:tcW w:w="120" w:type="dxa"/>
            <w:vAlign w:val="bottom"/>
            <w:tcBorders>
              <w:top w:val="single" w:sz="8" w:color="DBDBDB"/>
            </w:tcBorders>
            <w:gridSpan w:val="6"/>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300" w:type="dxa"/>
            <w:vAlign w:val="bottom"/>
            <w:tcBorders>
              <w:top w:val="single" w:sz="8" w:color="0000FF"/>
            </w:tcBorders>
            <w:gridSpan w:val="14"/>
            <w:shd w:val="clear" w:color="auto" w:fill="DBDBDB"/>
          </w:tcPr>
          <w:p>
            <w:pPr>
              <w:spacing w:after="0" w:line="142" w:lineRule="exact"/>
              <w:rPr>
                <w:sz w:val="20"/>
                <w:szCs w:val="20"/>
                <w:color w:val="auto"/>
              </w:rPr>
            </w:pPr>
            <w:r>
              <w:rPr>
                <w:rFonts w:ascii="Arial" w:cs="Arial" w:eastAsia="Arial" w:hAnsi="Arial"/>
                <w:sz w:val="16"/>
                <w:szCs w:val="16"/>
                <w:color w:val="0000FF"/>
              </w:rPr>
              <w:t>Plan</w:t>
            </w:r>
          </w:p>
        </w:tc>
        <w:tc>
          <w:tcPr>
            <w:tcW w:w="2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gridSpan w:val="3"/>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gridSpan w:val="6"/>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19.1</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Expand Energy Corporation Insider Trading</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120" w:type="dxa"/>
            <w:vAlign w:val="bottom"/>
            <w:tcBorders>
              <w:top w:val="single" w:sz="8" w:color="0000FF"/>
            </w:tcBorders>
            <w:gridSpan w:val="10"/>
            <w:shd w:val="clear" w:color="auto" w:fill="DBDBDB"/>
          </w:tcPr>
          <w:p>
            <w:pPr>
              <w:spacing w:after="0" w:line="142" w:lineRule="exact"/>
              <w:rPr>
                <w:sz w:val="20"/>
                <w:szCs w:val="20"/>
                <w:color w:val="auto"/>
              </w:rPr>
            </w:pPr>
            <w:r>
              <w:rPr>
                <w:rFonts w:ascii="Arial" w:cs="Arial" w:eastAsia="Arial" w:hAnsi="Arial"/>
                <w:sz w:val="16"/>
                <w:szCs w:val="16"/>
                <w:color w:val="0000FF"/>
              </w:rPr>
              <w:t>Compliance Policy</w:t>
            </w:r>
          </w:p>
        </w:tc>
        <w:tc>
          <w:tcPr>
            <w:tcW w:w="20" w:type="dxa"/>
            <w:vAlign w:val="bottom"/>
            <w:tcBorders>
              <w:top w:val="single" w:sz="8" w:color="DBDBDB"/>
            </w:tcBorders>
            <w:shd w:val="clear" w:color="auto" w:fill="DBDBDB"/>
          </w:tcPr>
          <w:p>
            <w:pPr>
              <w:spacing w:after="0"/>
              <w:rPr>
                <w:sz w:val="14"/>
                <w:szCs w:val="14"/>
                <w:color w:val="auto"/>
              </w:rPr>
            </w:pPr>
          </w:p>
        </w:tc>
        <w:tc>
          <w:tcPr>
            <w:tcW w:w="80" w:type="dxa"/>
            <w:vAlign w:val="bottom"/>
            <w:tcBorders>
              <w:top w:val="single" w:sz="8" w:color="DBDBDB"/>
            </w:tcBorders>
            <w:gridSpan w:val="2"/>
            <w:shd w:val="clear" w:color="auto" w:fill="DBDBDB"/>
          </w:tcPr>
          <w:p>
            <w:pPr>
              <w:spacing w:after="0"/>
              <w:rPr>
                <w:sz w:val="14"/>
                <w:szCs w:val="14"/>
                <w:color w:val="auto"/>
              </w:rPr>
            </w:pPr>
          </w:p>
        </w:tc>
        <w:tc>
          <w:tcPr>
            <w:tcW w:w="100" w:type="dxa"/>
            <w:vAlign w:val="bottom"/>
            <w:tcBorders>
              <w:top w:val="single" w:sz="8" w:color="DBDBDB"/>
            </w:tcBorders>
            <w:gridSpan w:val="2"/>
            <w:shd w:val="clear" w:color="auto" w:fill="DBDBDB"/>
          </w:tcPr>
          <w:p>
            <w:pPr>
              <w:spacing w:after="0"/>
              <w:rPr>
                <w:sz w:val="14"/>
                <w:szCs w:val="14"/>
                <w:color w:val="auto"/>
              </w:rPr>
            </w:pPr>
          </w:p>
        </w:tc>
        <w:tc>
          <w:tcPr>
            <w:tcW w:w="120" w:type="dxa"/>
            <w:vAlign w:val="bottom"/>
            <w:tcBorders>
              <w:top w:val="single" w:sz="8" w:color="DBDBDB"/>
            </w:tcBorders>
            <w:gridSpan w:val="3"/>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gridSpan w:val="2"/>
            <w:shd w:val="clear" w:color="auto" w:fill="DBDBDB"/>
          </w:tcPr>
          <w:p>
            <w:pPr>
              <w:spacing w:after="0"/>
              <w:rPr>
                <w:sz w:val="14"/>
                <w:szCs w:val="14"/>
                <w:color w:val="auto"/>
              </w:rPr>
            </w:pPr>
          </w:p>
        </w:tc>
        <w:tc>
          <w:tcPr>
            <w:tcW w:w="4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DBDBDB"/>
            </w:tcBorders>
            <w:gridSpan w:val="6"/>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21</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Subsidiaries of Expand Energy Corporation.</w:t>
            </w:r>
          </w:p>
        </w:tc>
        <w:tc>
          <w:tcPr>
            <w:tcW w:w="1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23.1</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Consent of PricewaterhouseCoopers LLP.</w:t>
            </w:r>
          </w:p>
        </w:tc>
        <w:tc>
          <w:tcPr>
            <w:tcW w:w="1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94"/>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23.2</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Consent of Netherland, Sewell &amp; Associates, Inc.</w:t>
            </w:r>
          </w:p>
        </w:tc>
        <w:tc>
          <w:tcPr>
            <w:tcW w:w="1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31.1</w:t>
            </w:r>
          </w:p>
        </w:tc>
        <w:tc>
          <w:tcPr>
            <w:tcW w:w="3320" w:type="dxa"/>
            <w:vAlign w:val="bottom"/>
            <w:tcBorders>
              <w:bottom w:val="single" w:sz="8" w:color="0000FF"/>
            </w:tcBorders>
            <w:gridSpan w:val="15"/>
            <w:shd w:val="clear" w:color="auto" w:fill="DBDBDB"/>
          </w:tcPr>
          <w:p>
            <w:pPr>
              <w:spacing w:after="0" w:line="175" w:lineRule="exact"/>
              <w:rPr>
                <w:sz w:val="20"/>
                <w:szCs w:val="20"/>
                <w:color w:val="auto"/>
              </w:rPr>
            </w:pPr>
            <w:r>
              <w:rPr>
                <w:rFonts w:ascii="Arial" w:cs="Arial" w:eastAsia="Arial" w:hAnsi="Arial"/>
                <w:sz w:val="16"/>
                <w:szCs w:val="16"/>
                <w:color w:val="0000FF"/>
              </w:rPr>
              <w:t>Domenic J. Dell’Osso, Jr., President and Chief</w:t>
            </w:r>
          </w:p>
        </w:tc>
        <w:tc>
          <w:tcPr>
            <w:tcW w:w="400" w:type="dxa"/>
            <w:vAlign w:val="bottom"/>
            <w:tcBorders>
              <w:bottom w:val="single" w:sz="8" w:color="DBDBDB"/>
            </w:tcBorders>
            <w:gridSpan w:val="16"/>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2680" w:type="dxa"/>
            <w:vAlign w:val="bottom"/>
            <w:tcBorders>
              <w:bottom w:val="single" w:sz="8" w:color="DBDBDB"/>
            </w:tcBorders>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720" w:type="dxa"/>
            <w:vAlign w:val="bottom"/>
            <w:gridSpan w:val="31"/>
            <w:shd w:val="clear" w:color="auto" w:fill="DBDBDB"/>
          </w:tcPr>
          <w:p>
            <w:pPr>
              <w:spacing w:after="0" w:line="142" w:lineRule="exact"/>
              <w:rPr>
                <w:sz w:val="20"/>
                <w:szCs w:val="20"/>
                <w:color w:val="auto"/>
              </w:rPr>
            </w:pPr>
            <w:r>
              <w:rPr>
                <w:rFonts w:ascii="Arial" w:cs="Arial" w:eastAsia="Arial" w:hAnsi="Arial"/>
                <w:sz w:val="16"/>
                <w:szCs w:val="16"/>
                <w:color w:val="0000FF"/>
              </w:rPr>
              <w:t>Executive Officer, Certification pursuant to Section</w:t>
            </w:r>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00" w:type="dxa"/>
            <w:vAlign w:val="bottom"/>
            <w:tcBorders>
              <w:top w:val="single" w:sz="8" w:color="0000FF"/>
            </w:tcBorders>
            <w:gridSpan w:val="25"/>
            <w:shd w:val="clear" w:color="auto" w:fill="DBDBDB"/>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120" w:type="dxa"/>
            <w:vAlign w:val="bottom"/>
            <w:tcBorders>
              <w:top w:val="single" w:sz="8" w:color="DBDBDB"/>
            </w:tcBorders>
            <w:gridSpan w:val="6"/>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31.2</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Mohit Singh, Executive Vice President and Chief</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bottom w:val="single" w:sz="8" w:color="DBDBDB"/>
            </w:tcBorders>
            <w:shd w:val="clear" w:color="auto" w:fill="DBDBDB"/>
          </w:tcPr>
          <w:p>
            <w:pPr>
              <w:spacing w:after="0"/>
              <w:rPr>
                <w:sz w:val="12"/>
                <w:szCs w:val="12"/>
                <w:color w:val="auto"/>
              </w:rPr>
            </w:pPr>
          </w:p>
        </w:tc>
        <w:tc>
          <w:tcPr>
            <w:tcW w:w="3480" w:type="dxa"/>
            <w:vAlign w:val="bottom"/>
            <w:tcBorders>
              <w:top w:val="single" w:sz="8" w:color="0000FF"/>
              <w:bottom w:val="single" w:sz="8" w:color="0000FF"/>
            </w:tcBorders>
            <w:gridSpan w:val="20"/>
            <w:shd w:val="clear" w:color="auto" w:fill="DBDBDB"/>
          </w:tcPr>
          <w:p>
            <w:pPr>
              <w:spacing w:after="0" w:line="142" w:lineRule="exact"/>
              <w:rPr>
                <w:sz w:val="20"/>
                <w:szCs w:val="20"/>
                <w:color w:val="auto"/>
              </w:rPr>
            </w:pPr>
            <w:r>
              <w:rPr>
                <w:rFonts w:ascii="Arial" w:cs="Arial" w:eastAsia="Arial" w:hAnsi="Arial"/>
                <w:sz w:val="16"/>
                <w:szCs w:val="16"/>
                <w:color w:val="0000FF"/>
                <w:w w:val="98"/>
              </w:rPr>
              <w:t>Financial Officer, Certification pursuant to Section</w:t>
            </w:r>
          </w:p>
        </w:tc>
        <w:tc>
          <w:tcPr>
            <w:tcW w:w="80" w:type="dxa"/>
            <w:vAlign w:val="bottom"/>
            <w:tcBorders>
              <w:top w:val="single" w:sz="8" w:color="DBDBDB"/>
              <w:bottom w:val="single" w:sz="8" w:color="0000FF"/>
            </w:tcBorders>
            <w:gridSpan w:val="4"/>
            <w:shd w:val="clear" w:color="auto" w:fill="DBDBDB"/>
          </w:tcPr>
          <w:p>
            <w:pPr>
              <w:spacing w:after="0"/>
              <w:rPr>
                <w:sz w:val="12"/>
                <w:szCs w:val="12"/>
                <w:color w:val="auto"/>
              </w:rPr>
            </w:pPr>
          </w:p>
        </w:tc>
        <w:tc>
          <w:tcPr>
            <w:tcW w:w="160" w:type="dxa"/>
            <w:vAlign w:val="bottom"/>
            <w:tcBorders>
              <w:top w:val="single" w:sz="8" w:color="DBDBDB"/>
              <w:bottom w:val="single" w:sz="8" w:color="DBDBDB"/>
            </w:tcBorders>
            <w:gridSpan w:val="7"/>
            <w:shd w:val="clear" w:color="auto" w:fill="DBDBDB"/>
          </w:tcPr>
          <w:p>
            <w:pPr>
              <w:spacing w:after="0"/>
              <w:rPr>
                <w:sz w:val="12"/>
                <w:szCs w:val="12"/>
                <w:color w:val="auto"/>
              </w:rPr>
            </w:pPr>
          </w:p>
        </w:tc>
        <w:tc>
          <w:tcPr>
            <w:tcW w:w="1100" w:type="dxa"/>
            <w:vAlign w:val="bottom"/>
            <w:tcBorders>
              <w:top w:val="single" w:sz="8" w:color="DBDBDB"/>
              <w:bottom w:val="single" w:sz="8" w:color="DBDBDB"/>
            </w:tcBorders>
            <w:shd w:val="clear" w:color="auto" w:fill="DBDBDB"/>
          </w:tcPr>
          <w:p>
            <w:pPr>
              <w:spacing w:after="0"/>
              <w:rPr>
                <w:sz w:val="12"/>
                <w:szCs w:val="12"/>
                <w:color w:val="auto"/>
              </w:rPr>
            </w:pPr>
          </w:p>
        </w:tc>
        <w:tc>
          <w:tcPr>
            <w:tcW w:w="1440" w:type="dxa"/>
            <w:vAlign w:val="bottom"/>
            <w:tcBorders>
              <w:top w:val="single" w:sz="8" w:color="DBDBDB"/>
              <w:bottom w:val="single" w:sz="8" w:color="DBDBDB"/>
            </w:tcBorders>
            <w:shd w:val="clear" w:color="auto" w:fill="DBDBDB"/>
          </w:tcPr>
          <w:p>
            <w:pPr>
              <w:spacing w:after="0"/>
              <w:rPr>
                <w:sz w:val="12"/>
                <w:szCs w:val="12"/>
                <w:color w:val="auto"/>
              </w:rPr>
            </w:pPr>
          </w:p>
        </w:tc>
        <w:tc>
          <w:tcPr>
            <w:tcW w:w="1060" w:type="dxa"/>
            <w:vAlign w:val="bottom"/>
            <w:tcBorders>
              <w:top w:val="single" w:sz="8" w:color="DBDBDB"/>
              <w:bottom w:val="single" w:sz="8" w:color="DBDBDB"/>
            </w:tcBorders>
            <w:shd w:val="clear" w:color="auto" w:fill="DBDBDB"/>
          </w:tcPr>
          <w:p>
            <w:pPr>
              <w:spacing w:after="0"/>
              <w:rPr>
                <w:sz w:val="12"/>
                <w:szCs w:val="12"/>
                <w:color w:val="auto"/>
              </w:rPr>
            </w:pPr>
          </w:p>
        </w:tc>
        <w:tc>
          <w:tcPr>
            <w:tcW w:w="2680" w:type="dxa"/>
            <w:vAlign w:val="bottom"/>
            <w:tcBorders>
              <w:top w:val="single" w:sz="8" w:color="DBDBDB"/>
              <w:bottom w:val="single" w:sz="8" w:color="DBDBDB"/>
            </w:tcBorders>
            <w:shd w:val="clear" w:color="auto" w:fill="DBDBDB"/>
          </w:tcPr>
          <w:p>
            <w:pPr>
              <w:spacing w:after="0"/>
              <w:rPr>
                <w:sz w:val="12"/>
                <w:szCs w:val="12"/>
                <w:color w:val="auto"/>
              </w:rPr>
            </w:pPr>
          </w:p>
        </w:tc>
      </w:tr>
      <w:tr>
        <w:trPr>
          <w:trHeight w:val="163"/>
        </w:trPr>
        <w:tc>
          <w:tcPr>
            <w:tcW w:w="1140" w:type="dxa"/>
            <w:vAlign w:val="bottom"/>
            <w:shd w:val="clear" w:color="auto" w:fill="DBDBDB"/>
          </w:tcPr>
          <w:p>
            <w:pPr>
              <w:spacing w:after="0"/>
              <w:rPr>
                <w:sz w:val="14"/>
                <w:szCs w:val="14"/>
                <w:color w:val="auto"/>
              </w:rPr>
            </w:pPr>
          </w:p>
        </w:tc>
        <w:tc>
          <w:tcPr>
            <w:tcW w:w="3560" w:type="dxa"/>
            <w:vAlign w:val="bottom"/>
            <w:gridSpan w:val="24"/>
            <w:shd w:val="clear" w:color="auto" w:fill="DBDBDB"/>
          </w:tcPr>
          <w:p>
            <w:pPr>
              <w:spacing w:after="0" w:line="142" w:lineRule="exact"/>
              <w:rPr>
                <w:sz w:val="20"/>
                <w:szCs w:val="20"/>
                <w:color w:val="auto"/>
              </w:rPr>
            </w:pPr>
            <w:r>
              <w:rPr>
                <w:rFonts w:ascii="Arial" w:cs="Arial" w:eastAsia="Arial" w:hAnsi="Arial"/>
                <w:sz w:val="16"/>
                <w:szCs w:val="16"/>
                <w:color w:val="0000FF"/>
              </w:rPr>
              <w:t>302 of the Sarbanes-Oxley Act of 2002.</w:t>
            </w:r>
          </w:p>
        </w:tc>
        <w:tc>
          <w:tcPr>
            <w:tcW w:w="160" w:type="dxa"/>
            <w:vAlign w:val="bottom"/>
            <w:gridSpan w:val="7"/>
            <w:shd w:val="clear" w:color="auto" w:fill="DBDBDB"/>
          </w:tcPr>
          <w:p>
            <w:pPr>
              <w:spacing w:after="0"/>
              <w:rPr>
                <w:sz w:val="14"/>
                <w:szCs w:val="14"/>
                <w:color w:val="auto"/>
              </w:rPr>
            </w:pP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tcBorders>
              <w:bottom w:val="single" w:sz="8" w:color="DBDBDB"/>
            </w:tcBorders>
            <w:shd w:val="clear" w:color="auto" w:fill="DBDBDB"/>
          </w:tcPr>
          <w:p>
            <w:pPr>
              <w:ind w:left="20"/>
              <w:spacing w:after="0" w:line="175" w:lineRule="exact"/>
              <w:rPr>
                <w:sz w:val="20"/>
                <w:szCs w:val="20"/>
                <w:color w:val="auto"/>
              </w:rPr>
            </w:pPr>
            <w:r>
              <w:rPr>
                <w:rFonts w:ascii="Arial" w:cs="Arial" w:eastAsia="Arial" w:hAnsi="Arial"/>
                <w:sz w:val="16"/>
                <w:szCs w:val="16"/>
                <w:color w:val="auto"/>
              </w:rPr>
              <w:t>32.1**</w:t>
            </w:r>
          </w:p>
        </w:tc>
        <w:tc>
          <w:tcPr>
            <w:tcW w:w="3320" w:type="dxa"/>
            <w:vAlign w:val="bottom"/>
            <w:tcBorders>
              <w:bottom w:val="single" w:sz="8" w:color="0000FF"/>
            </w:tcBorders>
            <w:gridSpan w:val="15"/>
            <w:shd w:val="clear" w:color="auto" w:fill="DBDBDB"/>
          </w:tcPr>
          <w:p>
            <w:pPr>
              <w:spacing w:after="0" w:line="175" w:lineRule="exact"/>
              <w:rPr>
                <w:sz w:val="20"/>
                <w:szCs w:val="20"/>
                <w:color w:val="auto"/>
              </w:rPr>
            </w:pPr>
            <w:r>
              <w:rPr>
                <w:rFonts w:ascii="Arial" w:cs="Arial" w:eastAsia="Arial" w:hAnsi="Arial"/>
                <w:sz w:val="16"/>
                <w:szCs w:val="16"/>
                <w:color w:val="0000FF"/>
              </w:rPr>
              <w:t>Domenic J. Dell’Osso, Jr., President and Chief</w:t>
            </w:r>
          </w:p>
        </w:tc>
        <w:tc>
          <w:tcPr>
            <w:tcW w:w="400" w:type="dxa"/>
            <w:vAlign w:val="bottom"/>
            <w:tcBorders>
              <w:bottom w:val="single" w:sz="8" w:color="DBDBDB"/>
            </w:tcBorders>
            <w:gridSpan w:val="16"/>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44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spacing w:after="0"/>
              <w:rPr>
                <w:sz w:val="15"/>
                <w:szCs w:val="15"/>
                <w:color w:val="auto"/>
              </w:rPr>
            </w:pPr>
          </w:p>
        </w:tc>
        <w:tc>
          <w:tcPr>
            <w:tcW w:w="2680" w:type="dxa"/>
            <w:vAlign w:val="bottom"/>
            <w:tcBorders>
              <w:bottom w:val="single" w:sz="8" w:color="DBDBDB"/>
            </w:tcBorders>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shd w:val="clear" w:color="auto" w:fill="DBDBDB"/>
          </w:tcPr>
          <w:p>
            <w:pPr>
              <w:spacing w:after="0"/>
              <w:rPr>
                <w:sz w:val="12"/>
                <w:szCs w:val="12"/>
                <w:color w:val="auto"/>
              </w:rPr>
            </w:pPr>
          </w:p>
        </w:tc>
        <w:tc>
          <w:tcPr>
            <w:tcW w:w="3720" w:type="dxa"/>
            <w:vAlign w:val="bottom"/>
            <w:gridSpan w:val="31"/>
            <w:shd w:val="clear" w:color="auto" w:fill="DBDBDB"/>
          </w:tcPr>
          <w:p>
            <w:pPr>
              <w:spacing w:after="0" w:line="142" w:lineRule="exact"/>
              <w:rPr>
                <w:sz w:val="20"/>
                <w:szCs w:val="20"/>
                <w:color w:val="auto"/>
              </w:rPr>
            </w:pPr>
            <w:r>
              <w:rPr>
                <w:rFonts w:ascii="Arial" w:cs="Arial" w:eastAsia="Arial" w:hAnsi="Arial"/>
                <w:sz w:val="16"/>
                <w:szCs w:val="16"/>
                <w:color w:val="0000FF"/>
              </w:rPr>
              <w:t>Executive Officer, Certification pursuant to Section</w:t>
            </w:r>
          </w:p>
        </w:tc>
        <w:tc>
          <w:tcPr>
            <w:tcW w:w="1100" w:type="dxa"/>
            <w:vAlign w:val="bottom"/>
            <w:shd w:val="clear" w:color="auto" w:fill="DBDBDB"/>
          </w:tcPr>
          <w:p>
            <w:pPr>
              <w:spacing w:after="0"/>
              <w:rPr>
                <w:sz w:val="12"/>
                <w:szCs w:val="12"/>
                <w:color w:val="auto"/>
              </w:rPr>
            </w:pPr>
          </w:p>
        </w:tc>
        <w:tc>
          <w:tcPr>
            <w:tcW w:w="14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2680" w:type="dxa"/>
            <w:vAlign w:val="bottom"/>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600" w:type="dxa"/>
            <w:vAlign w:val="bottom"/>
            <w:tcBorders>
              <w:top w:val="single" w:sz="8" w:color="0000FF"/>
            </w:tcBorders>
            <w:gridSpan w:val="25"/>
            <w:shd w:val="clear" w:color="auto" w:fill="DBDBDB"/>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20" w:type="dxa"/>
            <w:vAlign w:val="bottom"/>
            <w:tcBorders>
              <w:top w:val="single" w:sz="8" w:color="DBDBDB"/>
            </w:tcBorders>
            <w:gridSpan w:val="6"/>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32.2**</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Mohit Singh, Executive Vice President and Chief</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42"/>
        </w:trPr>
        <w:tc>
          <w:tcPr>
            <w:tcW w:w="1140" w:type="dxa"/>
            <w:vAlign w:val="bottom"/>
            <w:tcBorders>
              <w:top w:val="single" w:sz="8" w:color="DBDBDB"/>
            </w:tcBorders>
            <w:shd w:val="clear" w:color="auto" w:fill="DBDBDB"/>
          </w:tcPr>
          <w:p>
            <w:pPr>
              <w:spacing w:after="0"/>
              <w:rPr>
                <w:sz w:val="12"/>
                <w:szCs w:val="12"/>
                <w:color w:val="auto"/>
              </w:rPr>
            </w:pPr>
          </w:p>
        </w:tc>
        <w:tc>
          <w:tcPr>
            <w:tcW w:w="3480" w:type="dxa"/>
            <w:vAlign w:val="bottom"/>
            <w:tcBorders>
              <w:top w:val="single" w:sz="8" w:color="0000FF"/>
            </w:tcBorders>
            <w:gridSpan w:val="20"/>
            <w:shd w:val="clear" w:color="auto" w:fill="DBDBDB"/>
          </w:tcPr>
          <w:p>
            <w:pPr>
              <w:spacing w:after="0" w:line="142" w:lineRule="exact"/>
              <w:rPr>
                <w:sz w:val="20"/>
                <w:szCs w:val="20"/>
                <w:color w:val="auto"/>
              </w:rPr>
            </w:pPr>
            <w:r>
              <w:rPr>
                <w:rFonts w:ascii="Arial" w:cs="Arial" w:eastAsia="Arial" w:hAnsi="Arial"/>
                <w:sz w:val="16"/>
                <w:szCs w:val="16"/>
                <w:color w:val="0000FF"/>
                <w:w w:val="98"/>
              </w:rPr>
              <w:t>Financial Officer, Certification pursuant to Section</w:t>
            </w:r>
          </w:p>
        </w:tc>
        <w:tc>
          <w:tcPr>
            <w:tcW w:w="240" w:type="dxa"/>
            <w:vAlign w:val="bottom"/>
            <w:tcBorders>
              <w:top w:val="single" w:sz="8" w:color="DBDBDB"/>
            </w:tcBorders>
            <w:gridSpan w:val="11"/>
            <w:shd w:val="clear" w:color="auto" w:fill="DBDBDB"/>
          </w:tcPr>
          <w:p>
            <w:pPr>
              <w:spacing w:after="0"/>
              <w:rPr>
                <w:sz w:val="12"/>
                <w:szCs w:val="12"/>
                <w:color w:val="auto"/>
              </w:rPr>
            </w:pPr>
          </w:p>
        </w:tc>
        <w:tc>
          <w:tcPr>
            <w:tcW w:w="1100" w:type="dxa"/>
            <w:vAlign w:val="bottom"/>
            <w:tcBorders>
              <w:top w:val="single" w:sz="8" w:color="DBDBDB"/>
            </w:tcBorders>
            <w:shd w:val="clear" w:color="auto" w:fill="DBDBDB"/>
          </w:tcPr>
          <w:p>
            <w:pPr>
              <w:spacing w:after="0"/>
              <w:rPr>
                <w:sz w:val="12"/>
                <w:szCs w:val="12"/>
                <w:color w:val="auto"/>
              </w:rPr>
            </w:pPr>
          </w:p>
        </w:tc>
        <w:tc>
          <w:tcPr>
            <w:tcW w:w="144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2680" w:type="dxa"/>
            <w:vAlign w:val="bottom"/>
            <w:tcBorders>
              <w:top w:val="single" w:sz="8" w:color="DBDBDB"/>
            </w:tcBorders>
            <w:shd w:val="clear" w:color="auto" w:fill="DBDBDB"/>
          </w:tcPr>
          <w:p>
            <w:pPr>
              <w:spacing w:after="0"/>
              <w:rPr>
                <w:sz w:val="12"/>
                <w:szCs w:val="12"/>
                <w:color w:val="auto"/>
              </w:rPr>
            </w:pP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560" w:type="dxa"/>
            <w:vAlign w:val="bottom"/>
            <w:tcBorders>
              <w:top w:val="single" w:sz="8" w:color="0000FF"/>
            </w:tcBorders>
            <w:gridSpan w:val="24"/>
            <w:shd w:val="clear" w:color="auto" w:fill="DBDBDB"/>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60" w:type="dxa"/>
            <w:vAlign w:val="bottom"/>
            <w:tcBorders>
              <w:top w:val="single" w:sz="8" w:color="DBDBDB"/>
            </w:tcBorders>
            <w:gridSpan w:val="7"/>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96"/>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97.1</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Expand Energy Corporation Clawback Policy</w:t>
            </w:r>
          </w:p>
        </w:tc>
        <w:tc>
          <w:tcPr>
            <w:tcW w:w="1100" w:type="dxa"/>
            <w:vAlign w:val="bottom"/>
            <w:shd w:val="clear" w:color="auto" w:fill="DBDBDB"/>
          </w:tcPr>
          <w:p>
            <w:pPr>
              <w:spacing w:after="0"/>
              <w:rPr>
                <w:sz w:val="17"/>
                <w:szCs w:val="17"/>
                <w:color w:val="auto"/>
              </w:rPr>
            </w:pPr>
          </w:p>
        </w:tc>
        <w:tc>
          <w:tcPr>
            <w:tcW w:w="14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76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2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75"/>
        </w:trPr>
        <w:tc>
          <w:tcPr>
            <w:tcW w:w="1140" w:type="dxa"/>
            <w:vAlign w:val="bottom"/>
            <w:shd w:val="clear" w:color="auto" w:fill="DBDBDB"/>
          </w:tcPr>
          <w:p>
            <w:pPr>
              <w:ind w:left="20"/>
              <w:spacing w:after="0" w:line="175" w:lineRule="exact"/>
              <w:rPr>
                <w:sz w:val="20"/>
                <w:szCs w:val="20"/>
                <w:color w:val="auto"/>
              </w:rPr>
            </w:pPr>
            <w:r>
              <w:rPr>
                <w:rFonts w:ascii="Arial" w:cs="Arial" w:eastAsia="Arial" w:hAnsi="Arial"/>
                <w:sz w:val="16"/>
                <w:szCs w:val="16"/>
                <w:color w:val="auto"/>
              </w:rPr>
              <w:t>99.1</w:t>
            </w:r>
          </w:p>
        </w:tc>
        <w:tc>
          <w:tcPr>
            <w:tcW w:w="3720" w:type="dxa"/>
            <w:vAlign w:val="bottom"/>
            <w:gridSpan w:val="31"/>
            <w:shd w:val="clear" w:color="auto" w:fill="DBDBDB"/>
          </w:tcPr>
          <w:p>
            <w:pPr>
              <w:spacing w:after="0" w:line="175" w:lineRule="exact"/>
              <w:rPr>
                <w:sz w:val="20"/>
                <w:szCs w:val="20"/>
                <w:color w:val="auto"/>
              </w:rPr>
            </w:pPr>
            <w:r>
              <w:rPr>
                <w:rFonts w:ascii="Arial" w:cs="Arial" w:eastAsia="Arial" w:hAnsi="Arial"/>
                <w:sz w:val="16"/>
                <w:szCs w:val="16"/>
                <w:color w:val="0000FF"/>
              </w:rPr>
              <w:t>Audit Letter of Netherland, Sewell &amp; Associates,</w:t>
            </w:r>
          </w:p>
        </w:tc>
        <w:tc>
          <w:tcPr>
            <w:tcW w:w="110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680" w:type="dxa"/>
            <w:vAlign w:val="bottom"/>
            <w:shd w:val="clear" w:color="auto" w:fill="DBDBDB"/>
          </w:tcPr>
          <w:p>
            <w:pPr>
              <w:ind w:left="2040"/>
              <w:spacing w:after="0" w:line="175" w:lineRule="exact"/>
              <w:rPr>
                <w:sz w:val="20"/>
                <w:szCs w:val="20"/>
                <w:color w:val="auto"/>
              </w:rPr>
            </w:pPr>
            <w:r>
              <w:rPr>
                <w:rFonts w:ascii="Arial" w:cs="Arial" w:eastAsia="Arial" w:hAnsi="Arial"/>
                <w:sz w:val="16"/>
                <w:szCs w:val="16"/>
                <w:color w:val="auto"/>
              </w:rPr>
              <w:t>X</w:t>
            </w:r>
          </w:p>
        </w:tc>
      </w:tr>
      <w:tr>
        <w:trPr>
          <w:trHeight w:val="163"/>
        </w:trPr>
        <w:tc>
          <w:tcPr>
            <w:tcW w:w="1140" w:type="dxa"/>
            <w:vAlign w:val="bottom"/>
            <w:tcBorders>
              <w:top w:val="single" w:sz="8" w:color="DBDBDB"/>
            </w:tcBorders>
            <w:shd w:val="clear" w:color="auto" w:fill="DBDBDB"/>
          </w:tcPr>
          <w:p>
            <w:pPr>
              <w:spacing w:after="0"/>
              <w:rPr>
                <w:sz w:val="14"/>
                <w:szCs w:val="14"/>
                <w:color w:val="auto"/>
              </w:rPr>
            </w:pPr>
          </w:p>
        </w:tc>
        <w:tc>
          <w:tcPr>
            <w:tcW w:w="3440" w:type="dxa"/>
            <w:vAlign w:val="bottom"/>
            <w:tcBorders>
              <w:top w:val="single" w:sz="8" w:color="0000FF"/>
            </w:tcBorders>
            <w:gridSpan w:val="18"/>
            <w:shd w:val="clear" w:color="auto" w:fill="DBDBDB"/>
          </w:tcPr>
          <w:p>
            <w:pPr>
              <w:spacing w:after="0" w:line="142" w:lineRule="exact"/>
              <w:rPr>
                <w:sz w:val="20"/>
                <w:szCs w:val="20"/>
                <w:color w:val="auto"/>
              </w:rPr>
            </w:pPr>
            <w:r>
              <w:rPr>
                <w:rFonts w:ascii="Arial" w:cs="Arial" w:eastAsia="Arial" w:hAnsi="Arial"/>
                <w:sz w:val="16"/>
                <w:szCs w:val="16"/>
                <w:color w:val="0000FF"/>
              </w:rPr>
              <w:t>Inc.</w:t>
            </w:r>
          </w:p>
        </w:tc>
        <w:tc>
          <w:tcPr>
            <w:tcW w:w="280" w:type="dxa"/>
            <w:vAlign w:val="bottom"/>
            <w:tcBorders>
              <w:top w:val="single" w:sz="8" w:color="DBDBDB"/>
            </w:tcBorders>
            <w:gridSpan w:val="13"/>
            <w:shd w:val="clear" w:color="auto" w:fill="DBDBDB"/>
          </w:tcPr>
          <w:p>
            <w:pPr>
              <w:spacing w:after="0"/>
              <w:rPr>
                <w:sz w:val="14"/>
                <w:szCs w:val="14"/>
                <w:color w:val="auto"/>
              </w:rPr>
            </w:pPr>
          </w:p>
        </w:tc>
        <w:tc>
          <w:tcPr>
            <w:tcW w:w="1100" w:type="dxa"/>
            <w:vAlign w:val="bottom"/>
            <w:tcBorders>
              <w:top w:val="single" w:sz="8" w:color="DBDBDB"/>
            </w:tcBorders>
            <w:shd w:val="clear" w:color="auto" w:fill="DBDBDB"/>
          </w:tcPr>
          <w:p>
            <w:pPr>
              <w:spacing w:after="0"/>
              <w:rPr>
                <w:sz w:val="14"/>
                <w:szCs w:val="14"/>
                <w:color w:val="auto"/>
              </w:rPr>
            </w:pPr>
          </w:p>
        </w:tc>
        <w:tc>
          <w:tcPr>
            <w:tcW w:w="1440" w:type="dxa"/>
            <w:vAlign w:val="bottom"/>
            <w:tcBorders>
              <w:top w:val="single" w:sz="8" w:color="DBDBDB"/>
            </w:tcBorders>
            <w:shd w:val="clear" w:color="auto" w:fill="DBDBDB"/>
          </w:tcPr>
          <w:p>
            <w:pPr>
              <w:spacing w:after="0"/>
              <w:rPr>
                <w:sz w:val="14"/>
                <w:szCs w:val="14"/>
                <w:color w:val="auto"/>
              </w:rPr>
            </w:pPr>
          </w:p>
        </w:tc>
        <w:tc>
          <w:tcPr>
            <w:tcW w:w="1060" w:type="dxa"/>
            <w:vAlign w:val="bottom"/>
            <w:tcBorders>
              <w:top w:val="single" w:sz="8" w:color="DBDBDB"/>
            </w:tcBorders>
            <w:shd w:val="clear" w:color="auto" w:fill="DBDBDB"/>
          </w:tcPr>
          <w:p>
            <w:pPr>
              <w:spacing w:after="0"/>
              <w:rPr>
                <w:sz w:val="14"/>
                <w:szCs w:val="14"/>
                <w:color w:val="auto"/>
              </w:rPr>
            </w:pPr>
          </w:p>
        </w:tc>
        <w:tc>
          <w:tcPr>
            <w:tcW w:w="2680" w:type="dxa"/>
            <w:vAlign w:val="bottom"/>
            <w:tcBorders>
              <w:top w:val="single" w:sz="8" w:color="DBDBDB"/>
            </w:tcBorders>
            <w:shd w:val="clear" w:color="auto" w:fill="DBDBDB"/>
          </w:tcPr>
          <w:p>
            <w:pPr>
              <w:spacing w:after="0"/>
              <w:rPr>
                <w:sz w:val="14"/>
                <w:szCs w:val="14"/>
                <w:color w:val="auto"/>
              </w:rPr>
            </w:pPr>
          </w:p>
        </w:tc>
      </w:tr>
      <w:tr>
        <w:trPr>
          <w:trHeight w:val="95"/>
        </w:trPr>
        <w:tc>
          <w:tcPr>
            <w:tcW w:w="1140" w:type="dxa"/>
            <w:vAlign w:val="bottom"/>
            <w:tcBorders>
              <w:top w:val="single" w:sz="8" w:color="DBDBDB"/>
            </w:tcBorders>
          </w:tcPr>
          <w:p>
            <w:pPr>
              <w:spacing w:after="0"/>
              <w:rPr>
                <w:sz w:val="8"/>
                <w:szCs w:val="8"/>
                <w:color w:val="auto"/>
              </w:rPr>
            </w:pPr>
          </w:p>
        </w:tc>
        <w:tc>
          <w:tcPr>
            <w:tcW w:w="260" w:type="dxa"/>
            <w:vAlign w:val="bottom"/>
            <w:tcBorders>
              <w:top w:val="single" w:sz="8" w:color="0000FF"/>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760" w:type="dxa"/>
            <w:vAlign w:val="bottom"/>
            <w:tcBorders>
              <w:top w:val="single" w:sz="8" w:color="DBDBDB"/>
            </w:tcBorders>
          </w:tcPr>
          <w:p>
            <w:pPr>
              <w:spacing w:after="0"/>
              <w:rPr>
                <w:sz w:val="8"/>
                <w:szCs w:val="8"/>
                <w:color w:val="auto"/>
              </w:rPr>
            </w:pPr>
          </w:p>
        </w:tc>
        <w:tc>
          <w:tcPr>
            <w:tcW w:w="18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1020" w:type="dxa"/>
            <w:vAlign w:val="bottom"/>
            <w:tcBorders>
              <w:top w:val="single" w:sz="8" w:color="DBDBDB"/>
            </w:tcBorders>
          </w:tcPr>
          <w:p>
            <w:pPr>
              <w:spacing w:after="0"/>
              <w:rPr>
                <w:sz w:val="8"/>
                <w:szCs w:val="8"/>
                <w:color w:val="auto"/>
              </w:rPr>
            </w:pPr>
          </w:p>
        </w:tc>
        <w:tc>
          <w:tcPr>
            <w:tcW w:w="220" w:type="dxa"/>
            <w:vAlign w:val="bottom"/>
            <w:tcBorders>
              <w:top w:val="single" w:sz="8" w:color="DBDBDB"/>
            </w:tcBorders>
          </w:tcPr>
          <w:p>
            <w:pPr>
              <w:spacing w:after="0"/>
              <w:rPr>
                <w:sz w:val="8"/>
                <w:szCs w:val="8"/>
                <w:color w:val="auto"/>
              </w:rPr>
            </w:pPr>
          </w:p>
        </w:tc>
        <w:tc>
          <w:tcPr>
            <w:tcW w:w="280" w:type="dxa"/>
            <w:vAlign w:val="bottom"/>
            <w:tcBorders>
              <w:top w:val="single" w:sz="8" w:color="DBDBDB"/>
            </w:tcBorders>
          </w:tcPr>
          <w:p>
            <w:pPr>
              <w:spacing w:after="0"/>
              <w:rPr>
                <w:sz w:val="8"/>
                <w:szCs w:val="8"/>
                <w:color w:val="auto"/>
              </w:rPr>
            </w:pPr>
          </w:p>
        </w:tc>
        <w:tc>
          <w:tcPr>
            <w:tcW w:w="160" w:type="dxa"/>
            <w:vAlign w:val="bottom"/>
            <w:tcBorders>
              <w:top w:val="single" w:sz="8" w:color="DBDBDB"/>
            </w:tcBorders>
          </w:tcPr>
          <w:p>
            <w:pPr>
              <w:spacing w:after="0"/>
              <w:rPr>
                <w:sz w:val="8"/>
                <w:szCs w:val="8"/>
                <w:color w:val="auto"/>
              </w:rPr>
            </w:pPr>
          </w:p>
        </w:tc>
        <w:tc>
          <w:tcPr>
            <w:tcW w:w="1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8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6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4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20" w:type="dxa"/>
            <w:vAlign w:val="bottom"/>
            <w:tcBorders>
              <w:top w:val="single" w:sz="8" w:color="DBDBDB"/>
            </w:tcBorders>
          </w:tcPr>
          <w:p>
            <w:pPr>
              <w:spacing w:after="0"/>
              <w:rPr>
                <w:sz w:val="8"/>
                <w:szCs w:val="8"/>
                <w:color w:val="auto"/>
              </w:rPr>
            </w:pPr>
          </w:p>
        </w:tc>
        <w:tc>
          <w:tcPr>
            <w:tcW w:w="1100" w:type="dxa"/>
            <w:vAlign w:val="bottom"/>
            <w:tcBorders>
              <w:top w:val="single" w:sz="8" w:color="DBDBDB"/>
            </w:tcBorders>
          </w:tcPr>
          <w:p>
            <w:pPr>
              <w:spacing w:after="0"/>
              <w:rPr>
                <w:sz w:val="8"/>
                <w:szCs w:val="8"/>
                <w:color w:val="auto"/>
              </w:rPr>
            </w:pPr>
          </w:p>
        </w:tc>
        <w:tc>
          <w:tcPr>
            <w:tcW w:w="1440" w:type="dxa"/>
            <w:vAlign w:val="bottom"/>
            <w:tcBorders>
              <w:top w:val="single" w:sz="8" w:color="DBDBDB"/>
            </w:tcBorders>
          </w:tcPr>
          <w:p>
            <w:pPr>
              <w:spacing w:after="0"/>
              <w:rPr>
                <w:sz w:val="8"/>
                <w:szCs w:val="8"/>
                <w:color w:val="auto"/>
              </w:rPr>
            </w:pPr>
          </w:p>
        </w:tc>
        <w:tc>
          <w:tcPr>
            <w:tcW w:w="1060" w:type="dxa"/>
            <w:vAlign w:val="bottom"/>
            <w:tcBorders>
              <w:top w:val="single" w:sz="8" w:color="DBDBDB"/>
            </w:tcBorders>
          </w:tcPr>
          <w:p>
            <w:pPr>
              <w:spacing w:after="0"/>
              <w:rPr>
                <w:sz w:val="8"/>
                <w:szCs w:val="8"/>
                <w:color w:val="auto"/>
              </w:rPr>
            </w:pPr>
          </w:p>
        </w:tc>
        <w:tc>
          <w:tcPr>
            <w:tcW w:w="2680" w:type="dxa"/>
            <w:vAlign w:val="bottom"/>
            <w:tcBorders>
              <w:top w:val="single" w:sz="8" w:color="DBDBDB"/>
            </w:tcBorders>
          </w:tcPr>
          <w:p>
            <w:pPr>
              <w:spacing w:after="0"/>
              <w:rPr>
                <w:sz w:val="8"/>
                <w:szCs w:val="8"/>
                <w:color w:val="auto"/>
              </w:rPr>
            </w:pPr>
          </w:p>
        </w:tc>
      </w:tr>
      <w:tr>
        <w:trPr>
          <w:trHeight w:val="162"/>
        </w:trPr>
        <w:tc>
          <w:tcPr>
            <w:tcW w:w="114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101 INS</w:t>
            </w:r>
          </w:p>
        </w:tc>
        <w:tc>
          <w:tcPr>
            <w:tcW w:w="3720" w:type="dxa"/>
            <w:vAlign w:val="bottom"/>
            <w:gridSpan w:val="31"/>
            <w:shd w:val="clear" w:color="auto" w:fill="DBDBDB"/>
          </w:tcPr>
          <w:p>
            <w:pPr>
              <w:spacing w:after="0" w:line="162" w:lineRule="exact"/>
              <w:rPr>
                <w:sz w:val="20"/>
                <w:szCs w:val="20"/>
                <w:color w:val="auto"/>
              </w:rPr>
            </w:pPr>
            <w:r>
              <w:rPr>
                <w:rFonts w:ascii="Arial" w:cs="Arial" w:eastAsia="Arial" w:hAnsi="Arial"/>
                <w:sz w:val="16"/>
                <w:szCs w:val="16"/>
                <w:color w:val="auto"/>
              </w:rPr>
              <w:t>Inline XBRL Instance Document - the instance</w:t>
            </w: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ind w:left="2040"/>
              <w:spacing w:after="0" w:line="162" w:lineRule="exact"/>
              <w:rPr>
                <w:sz w:val="20"/>
                <w:szCs w:val="20"/>
                <w:color w:val="auto"/>
              </w:rPr>
            </w:pPr>
            <w:r>
              <w:rPr>
                <w:rFonts w:ascii="Arial" w:cs="Arial" w:eastAsia="Arial" w:hAnsi="Arial"/>
                <w:sz w:val="16"/>
                <w:szCs w:val="16"/>
                <w:color w:val="auto"/>
              </w:rPr>
              <w:t>X</w:t>
            </w:r>
          </w:p>
        </w:tc>
      </w:tr>
      <w:tr>
        <w:trPr>
          <w:trHeight w:val="162"/>
        </w:trPr>
        <w:tc>
          <w:tcPr>
            <w:tcW w:w="1140" w:type="dxa"/>
            <w:vAlign w:val="bottom"/>
            <w:shd w:val="clear" w:color="auto" w:fill="DBDBDB"/>
          </w:tcPr>
          <w:p>
            <w:pPr>
              <w:spacing w:after="0"/>
              <w:rPr>
                <w:sz w:val="14"/>
                <w:szCs w:val="14"/>
                <w:color w:val="auto"/>
              </w:rPr>
            </w:pPr>
          </w:p>
        </w:tc>
        <w:tc>
          <w:tcPr>
            <w:tcW w:w="3720" w:type="dxa"/>
            <w:vAlign w:val="bottom"/>
            <w:gridSpan w:val="31"/>
            <w:shd w:val="clear" w:color="auto" w:fill="DBDBDB"/>
          </w:tcPr>
          <w:p>
            <w:pPr>
              <w:spacing w:after="0" w:line="162" w:lineRule="exact"/>
              <w:rPr>
                <w:sz w:val="20"/>
                <w:szCs w:val="20"/>
                <w:color w:val="auto"/>
              </w:rPr>
            </w:pPr>
            <w:r>
              <w:rPr>
                <w:rFonts w:ascii="Arial" w:cs="Arial" w:eastAsia="Arial" w:hAnsi="Arial"/>
                <w:sz w:val="16"/>
                <w:szCs w:val="16"/>
                <w:color w:val="auto"/>
              </w:rPr>
              <w:t>document does not appear in the Interactive Data</w:t>
            </w: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162"/>
        </w:trPr>
        <w:tc>
          <w:tcPr>
            <w:tcW w:w="1140" w:type="dxa"/>
            <w:vAlign w:val="bottom"/>
            <w:shd w:val="clear" w:color="auto" w:fill="DBDBDB"/>
          </w:tcPr>
          <w:p>
            <w:pPr>
              <w:spacing w:after="0"/>
              <w:rPr>
                <w:sz w:val="14"/>
                <w:szCs w:val="14"/>
                <w:color w:val="auto"/>
              </w:rPr>
            </w:pPr>
          </w:p>
        </w:tc>
        <w:tc>
          <w:tcPr>
            <w:tcW w:w="3720" w:type="dxa"/>
            <w:vAlign w:val="bottom"/>
            <w:gridSpan w:val="31"/>
            <w:shd w:val="clear" w:color="auto" w:fill="DBDBDB"/>
          </w:tcPr>
          <w:p>
            <w:pPr>
              <w:spacing w:after="0" w:line="162" w:lineRule="exact"/>
              <w:rPr>
                <w:sz w:val="20"/>
                <w:szCs w:val="20"/>
                <w:color w:val="auto"/>
              </w:rPr>
            </w:pPr>
            <w:r>
              <w:rPr>
                <w:rFonts w:ascii="Arial" w:cs="Arial" w:eastAsia="Arial" w:hAnsi="Arial"/>
                <w:sz w:val="16"/>
                <w:szCs w:val="16"/>
                <w:color w:val="auto"/>
              </w:rPr>
              <w:t>File because its XBRL tags are embedded within</w:t>
            </w:r>
          </w:p>
        </w:tc>
        <w:tc>
          <w:tcPr>
            <w:tcW w:w="1100" w:type="dxa"/>
            <w:vAlign w:val="bottom"/>
            <w:shd w:val="clear" w:color="auto" w:fill="DBDBDB"/>
          </w:tcPr>
          <w:p>
            <w:pPr>
              <w:spacing w:after="0"/>
              <w:rPr>
                <w:sz w:val="14"/>
                <w:szCs w:val="14"/>
                <w:color w:val="auto"/>
              </w:rPr>
            </w:pPr>
          </w:p>
        </w:tc>
        <w:tc>
          <w:tcPr>
            <w:tcW w:w="14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2680" w:type="dxa"/>
            <w:vAlign w:val="bottom"/>
            <w:shd w:val="clear" w:color="auto" w:fill="DBDBDB"/>
          </w:tcPr>
          <w:p>
            <w:pPr>
              <w:spacing w:after="0"/>
              <w:rPr>
                <w:sz w:val="14"/>
                <w:szCs w:val="14"/>
                <w:color w:val="auto"/>
              </w:rPr>
            </w:pPr>
          </w:p>
        </w:tc>
      </w:tr>
      <w:tr>
        <w:trPr>
          <w:trHeight w:val="216"/>
        </w:trPr>
        <w:tc>
          <w:tcPr>
            <w:tcW w:w="1140" w:type="dxa"/>
            <w:vAlign w:val="bottom"/>
            <w:shd w:val="clear" w:color="auto" w:fill="DBDBDB"/>
          </w:tcPr>
          <w:p>
            <w:pPr>
              <w:spacing w:after="0"/>
              <w:rPr>
                <w:sz w:val="18"/>
                <w:szCs w:val="18"/>
                <w:color w:val="auto"/>
              </w:rPr>
            </w:pPr>
          </w:p>
        </w:tc>
        <w:tc>
          <w:tcPr>
            <w:tcW w:w="3720" w:type="dxa"/>
            <w:vAlign w:val="bottom"/>
            <w:gridSpan w:val="31"/>
            <w:shd w:val="clear" w:color="auto" w:fill="DBDBDB"/>
          </w:tcPr>
          <w:p>
            <w:pPr>
              <w:spacing w:after="0"/>
              <w:rPr>
                <w:sz w:val="20"/>
                <w:szCs w:val="20"/>
                <w:color w:val="auto"/>
              </w:rPr>
            </w:pPr>
            <w:r>
              <w:rPr>
                <w:rFonts w:ascii="Arial" w:cs="Arial" w:eastAsia="Arial" w:hAnsi="Arial"/>
                <w:sz w:val="16"/>
                <w:szCs w:val="16"/>
                <w:color w:val="auto"/>
              </w:rPr>
              <w:t>the Inline XBRL document.</w:t>
            </w:r>
          </w:p>
        </w:tc>
        <w:tc>
          <w:tcPr>
            <w:tcW w:w="110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680" w:type="dxa"/>
            <w:vAlign w:val="bottom"/>
            <w:shd w:val="clear" w:color="auto" w:fill="DBDBDB"/>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SCH</w:t>
            </w: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Taxonomy Extension Schema</w:t>
            </w:r>
          </w:p>
        </w:tc>
        <w:tc>
          <w:tcPr>
            <w:tcW w:w="6300" w:type="dxa"/>
            <w:vAlign w:val="bottom"/>
            <w:shd w:val="clear" w:color="auto" w:fill="DBDBDB"/>
          </w:tcPr>
          <w:p>
            <w:pPr>
              <w:ind w:left="5640"/>
              <w:spacing w:after="0"/>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Document.</w:t>
            </w:r>
          </w:p>
        </w:tc>
        <w:tc>
          <w:tcPr>
            <w:tcW w:w="6300" w:type="dxa"/>
            <w:vAlign w:val="bottom"/>
            <w:shd w:val="clear" w:color="auto" w:fill="DBDBDB"/>
          </w:tcPr>
          <w:p>
            <w:pPr>
              <w:spacing w:after="0"/>
              <w:rPr>
                <w:sz w:val="18"/>
                <w:szCs w:val="18"/>
                <w:color w:val="auto"/>
              </w:rPr>
            </w:pPr>
          </w:p>
        </w:tc>
      </w:tr>
      <w:tr>
        <w:trPr>
          <w:trHeight w:val="95"/>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CAL</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Calculation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5"/>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DEF</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Definition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5"/>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LAB</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Labels Linkbase</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101</w:t>
            </w:r>
          </w:p>
        </w:tc>
        <w:tc>
          <w:tcPr>
            <w:tcW w:w="600" w:type="dxa"/>
            <w:vAlign w:val="bottom"/>
            <w:shd w:val="clear" w:color="auto" w:fill="DBDBDB"/>
          </w:tcPr>
          <w:p>
            <w:pPr>
              <w:ind w:left="20"/>
              <w:spacing w:after="0" w:line="162" w:lineRule="exact"/>
              <w:rPr>
                <w:sz w:val="20"/>
                <w:szCs w:val="20"/>
                <w:color w:val="auto"/>
              </w:rPr>
            </w:pPr>
            <w:r>
              <w:rPr>
                <w:rFonts w:ascii="Arial" w:cs="Arial" w:eastAsia="Arial" w:hAnsi="Arial"/>
                <w:sz w:val="16"/>
                <w:szCs w:val="16"/>
                <w:color w:val="auto"/>
              </w:rPr>
              <w:t>PRE</w:t>
            </w: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Inline XBRL Taxonomy Extension Presentation</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Linkbase Document.</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940" w:type="dxa"/>
            <w:vAlign w:val="bottom"/>
          </w:tcPr>
          <w:p>
            <w:pPr>
              <w:spacing w:after="0"/>
              <w:rPr>
                <w:sz w:val="8"/>
                <w:szCs w:val="8"/>
                <w:color w:val="auto"/>
              </w:rPr>
            </w:pPr>
          </w:p>
        </w:tc>
        <w:tc>
          <w:tcPr>
            <w:tcW w:w="6300" w:type="dxa"/>
            <w:vAlign w:val="bottom"/>
          </w:tcPr>
          <w:p>
            <w:pPr>
              <w:spacing w:after="0"/>
              <w:rPr>
                <w:sz w:val="8"/>
                <w:szCs w:val="8"/>
                <w:color w:val="auto"/>
              </w:rPr>
            </w:pPr>
          </w:p>
        </w:tc>
      </w:tr>
      <w:tr>
        <w:trPr>
          <w:trHeight w:val="162"/>
        </w:trPr>
        <w:tc>
          <w:tcPr>
            <w:tcW w:w="300" w:type="dxa"/>
            <w:vAlign w:val="bottom"/>
            <w:shd w:val="clear" w:color="auto" w:fill="DBDBDB"/>
          </w:tcPr>
          <w:p>
            <w:pPr>
              <w:jc w:val="right"/>
              <w:spacing w:after="0" w:line="162" w:lineRule="exact"/>
              <w:rPr>
                <w:sz w:val="20"/>
                <w:szCs w:val="20"/>
                <w:color w:val="auto"/>
              </w:rPr>
            </w:pPr>
            <w:r>
              <w:rPr>
                <w:rFonts w:ascii="Arial" w:cs="Arial" w:eastAsia="Arial" w:hAnsi="Arial"/>
                <w:sz w:val="16"/>
                <w:szCs w:val="16"/>
                <w:color w:val="auto"/>
                <w:w w:val="97"/>
              </w:rPr>
              <w:t>104</w:t>
            </w:r>
          </w:p>
        </w:tc>
        <w:tc>
          <w:tcPr>
            <w:tcW w:w="600" w:type="dxa"/>
            <w:vAlign w:val="bottom"/>
            <w:shd w:val="clear" w:color="auto" w:fill="DBDBDB"/>
          </w:tcPr>
          <w:p>
            <w:pPr>
              <w:spacing w:after="0"/>
              <w:rPr>
                <w:sz w:val="14"/>
                <w:szCs w:val="14"/>
                <w:color w:val="auto"/>
              </w:rPr>
            </w:pPr>
          </w:p>
        </w:tc>
        <w:tc>
          <w:tcPr>
            <w:tcW w:w="3940" w:type="dxa"/>
            <w:vAlign w:val="bottom"/>
            <w:shd w:val="clear" w:color="auto" w:fill="DBDBDB"/>
          </w:tcPr>
          <w:p>
            <w:pPr>
              <w:ind w:left="240"/>
              <w:spacing w:after="0" w:line="162" w:lineRule="exact"/>
              <w:rPr>
                <w:sz w:val="20"/>
                <w:szCs w:val="20"/>
                <w:color w:val="auto"/>
              </w:rPr>
            </w:pPr>
            <w:r>
              <w:rPr>
                <w:rFonts w:ascii="Arial" w:cs="Arial" w:eastAsia="Arial" w:hAnsi="Arial"/>
                <w:sz w:val="16"/>
                <w:szCs w:val="16"/>
                <w:color w:val="auto"/>
              </w:rPr>
              <w:t>Cover Page Interactive Data file (formatted as</w:t>
            </w:r>
          </w:p>
        </w:tc>
        <w:tc>
          <w:tcPr>
            <w:tcW w:w="6300" w:type="dxa"/>
            <w:vAlign w:val="bottom"/>
            <w:shd w:val="clear" w:color="auto" w:fill="DBDBDB"/>
          </w:tcPr>
          <w:p>
            <w:pPr>
              <w:ind w:left="5640"/>
              <w:spacing w:after="0" w:line="162" w:lineRule="exact"/>
              <w:rPr>
                <w:sz w:val="20"/>
                <w:szCs w:val="20"/>
                <w:color w:val="auto"/>
              </w:rPr>
            </w:pPr>
            <w:r>
              <w:rPr>
                <w:rFonts w:ascii="Arial" w:cs="Arial" w:eastAsia="Arial" w:hAnsi="Arial"/>
                <w:sz w:val="16"/>
                <w:szCs w:val="16"/>
                <w:color w:val="auto"/>
              </w:rPr>
              <w:t>X</w:t>
            </w:r>
          </w:p>
        </w:tc>
      </w:tr>
      <w:tr>
        <w:trPr>
          <w:trHeight w:val="216"/>
        </w:trPr>
        <w:tc>
          <w:tcPr>
            <w:tcW w:w="300" w:type="dxa"/>
            <w:vAlign w:val="bottom"/>
            <w:shd w:val="clear" w:color="auto" w:fill="DBDBDB"/>
          </w:tcPr>
          <w:p>
            <w:pPr>
              <w:spacing w:after="0"/>
              <w:rPr>
                <w:sz w:val="18"/>
                <w:szCs w:val="18"/>
                <w:color w:val="auto"/>
              </w:rPr>
            </w:pPr>
          </w:p>
        </w:tc>
        <w:tc>
          <w:tcPr>
            <w:tcW w:w="600" w:type="dxa"/>
            <w:vAlign w:val="bottom"/>
            <w:shd w:val="clear" w:color="auto" w:fill="DBDBDB"/>
          </w:tcPr>
          <w:p>
            <w:pPr>
              <w:spacing w:after="0"/>
              <w:rPr>
                <w:sz w:val="18"/>
                <w:szCs w:val="18"/>
                <w:color w:val="auto"/>
              </w:rPr>
            </w:pPr>
          </w:p>
        </w:tc>
        <w:tc>
          <w:tcPr>
            <w:tcW w:w="394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Inline XBRL and contained in Exhibit 101).</w:t>
            </w:r>
          </w:p>
        </w:tc>
        <w:tc>
          <w:tcPr>
            <w:tcW w:w="6300" w:type="dxa"/>
            <w:vAlign w:val="bottom"/>
            <w:shd w:val="clear" w:color="auto" w:fill="DBDBDB"/>
          </w:tcPr>
          <w:p>
            <w:pPr>
              <w:spacing w:after="0"/>
              <w:rPr>
                <w:sz w:val="18"/>
                <w:szCs w:val="18"/>
                <w:color w:val="auto"/>
              </w:rPr>
            </w:pPr>
          </w:p>
        </w:tc>
      </w:tr>
      <w:tr>
        <w:trPr>
          <w:trHeight w:val="94"/>
        </w:trPr>
        <w:tc>
          <w:tcPr>
            <w:tcW w:w="3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9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r>
    </w:tbl>
    <w:p>
      <w:pPr>
        <w:spacing w:after="0" w:line="188" w:lineRule="exact"/>
        <w:rPr>
          <w:sz w:val="20"/>
          <w:szCs w:val="20"/>
          <w:color w:val="auto"/>
        </w:rPr>
      </w:pPr>
    </w:p>
    <w:p>
      <w:pPr>
        <w:ind w:left="1200" w:right="440" w:hanging="1127"/>
        <w:spacing w:after="0" w:line="246" w:lineRule="auto"/>
        <w:tabs>
          <w:tab w:leader="none" w:pos="12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Schedules have been omitted pursuant to Item 601(a)(5) of Regulation S-K. The registrant hereby undertakes to furnish supplemental copies of any of the omitted schedules upon request by the SEC.</w:t>
      </w:r>
    </w:p>
    <w:p>
      <w:pPr>
        <w:spacing w:after="0" w:line="1" w:lineRule="exact"/>
        <w:rPr>
          <w:sz w:val="20"/>
          <w:szCs w:val="20"/>
          <w:color w:val="auto"/>
        </w:rPr>
      </w:pPr>
    </w:p>
    <w:p>
      <w:pPr>
        <w:ind w:left="1200" w:hanging="1127"/>
        <w:spacing w:after="0"/>
        <w:tabs>
          <w:tab w:leader="none" w:pos="12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ind w:left="1200" w:hanging="1127"/>
        <w:spacing w:after="0"/>
        <w:tabs>
          <w:tab w:leader="none" w:pos="12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PLEASE NOTE: Pursuant to the rules and regulations of the Securities and Exchange Commission, we have filed or incorporated by</w:t>
      </w:r>
    </w:p>
    <w:p>
      <w:pPr>
        <w:jc w:val="both"/>
        <w:ind w:left="80" w:right="20"/>
        <w:spacing w:after="0" w:line="208" w:lineRule="auto"/>
        <w:rPr>
          <w:sz w:val="20"/>
          <w:szCs w:val="20"/>
          <w:color w:val="auto"/>
        </w:rPr>
      </w:pPr>
      <w:r>
        <w:rPr>
          <w:rFonts w:ascii="Arial" w:cs="Arial" w:eastAsia="Arial" w:hAnsi="Arial"/>
          <w:sz w:val="18"/>
          <w:szCs w:val="18"/>
          <w:color w:val="auto"/>
        </w:rPr>
        <w:t>reference the agreements referenced above as exhibits to this Annual Report on Form 10-K. The agreements have been filed to provide investors with information regarding their respective terms. The agreements are not intended to provide any other factual information about Expand Energy Corporation or its business or operations. In particular, the assertions embodied in any representations, warranties and</w:t>
      </w:r>
    </w:p>
    <w:p>
      <w:pPr>
        <w:spacing w:after="0" w:line="2" w:lineRule="exact"/>
        <w:rPr>
          <w:sz w:val="20"/>
          <w:szCs w:val="20"/>
          <w:color w:val="auto"/>
        </w:rPr>
      </w:pPr>
    </w:p>
    <w:p>
      <w:pPr>
        <w:jc w:val="both"/>
        <w:ind w:left="80" w:right="20"/>
        <w:spacing w:after="0" w:line="208" w:lineRule="auto"/>
        <w:rPr>
          <w:sz w:val="20"/>
          <w:szCs w:val="20"/>
          <w:color w:val="auto"/>
        </w:rPr>
      </w:pPr>
      <w:r>
        <w:rPr>
          <w:rFonts w:ascii="Arial" w:cs="Arial" w:eastAsia="Arial" w:hAnsi="Arial"/>
          <w:sz w:val="18"/>
          <w:szCs w:val="18"/>
          <w:color w:val="auto"/>
        </w:rPr>
        <w:t>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w:t>
      </w:r>
    </w:p>
    <w:p>
      <w:pPr>
        <w:spacing w:after="0" w:line="2" w:lineRule="exact"/>
        <w:rPr>
          <w:sz w:val="20"/>
          <w:szCs w:val="20"/>
          <w:color w:val="auto"/>
        </w:rPr>
      </w:pPr>
    </w:p>
    <w:p>
      <w:pPr>
        <w:jc w:val="both"/>
        <w:ind w:left="80" w:right="40"/>
        <w:spacing w:after="0" w:line="208" w:lineRule="auto"/>
        <w:rPr>
          <w:sz w:val="20"/>
          <w:szCs w:val="20"/>
          <w:color w:val="auto"/>
        </w:rPr>
      </w:pPr>
      <w:r>
        <w:rPr>
          <w:rFonts w:ascii="Arial" w:cs="Arial" w:eastAsia="Arial" w:hAnsi="Arial"/>
          <w:sz w:val="18"/>
          <w:szCs w:val="18"/>
          <w:color w:val="auto"/>
        </w:rPr>
        <w:t>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w:t>
      </w:r>
    </w:p>
    <w:p>
      <w:pPr>
        <w:spacing w:after="0" w:line="2" w:lineRule="exact"/>
        <w:rPr>
          <w:sz w:val="20"/>
          <w:szCs w:val="20"/>
          <w:color w:val="auto"/>
        </w:rPr>
      </w:pPr>
    </w:p>
    <w:p>
      <w:pPr>
        <w:jc w:val="both"/>
        <w:ind w:left="80" w:right="20"/>
        <w:spacing w:after="0" w:line="221" w:lineRule="auto"/>
        <w:rPr>
          <w:sz w:val="20"/>
          <w:szCs w:val="20"/>
          <w:color w:val="auto"/>
        </w:rPr>
      </w:pPr>
      <w:r>
        <w:rPr>
          <w:rFonts w:ascii="Arial" w:cs="Arial" w:eastAsia="Arial" w:hAnsi="Arial"/>
          <w:sz w:val="18"/>
          <w:szCs w:val="18"/>
          <w:color w:val="auto"/>
        </w:rPr>
        <w:t>subsequent information may or may not be fully reflected in our public disclosures. Accordingly, investors should not rely on the representations, warranties and covenants in the agreements as characterizations of the actual state of facts about Expand Energy Corporation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16.</w:t>
      </w:r>
      <w:r>
        <w:rPr>
          <w:sz w:val="20"/>
          <w:szCs w:val="20"/>
          <w:color w:val="auto"/>
        </w:rPr>
        <w:tab/>
      </w:r>
      <w:r>
        <w:rPr>
          <w:rFonts w:ascii="Arial" w:cs="Arial" w:eastAsia="Arial" w:hAnsi="Arial"/>
          <w:sz w:val="17"/>
          <w:szCs w:val="17"/>
          <w:b w:val="1"/>
          <w:bCs w:val="1"/>
          <w:i w:val="1"/>
          <w:iCs w:val="1"/>
          <w:color w:val="00386C"/>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17780</wp:posOffset>
            </wp:positionV>
            <wp:extent cx="118300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9">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9" w:name="page130"/>
    <w:bookmarkEnd w:id="129"/>
    <w:p>
      <w:pPr>
        <w:spacing w:after="0" w:line="153"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Signatures</w:t>
      </w:r>
    </w:p>
    <w:p>
      <w:pPr>
        <w:spacing w:after="0" w:line="90"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p>
        </w:tc>
        <w:tc>
          <w:tcPr>
            <w:tcW w:w="6900" w:type="dxa"/>
            <w:vAlign w:val="bottom"/>
            <w:gridSpan w:val="2"/>
          </w:tcPr>
          <w:p>
            <w:pPr>
              <w:ind w:left="1640"/>
              <w:spacing w:after="0"/>
              <w:rPr>
                <w:sz w:val="20"/>
                <w:szCs w:val="20"/>
                <w:color w:val="auto"/>
              </w:rPr>
            </w:pPr>
            <w:r>
              <w:rPr>
                <w:rFonts w:ascii="Arial" w:cs="Arial" w:eastAsia="Arial" w:hAnsi="Arial"/>
                <w:sz w:val="18"/>
                <w:szCs w:val="18"/>
                <w:color w:val="auto"/>
              </w:rPr>
              <w:t>EXPAND ENERGY CORPORATION</w:t>
            </w:r>
          </w:p>
        </w:tc>
      </w:tr>
      <w:tr>
        <w:trPr>
          <w:trHeight w:val="374"/>
        </w:trPr>
        <w:tc>
          <w:tcPr>
            <w:tcW w:w="3580" w:type="dxa"/>
            <w:vAlign w:val="bottom"/>
          </w:tcPr>
          <w:p>
            <w:pPr>
              <w:spacing w:after="0"/>
              <w:rPr>
                <w:sz w:val="20"/>
                <w:szCs w:val="20"/>
                <w:color w:val="auto"/>
              </w:rPr>
            </w:pPr>
            <w:r>
              <w:rPr>
                <w:rFonts w:ascii="Arial" w:cs="Arial" w:eastAsia="Arial" w:hAnsi="Arial"/>
                <w:sz w:val="18"/>
                <w:szCs w:val="18"/>
                <w:color w:val="auto"/>
              </w:rPr>
              <w:t>Date: February 26, 2025</w:t>
            </w:r>
          </w:p>
        </w:tc>
        <w:tc>
          <w:tcPr>
            <w:tcW w:w="2320" w:type="dxa"/>
            <w:vAlign w:val="bottom"/>
          </w:tcPr>
          <w:p>
            <w:pPr>
              <w:ind w:left="1640"/>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DOMENIC J. DELL’OSSO, JR.</w:t>
            </w:r>
          </w:p>
        </w:tc>
      </w:tr>
      <w:tr>
        <w:trPr>
          <w:trHeight w:val="220"/>
        </w:trPr>
        <w:tc>
          <w:tcPr>
            <w:tcW w:w="35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35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jc w:val="center"/>
        <w:ind w:left="400"/>
        <w:spacing w:after="0"/>
        <w:rPr>
          <w:sz w:val="20"/>
          <w:szCs w:val="20"/>
          <w:color w:val="auto"/>
        </w:rPr>
      </w:pPr>
      <w:r>
        <w:rPr>
          <w:rFonts w:ascii="Arial" w:cs="Arial" w:eastAsia="Arial" w:hAnsi="Arial"/>
          <w:sz w:val="18"/>
          <w:szCs w:val="18"/>
          <w:color w:val="auto"/>
        </w:rPr>
        <w:t>POWER OF ATTORNEY</w:t>
      </w:r>
    </w:p>
    <w:p>
      <w:pPr>
        <w:spacing w:after="0" w:line="9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Each person whose signature appears below constitutes and appoints Domenic J. Dell'Osso, Jr.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the substitute or substitutes of any or all of them, may lawfully do or cause to be done by virtue hereof.</w:t>
      </w:r>
    </w:p>
    <w:p>
      <w:pPr>
        <w:spacing w:after="0" w:line="61"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Signature</w:t>
            </w:r>
          </w:p>
        </w:tc>
        <w:tc>
          <w:tcPr>
            <w:tcW w:w="180" w:type="dxa"/>
            <w:vAlign w:val="bottom"/>
          </w:tcPr>
          <w:p>
            <w:pPr>
              <w:spacing w:after="0"/>
              <w:rPr>
                <w:sz w:val="18"/>
                <w:szCs w:val="18"/>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Capacity</w:t>
            </w:r>
          </w:p>
        </w:tc>
        <w:tc>
          <w:tcPr>
            <w:tcW w:w="16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DOMENIC J. DELL’OSSO, JR.</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President and Chief Executive Officer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Domenic J. Dell’Osso, Jr.</w:t>
            </w:r>
          </w:p>
        </w:tc>
        <w:tc>
          <w:tcPr>
            <w:tcW w:w="180" w:type="dxa"/>
            <w:vAlign w:val="bottom"/>
          </w:tcPr>
          <w:p>
            <w:pPr>
              <w:spacing w:after="0"/>
              <w:rPr>
                <w:sz w:val="18"/>
                <w:szCs w:val="18"/>
                <w:color w:val="auto"/>
              </w:rPr>
            </w:pPr>
          </w:p>
        </w:tc>
        <w:tc>
          <w:tcPr>
            <w:tcW w:w="4700" w:type="dxa"/>
            <w:vAlign w:val="bottom"/>
            <w:gridSpan w:val="2"/>
          </w:tcPr>
          <w:p>
            <w:pPr>
              <w:jc w:val="center"/>
              <w:ind w:right="180"/>
              <w:spacing w:after="0"/>
              <w:rPr>
                <w:sz w:val="20"/>
                <w:szCs w:val="20"/>
                <w:color w:val="auto"/>
              </w:rPr>
            </w:pPr>
            <w:r>
              <w:rPr>
                <w:rFonts w:ascii="Arial" w:cs="Arial" w:eastAsia="Arial" w:hAnsi="Arial"/>
                <w:sz w:val="15"/>
                <w:szCs w:val="15"/>
                <w:color w:val="auto"/>
              </w:rPr>
              <w:t>(Principal Executive Officer)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70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436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color w:val="auto"/>
              </w:rPr>
              <w:t>/s/ MOHIT SINGH</w:t>
            </w:r>
          </w:p>
        </w:tc>
        <w:tc>
          <w:tcPr>
            <w:tcW w:w="180" w:type="dxa"/>
            <w:vAlign w:val="bottom"/>
          </w:tcPr>
          <w:p>
            <w:pPr>
              <w:spacing w:after="0"/>
              <w:rPr>
                <w:sz w:val="12"/>
                <w:szCs w:val="12"/>
                <w:color w:val="auto"/>
              </w:rPr>
            </w:pPr>
          </w:p>
        </w:tc>
        <w:tc>
          <w:tcPr>
            <w:tcW w:w="4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rPr>
              <w:t>Executive Vice President</w:t>
            </w:r>
          </w:p>
        </w:tc>
        <w:tc>
          <w:tcPr>
            <w:tcW w:w="16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36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47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rPr>
              <w:t>and Chief Financial Officer</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Mohit Singh</w:t>
            </w:r>
          </w:p>
        </w:tc>
        <w:tc>
          <w:tcPr>
            <w:tcW w:w="180" w:type="dxa"/>
            <w:vAlign w:val="bottom"/>
          </w:tcPr>
          <w:p>
            <w:pPr>
              <w:spacing w:after="0"/>
              <w:rPr>
                <w:sz w:val="18"/>
                <w:szCs w:val="18"/>
                <w:color w:val="auto"/>
              </w:rPr>
            </w:pPr>
          </w:p>
        </w:tc>
        <w:tc>
          <w:tcPr>
            <w:tcW w:w="4700" w:type="dxa"/>
            <w:vAlign w:val="bottom"/>
            <w:gridSpan w:val="2"/>
          </w:tcPr>
          <w:p>
            <w:pPr>
              <w:jc w:val="center"/>
              <w:ind w:right="180"/>
              <w:spacing w:after="0"/>
              <w:rPr>
                <w:sz w:val="20"/>
                <w:szCs w:val="20"/>
                <w:color w:val="auto"/>
              </w:rPr>
            </w:pPr>
            <w:r>
              <w:rPr>
                <w:rFonts w:ascii="Arial" w:cs="Arial" w:eastAsia="Arial" w:hAnsi="Arial"/>
                <w:sz w:val="15"/>
                <w:szCs w:val="15"/>
                <w:color w:val="auto"/>
              </w:rPr>
              <w:t>(Principal Financial Officer)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14"/>
        </w:trPr>
        <w:tc>
          <w:tcPr>
            <w:tcW w:w="4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5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GREGORY M. LARSON</w:t>
            </w:r>
          </w:p>
        </w:tc>
        <w:tc>
          <w:tcPr>
            <w:tcW w:w="180" w:type="dxa"/>
            <w:vAlign w:val="bottom"/>
          </w:tcPr>
          <w:p>
            <w:pPr>
              <w:spacing w:after="0"/>
              <w:rPr>
                <w:sz w:val="18"/>
                <w:szCs w:val="18"/>
                <w:color w:val="auto"/>
              </w:rPr>
            </w:pPr>
          </w:p>
        </w:tc>
        <w:tc>
          <w:tcPr>
            <w:tcW w:w="4700" w:type="dxa"/>
            <w:vAlign w:val="bottom"/>
            <w:gridSpan w:val="2"/>
          </w:tcPr>
          <w:p>
            <w:pPr>
              <w:jc w:val="center"/>
              <w:ind w:right="180"/>
              <w:spacing w:after="0"/>
              <w:rPr>
                <w:sz w:val="20"/>
                <w:szCs w:val="20"/>
                <w:color w:val="auto"/>
              </w:rPr>
            </w:pPr>
            <w:r>
              <w:rPr>
                <w:rFonts w:ascii="Arial" w:cs="Arial" w:eastAsia="Arial" w:hAnsi="Arial"/>
                <w:sz w:val="15"/>
                <w:szCs w:val="15"/>
                <w:color w:val="auto"/>
              </w:rPr>
              <w:t>Vice President - Accounting &amp; Controller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Gregory M. Larson</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(Principal Accounting Officer)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MICHAEL A. WICHTERICH</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Michael A. Wichterich</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Chairman of the Board</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TIMOTHY S. DUNCAN</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Timothy S. Duncan</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BENJAMIN C. DUSTER, IV</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Benjamin C. Duster, IV</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SARAH A. EMERSON</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Sarah A. Emerson</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MATTHEW M. GALLAGHER</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Matthew M. Gallagher</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JOHN D. GASS</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w w:val="99"/>
              </w:rPr>
              <w:t>John D. Gass</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SYLVESTER P. JOHNSON IV</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Sylvester P. Johnson IV</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/s/ CATHERINE A. KEHR</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Catherine A. Kehr</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SHAMEEK KONAR</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Shameek Konar</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r>
        <w:trPr>
          <w:trHeight w:val="101"/>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5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BRIAN STECK</w:t>
            </w:r>
          </w:p>
        </w:tc>
        <w:tc>
          <w:tcPr>
            <w:tcW w:w="1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60" w:type="dxa"/>
            <w:vAlign w:val="bottom"/>
          </w:tcPr>
          <w:p>
            <w:pPr>
              <w:jc w:val="center"/>
              <w:spacing w:after="0"/>
              <w:rPr>
                <w:sz w:val="20"/>
                <w:szCs w:val="20"/>
                <w:color w:val="auto"/>
              </w:rPr>
            </w:pPr>
            <w:r>
              <w:rPr>
                <w:rFonts w:ascii="Arial" w:cs="Arial" w:eastAsia="Arial" w:hAnsi="Arial"/>
                <w:sz w:val="16"/>
                <w:szCs w:val="16"/>
                <w:b w:val="1"/>
                <w:bCs w:val="1"/>
                <w:color w:val="auto"/>
              </w:rPr>
              <w:t>Brian Steck</w:t>
            </w:r>
          </w:p>
        </w:tc>
        <w:tc>
          <w:tcPr>
            <w:tcW w:w="180" w:type="dxa"/>
            <w:vAlign w:val="bottom"/>
          </w:tcPr>
          <w:p>
            <w:pPr>
              <w:spacing w:after="0"/>
              <w:rPr>
                <w:sz w:val="18"/>
                <w:szCs w:val="18"/>
                <w:color w:val="auto"/>
              </w:rPr>
            </w:pPr>
          </w:p>
        </w:tc>
        <w:tc>
          <w:tcPr>
            <w:tcW w:w="4700" w:type="dxa"/>
            <w:vAlign w:val="bottom"/>
            <w:gridSpan w:val="2"/>
          </w:tcPr>
          <w:p>
            <w:pPr>
              <w:jc w:val="center"/>
              <w:ind w:right="160"/>
              <w:spacing w:after="0"/>
              <w:rPr>
                <w:sz w:val="20"/>
                <w:szCs w:val="20"/>
                <w:color w:val="auto"/>
              </w:rPr>
            </w:pPr>
            <w:r>
              <w:rPr>
                <w:rFonts w:ascii="Arial" w:cs="Arial" w:eastAsia="Arial" w:hAnsi="Arial"/>
                <w:sz w:val="15"/>
                <w:szCs w:val="15"/>
                <w:color w:val="auto"/>
              </w:rPr>
              <w:t>Director</w:t>
            </w:r>
          </w:p>
        </w:tc>
        <w:tc>
          <w:tcPr>
            <w:tcW w:w="1980" w:type="dxa"/>
            <w:vAlign w:val="bottom"/>
          </w:tcPr>
          <w:p>
            <w:pPr>
              <w:jc w:val="center"/>
              <w:spacing w:after="0"/>
              <w:rPr>
                <w:sz w:val="20"/>
                <w:szCs w:val="20"/>
                <w:color w:val="auto"/>
              </w:rPr>
            </w:pPr>
            <w:r>
              <w:rPr>
                <w:rFonts w:ascii="Arial" w:cs="Arial" w:eastAsia="Arial" w:hAnsi="Arial"/>
                <w:sz w:val="15"/>
                <w:szCs w:val="15"/>
                <w:color w:val="auto"/>
              </w:rPr>
              <w:t>February 26,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349"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10.7</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231F20"/>
        </w:rPr>
        <w:t>INDEMNITY AGREEMENT</w:t>
      </w:r>
    </w:p>
    <w:p>
      <w:pPr>
        <w:spacing w:after="0" w:line="233"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This Indemnity Agreement (“</w:t>
      </w:r>
      <w:r>
        <w:rPr>
          <w:rFonts w:ascii="Times New Roman" w:cs="Times New Roman" w:eastAsia="Times New Roman" w:hAnsi="Times New Roman"/>
          <w:sz w:val="22"/>
          <w:szCs w:val="22"/>
          <w:u w:val="single" w:color="auto"/>
          <w:color w:val="231F20"/>
        </w:rPr>
        <w:t>Agreement</w:t>
      </w:r>
      <w:r>
        <w:rPr>
          <w:rFonts w:ascii="Times New Roman" w:cs="Times New Roman" w:eastAsia="Times New Roman" w:hAnsi="Times New Roman"/>
          <w:sz w:val="22"/>
          <w:szCs w:val="22"/>
          <w:color w:val="231F20"/>
        </w:rPr>
        <w:t>”) is made as of , 20__ by and between Expand Energy Corporation, an Oklahoma corporation (the “</w:t>
      </w:r>
      <w:r>
        <w:rPr>
          <w:rFonts w:ascii="Times New Roman" w:cs="Times New Roman" w:eastAsia="Times New Roman" w:hAnsi="Times New Roman"/>
          <w:sz w:val="22"/>
          <w:szCs w:val="22"/>
          <w:u w:val="single" w:color="auto"/>
          <w:color w:val="231F20"/>
        </w:rPr>
        <w:t>Corporation</w:t>
      </w:r>
      <w:r>
        <w:rPr>
          <w:rFonts w:ascii="Times New Roman" w:cs="Times New Roman" w:eastAsia="Times New Roman" w:hAnsi="Times New Roman"/>
          <w:sz w:val="22"/>
          <w:szCs w:val="22"/>
          <w:color w:val="231F20"/>
        </w:rPr>
        <w:t>”), and (“</w:t>
      </w:r>
      <w:r>
        <w:rPr>
          <w:rFonts w:ascii="Times New Roman" w:cs="Times New Roman" w:eastAsia="Times New Roman" w:hAnsi="Times New Roman"/>
          <w:sz w:val="22"/>
          <w:szCs w:val="22"/>
          <w:u w:val="single" w:color="auto"/>
          <w:color w:val="231F20"/>
        </w:rPr>
        <w:t>Indemnitee</w:t>
      </w:r>
      <w:r>
        <w:rPr>
          <w:rFonts w:ascii="Times New Roman" w:cs="Times New Roman" w:eastAsia="Times New Roman" w:hAnsi="Times New Roman"/>
          <w:sz w:val="22"/>
          <w:szCs w:val="22"/>
          <w:color w:val="231F20"/>
        </w:rPr>
        <w:t>”). This Agreement supersedes and replaces any and all previous agreements between the Corporation and Indemnitee covering the subject matter of this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231F20"/>
        </w:rPr>
        <w:t>RECITALS</w:t>
      </w:r>
    </w:p>
    <w:p>
      <w:pPr>
        <w:spacing w:after="0" w:line="233" w:lineRule="exact"/>
        <w:rPr>
          <w:sz w:val="20"/>
          <w:szCs w:val="20"/>
          <w:color w:val="auto"/>
        </w:rPr>
      </w:pPr>
    </w:p>
    <w:p>
      <w:pPr>
        <w:jc w:val="both"/>
        <w:ind w:firstLine="756"/>
        <w:spacing w:after="0" w:line="255" w:lineRule="auto"/>
        <w:rPr>
          <w:sz w:val="20"/>
          <w:szCs w:val="20"/>
          <w:color w:val="auto"/>
        </w:rPr>
      </w:pPr>
      <w:r>
        <w:rPr>
          <w:rFonts w:ascii="Times New Roman" w:cs="Times New Roman" w:eastAsia="Times New Roman" w:hAnsi="Times New Roman"/>
          <w:sz w:val="21"/>
          <w:szCs w:val="21"/>
          <w:color w:val="231F20"/>
        </w:rPr>
        <w:t>WHEREAS, highly competent persons have become more reluctant to serve publicly-held corporations as directors and officers or in other capacities unless they are provided with adequate protection through insurance or indemnification against inordinate risks of claims and actions against them arising out of their service to and activities on behalf of the Corporation;</w:t>
      </w:r>
    </w:p>
    <w:p>
      <w:pPr>
        <w:spacing w:after="0" w:line="189"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WHEREAS, the Board of Directors of the Corporation (the “</w:t>
      </w:r>
      <w:r>
        <w:rPr>
          <w:rFonts w:ascii="Times New Roman" w:cs="Times New Roman" w:eastAsia="Times New Roman" w:hAnsi="Times New Roman"/>
          <w:sz w:val="22"/>
          <w:szCs w:val="22"/>
          <w:u w:val="single" w:color="auto"/>
          <w:color w:val="231F20"/>
        </w:rPr>
        <w:t>Board</w:t>
      </w:r>
      <w:r>
        <w:rPr>
          <w:rFonts w:ascii="Times New Roman" w:cs="Times New Roman" w:eastAsia="Times New Roman" w:hAnsi="Times New Roman"/>
          <w:sz w:val="22"/>
          <w:szCs w:val="22"/>
          <w:color w:val="231F20"/>
        </w:rPr>
        <w:t>”) has determined that, in order to attract and retain qualified individuals, the Corporation will attempt to maintain on an ongoing basis, at its sole expense, liability insurance to protect persons serving the Corporation and its subsidiaries from certain liabilities.</w:t>
      </w:r>
    </w:p>
    <w:p>
      <w:pPr>
        <w:spacing w:after="0" w:line="200" w:lineRule="exact"/>
        <w:rPr>
          <w:sz w:val="20"/>
          <w:szCs w:val="20"/>
          <w:color w:val="auto"/>
        </w:rPr>
      </w:pPr>
    </w:p>
    <w:p>
      <w:pPr>
        <w:jc w:val="both"/>
        <w:ind w:firstLine="756"/>
        <w:spacing w:after="0" w:line="238" w:lineRule="auto"/>
        <w:rPr>
          <w:sz w:val="20"/>
          <w:szCs w:val="20"/>
          <w:color w:val="auto"/>
        </w:rPr>
      </w:pPr>
      <w:r>
        <w:rPr>
          <w:rFonts w:ascii="Times New Roman" w:cs="Times New Roman" w:eastAsia="Times New Roman" w:hAnsi="Times New Roman"/>
          <w:sz w:val="22"/>
          <w:szCs w:val="22"/>
          <w:color w:val="231F20"/>
        </w:rPr>
        <w:t>WHEREAS, Section 1031 of the General Corporation Act of the State of Oklahoma (the “</w:t>
      </w:r>
      <w:r>
        <w:rPr>
          <w:rFonts w:ascii="Times New Roman" w:cs="Times New Roman" w:eastAsia="Times New Roman" w:hAnsi="Times New Roman"/>
          <w:sz w:val="22"/>
          <w:szCs w:val="22"/>
          <w:u w:val="single" w:color="auto"/>
          <w:color w:val="231F20"/>
        </w:rPr>
        <w:t>Oklahoma Law</w:t>
      </w:r>
      <w:r>
        <w:rPr>
          <w:rFonts w:ascii="Times New Roman" w:cs="Times New Roman" w:eastAsia="Times New Roman" w:hAnsi="Times New Roman"/>
          <w:sz w:val="22"/>
          <w:szCs w:val="22"/>
          <w:color w:val="231F20"/>
        </w:rPr>
        <w:t>”) empowers the Corporation to indemnify and advance expenses to its officers, directors, employees and agents by agreement and to indemnify and advance expenses to persons who serve, at the request of the Corporation, as directors, officers, employees, or agents of other corporations or enterprises, and expressly provides that the indemnification provided by Section 1031 is not exclusive; and</w:t>
      </w:r>
    </w:p>
    <w:p>
      <w:pPr>
        <w:spacing w:after="0" w:line="204" w:lineRule="exact"/>
        <w:rPr>
          <w:sz w:val="20"/>
          <w:szCs w:val="20"/>
          <w:color w:val="auto"/>
        </w:rPr>
      </w:pPr>
    </w:p>
    <w:p>
      <w:pPr>
        <w:jc w:val="both"/>
        <w:ind w:firstLine="756"/>
        <w:spacing w:after="0" w:line="235" w:lineRule="auto"/>
        <w:rPr>
          <w:sz w:val="20"/>
          <w:szCs w:val="20"/>
          <w:color w:val="auto"/>
        </w:rPr>
      </w:pPr>
      <w:r>
        <w:rPr>
          <w:rFonts w:ascii="Times New Roman" w:cs="Times New Roman" w:eastAsia="Times New Roman" w:hAnsi="Times New Roman"/>
          <w:sz w:val="22"/>
          <w:szCs w:val="22"/>
          <w:color w:val="231F20"/>
        </w:rPr>
        <w:t>WHEREAS, the Bylaws of the Corporation (as amended, the “</w:t>
      </w:r>
      <w:r>
        <w:rPr>
          <w:rFonts w:ascii="Times New Roman" w:cs="Times New Roman" w:eastAsia="Times New Roman" w:hAnsi="Times New Roman"/>
          <w:sz w:val="22"/>
          <w:szCs w:val="22"/>
          <w:u w:val="single" w:color="auto"/>
          <w:color w:val="231F20"/>
        </w:rPr>
        <w:t>Bylaws</w:t>
      </w:r>
      <w:r>
        <w:rPr>
          <w:rFonts w:ascii="Times New Roman" w:cs="Times New Roman" w:eastAsia="Times New Roman" w:hAnsi="Times New Roman"/>
          <w:sz w:val="22"/>
          <w:szCs w:val="22"/>
          <w:color w:val="231F20"/>
        </w:rPr>
        <w:t>”) and the Certificate of Incorporation of the Corporation (as amended, the “</w:t>
      </w:r>
      <w:r>
        <w:rPr>
          <w:rFonts w:ascii="Times New Roman" w:cs="Times New Roman" w:eastAsia="Times New Roman" w:hAnsi="Times New Roman"/>
          <w:sz w:val="22"/>
          <w:szCs w:val="22"/>
          <w:u w:val="single" w:color="auto"/>
          <w:color w:val="231F20"/>
        </w:rPr>
        <w:t>Certificate of Incorporation</w:t>
      </w:r>
      <w:r>
        <w:rPr>
          <w:rFonts w:ascii="Times New Roman" w:cs="Times New Roman" w:eastAsia="Times New Roman" w:hAnsi="Times New Roman"/>
          <w:sz w:val="22"/>
          <w:szCs w:val="22"/>
          <w:color w:val="231F20"/>
        </w:rPr>
        <w:t>”) provide for mandatory indemnification of its officers and directors to the fullest extent permitted by applicable law, subject to certain limitations specified in the Bylaws and Certificate of Incorporation, and the Corporation wishes to clarify and enhance the rights and obligations of the Corporation and the Indemnitee with respect to indemnification; and</w:t>
      </w:r>
    </w:p>
    <w:p>
      <w:pPr>
        <w:spacing w:after="0" w:line="206" w:lineRule="exact"/>
        <w:rPr>
          <w:sz w:val="20"/>
          <w:szCs w:val="20"/>
          <w:color w:val="auto"/>
        </w:rPr>
      </w:pPr>
    </w:p>
    <w:p>
      <w:pPr>
        <w:jc w:val="both"/>
        <w:ind w:firstLine="756"/>
        <w:spacing w:after="0" w:line="234" w:lineRule="auto"/>
        <w:rPr>
          <w:sz w:val="20"/>
          <w:szCs w:val="20"/>
          <w:color w:val="auto"/>
        </w:rPr>
      </w:pPr>
      <w:r>
        <w:rPr>
          <w:rFonts w:ascii="Times New Roman" w:cs="Times New Roman" w:eastAsia="Times New Roman" w:hAnsi="Times New Roman"/>
          <w:sz w:val="22"/>
          <w:szCs w:val="22"/>
          <w:color w:val="231F20"/>
        </w:rPr>
        <w:t>WHEREAS, in order to induce and encourage highly experienced and capable persons such as the Indemnitee to serve and continue to serve as directors and officers of the Corporation and in other capacities with respect to the Corporation and its affiliates, and to otherwise promote the desirable end that such persons will resist what they consider unjustified lawsuits and claims made against them in connection with the good faith performance of their duties to the Corporation, with the knowledge that certain costs, judgments, liabilities and expenses incurred by them in their defense of such litigation are to be borne by the Corporation, the Board of the Corporation has determined that the following Agreement is reasonable and prudent to promote and ensure the best interests of the Corporation and its shareholders; and</w:t>
      </w:r>
    </w:p>
    <w:p>
      <w:pPr>
        <w:spacing w:after="0" w:line="204"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WHEREAS, this Agreement is a supplement to and in furtherance of the Bylaws and the Certificate of Incorporation and any resolutions adopted pursuant thereto, and shall not be deemed a substitute therefor, nor to diminish or abrogate any rights of Indemnitee thereunder; and</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NOW, THEREFORE, in consideration of the premises and the covenants contained herein, the Corporation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Indemnitee do hereby covenant and agree as follows:</w:t>
      </w:r>
    </w:p>
    <w:p>
      <w:pPr>
        <w:sectPr>
          <w:pgSz w:w="11900" w:h="16838" w:orient="portrait"/>
          <w:cols w:equalWidth="0" w:num="1">
            <w:col w:w="11240"/>
          </w:cols>
          <w:pgMar w:left="320" w:top="350" w:right="339" w:bottom="1440" w:gutter="0" w:footer="0" w:header="0"/>
        </w:sectPr>
      </w:pPr>
    </w:p>
    <w:bookmarkStart w:id="132" w:name="page133"/>
    <w:bookmarkEnd w:id="132"/>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 xml:space="preserve">Section 1. </w:t>
      </w:r>
      <w:r>
        <w:rPr>
          <w:rFonts w:ascii="Times New Roman" w:cs="Times New Roman" w:eastAsia="Times New Roman" w:hAnsi="Times New Roman"/>
          <w:sz w:val="22"/>
          <w:szCs w:val="22"/>
          <w:u w:val="single" w:color="auto"/>
          <w:color w:val="231F20"/>
        </w:rPr>
        <w:t>Service by Indemnitee</w:t>
      </w:r>
      <w:r>
        <w:rPr>
          <w:rFonts w:ascii="Times New Roman" w:cs="Times New Roman" w:eastAsia="Times New Roman" w:hAnsi="Times New Roman"/>
          <w:sz w:val="22"/>
          <w:szCs w:val="22"/>
          <w:color w:val="231F20"/>
        </w:rPr>
        <w:t>. The Indemnitee will serve and/or continue to serve as a director or officer of the Corporation faithfully and to the best of the Indemnitee’s ability so long as the Indemnitee is duly elected or appointed and until such time as the Indemnitee is removed, terminated, or tenders a resignation that is accepted by the Board.</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2. </w:t>
      </w:r>
      <w:r>
        <w:rPr>
          <w:rFonts w:ascii="Times New Roman" w:cs="Times New Roman" w:eastAsia="Times New Roman" w:hAnsi="Times New Roman"/>
          <w:sz w:val="22"/>
          <w:szCs w:val="22"/>
          <w:u w:val="single" w:color="auto"/>
          <w:color w:val="231F20"/>
        </w:rPr>
        <w:t>Definitions</w:t>
      </w:r>
      <w:r>
        <w:rPr>
          <w:rFonts w:ascii="Times New Roman" w:cs="Times New Roman" w:eastAsia="Times New Roman" w:hAnsi="Times New Roman"/>
          <w:sz w:val="22"/>
          <w:szCs w:val="22"/>
          <w:color w:val="231F20"/>
        </w:rPr>
        <w:t>. As used in this Agreement:</w:t>
      </w:r>
    </w:p>
    <w:p>
      <w:pPr>
        <w:spacing w:after="0" w:line="233" w:lineRule="exact"/>
        <w:rPr>
          <w:sz w:val="20"/>
          <w:szCs w:val="20"/>
          <w:color w:val="auto"/>
        </w:rPr>
      </w:pPr>
    </w:p>
    <w:p>
      <w:pPr>
        <w:jc w:val="both"/>
        <w:ind w:firstLine="656"/>
        <w:spacing w:after="0" w:line="235" w:lineRule="auto"/>
        <w:tabs>
          <w:tab w:leader="none" w:pos="1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References to “</w:t>
      </w:r>
      <w:r>
        <w:rPr>
          <w:rFonts w:ascii="Times New Roman" w:cs="Times New Roman" w:eastAsia="Times New Roman" w:hAnsi="Times New Roman"/>
          <w:sz w:val="22"/>
          <w:szCs w:val="22"/>
          <w:u w:val="single" w:color="auto"/>
          <w:color w:val="231F20"/>
        </w:rPr>
        <w:t>agent</w:t>
      </w:r>
      <w:r>
        <w:rPr>
          <w:rFonts w:ascii="Times New Roman" w:cs="Times New Roman" w:eastAsia="Times New Roman" w:hAnsi="Times New Roman"/>
          <w:sz w:val="22"/>
          <w:szCs w:val="22"/>
          <w:color w:val="231F20"/>
        </w:rPr>
        <w:t>” shall mean any person who is or was a director, officer, or employee of the Corporation or a subsidiary of the Corporation or other person authorized by the Corporation to act for the Corporation,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Corporation or a subsidiary of the Corporation.</w:t>
      </w:r>
    </w:p>
    <w:p>
      <w:pPr>
        <w:spacing w:after="0" w:line="205" w:lineRule="exact"/>
        <w:rPr>
          <w:rFonts w:ascii="Times New Roman" w:cs="Times New Roman" w:eastAsia="Times New Roman" w:hAnsi="Times New Roman"/>
          <w:sz w:val="20"/>
          <w:szCs w:val="20"/>
          <w:color w:val="auto"/>
        </w:rPr>
      </w:pPr>
    </w:p>
    <w:p>
      <w:pPr>
        <w:jc w:val="both"/>
        <w:ind w:firstLine="656"/>
        <w:spacing w:after="0" w:line="232" w:lineRule="auto"/>
        <w:tabs>
          <w:tab w:leader="none" w:pos="128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Change of Control</w:t>
      </w:r>
      <w:r>
        <w:rPr>
          <w:rFonts w:ascii="Times New Roman" w:cs="Times New Roman" w:eastAsia="Times New Roman" w:hAnsi="Times New Roman"/>
          <w:sz w:val="22"/>
          <w:szCs w:val="22"/>
          <w:color w:val="231F20"/>
        </w:rPr>
        <w:t>” means a change in control of the Corporation of a nature that would be required to be reported in response to Item 5.01 of Current Report on Form 8-K (or in response to any similar item on any similar schedule or form) promulgated under the Securities Exchange Act of 1934 (the “</w:t>
      </w:r>
      <w:r>
        <w:rPr>
          <w:rFonts w:ascii="Times New Roman" w:cs="Times New Roman" w:eastAsia="Times New Roman" w:hAnsi="Times New Roman"/>
          <w:sz w:val="22"/>
          <w:szCs w:val="22"/>
          <w:u w:val="single" w:color="auto"/>
          <w:color w:val="231F20"/>
        </w:rPr>
        <w:t>Act</w:t>
      </w:r>
      <w:r>
        <w:rPr>
          <w:rFonts w:ascii="Times New Roman" w:cs="Times New Roman" w:eastAsia="Times New Roman" w:hAnsi="Times New Roman"/>
          <w:sz w:val="22"/>
          <w:szCs w:val="22"/>
          <w:color w:val="231F20"/>
        </w:rPr>
        <w:t>”), whether or not the Corporation is then subject to such reporting requirement; provided, however, that, without limitation, such a Change of Control shall be deemed to have occurred if after the effective date of such Change of Control (i) any “person” (as such term is used in Sections 13(d) and 14(d) of the Act) becomes the “beneficial owner” (as defined in Rule 13d-3 under the Act), directly or indirectly, of securities of the Corporation representing thirty percent (30%) or more of the combined voting power of the Corporation’s then outstanding securities without the prior approval of at least two-thirds of the members of the Board of Directors in office immediately prior to such person attaining such percentage; (ii) the Corporation is a party to a merger, consolidation, sale of assets or other reorganization, or a proxy contest, as a consequence of which members of the Board of Directors in office immediately prior to such transaction or event constitute less than a majority of the Board of Directors thereafter; or during any period of two consecutive years, individuals who at the beginning of such period constituted the Board of Directors (including for this purpose any new director whose election or nomination for election by the Corporation’s shareholders was approved by a vote of at least two- thirds of the directors then still in office who were directors at the beginning of such period) cease for any reason to constitute at least a majority of the Board of Directors.</w:t>
      </w:r>
    </w:p>
    <w:p>
      <w:pPr>
        <w:spacing w:after="0" w:line="206" w:lineRule="exact"/>
        <w:rPr>
          <w:rFonts w:ascii="Times New Roman" w:cs="Times New Roman" w:eastAsia="Times New Roman" w:hAnsi="Times New Roman"/>
          <w:sz w:val="20"/>
          <w:szCs w:val="20"/>
          <w:color w:val="auto"/>
        </w:rPr>
      </w:pPr>
    </w:p>
    <w:p>
      <w:pPr>
        <w:jc w:val="both"/>
        <w:ind w:firstLine="656"/>
        <w:spacing w:after="0" w:line="244" w:lineRule="auto"/>
        <w:tabs>
          <w:tab w:leader="none" w:pos="1293" w:val="left"/>
        </w:tabs>
        <w:numPr>
          <w:ilvl w:val="0"/>
          <w:numId w:val="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Corporate Status</w:t>
      </w:r>
      <w:r>
        <w:rPr>
          <w:rFonts w:ascii="Times New Roman" w:cs="Times New Roman" w:eastAsia="Times New Roman" w:hAnsi="Times New Roman"/>
          <w:sz w:val="22"/>
          <w:szCs w:val="22"/>
          <w:color w:val="231F20"/>
        </w:rPr>
        <w:t>” describes the status of a person who is or was a director, officer, employee or agent of the Corporation or of any other corporation, limited liability company, partnership or joint venture, trust or other enterprise which such person is or was serving at the request of the Corporation.</w:t>
      </w:r>
    </w:p>
    <w:p>
      <w:pPr>
        <w:spacing w:after="0" w:line="186" w:lineRule="exact"/>
        <w:rPr>
          <w:rFonts w:ascii="Times New Roman" w:cs="Times New Roman" w:eastAsia="Times New Roman" w:hAnsi="Times New Roman"/>
          <w:sz w:val="22"/>
          <w:szCs w:val="22"/>
          <w:color w:val="231F20"/>
        </w:rPr>
      </w:pPr>
    </w:p>
    <w:p>
      <w:pPr>
        <w:ind w:firstLine="656"/>
        <w:spacing w:after="0" w:line="258" w:lineRule="auto"/>
        <w:tabs>
          <w:tab w:leader="none" w:pos="1291" w:val="left"/>
        </w:tabs>
        <w:numPr>
          <w:ilvl w:val="0"/>
          <w:numId w:val="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Disinterested Director</w:t>
      </w:r>
      <w:r>
        <w:rPr>
          <w:rFonts w:ascii="Times New Roman" w:cs="Times New Roman" w:eastAsia="Times New Roman" w:hAnsi="Times New Roman"/>
          <w:sz w:val="22"/>
          <w:szCs w:val="22"/>
          <w:color w:val="231F20"/>
        </w:rPr>
        <w:t>” shall mean a director of the Corporation who is not and was not a party to the Proceeding in respect of which indemnification is sought by Indemnitee.</w:t>
      </w:r>
    </w:p>
    <w:p>
      <w:pPr>
        <w:spacing w:after="0" w:line="185" w:lineRule="exact"/>
        <w:rPr>
          <w:rFonts w:ascii="Times New Roman" w:cs="Times New Roman" w:eastAsia="Times New Roman" w:hAnsi="Times New Roman"/>
          <w:sz w:val="22"/>
          <w:szCs w:val="22"/>
          <w:color w:val="231F20"/>
        </w:rPr>
      </w:pPr>
    </w:p>
    <w:p>
      <w:pPr>
        <w:jc w:val="both"/>
        <w:ind w:firstLine="656"/>
        <w:spacing w:after="0" w:line="244" w:lineRule="auto"/>
        <w:tabs>
          <w:tab w:leader="none" w:pos="1293" w:val="left"/>
        </w:tabs>
        <w:numPr>
          <w:ilvl w:val="0"/>
          <w:numId w:val="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Enterprise</w:t>
      </w:r>
      <w:r>
        <w:rPr>
          <w:rFonts w:ascii="Times New Roman" w:cs="Times New Roman" w:eastAsia="Times New Roman" w:hAnsi="Times New Roman"/>
          <w:sz w:val="22"/>
          <w:szCs w:val="22"/>
          <w:color w:val="231F20"/>
        </w:rPr>
        <w:t>” shall mean the Corporation and any other corporation, limited liability company, partnership, joint venture, trust or other enterprise of which Indemnitee is or was serving at the request of the Corporation as a director, officer, trustee, partner, managing member, employee, agent or fiduciary.</w:t>
      </w:r>
    </w:p>
    <w:p>
      <w:pPr>
        <w:spacing w:after="0" w:line="200" w:lineRule="exact"/>
        <w:rPr>
          <w:rFonts w:ascii="Times New Roman" w:cs="Times New Roman" w:eastAsia="Times New Roman" w:hAnsi="Times New Roman"/>
          <w:sz w:val="22"/>
          <w:szCs w:val="22"/>
          <w:color w:val="231F20"/>
        </w:rPr>
      </w:pPr>
    </w:p>
    <w:p>
      <w:pPr>
        <w:jc w:val="both"/>
        <w:ind w:firstLine="656"/>
        <w:spacing w:after="0" w:line="244" w:lineRule="auto"/>
        <w:tabs>
          <w:tab w:leader="none" w:pos="1296" w:val="left"/>
        </w:tabs>
        <w:numPr>
          <w:ilvl w:val="0"/>
          <w:numId w:val="6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Expenses</w:t>
      </w:r>
      <w:r>
        <w:rPr>
          <w:rFonts w:ascii="Times New Roman" w:cs="Times New Roman" w:eastAsia="Times New Roman" w:hAnsi="Times New Roman"/>
          <w:sz w:val="22"/>
          <w:szCs w:val="22"/>
          <w:color w:val="231F20"/>
        </w:rPr>
        <w:t>” shall mean all reasonable attorneys’ fees, retainers, court costs, transcript costs, fees of experts and other professionals, witness fees, travel expenses, duplicating costs, printing and binding costs, telephone charges, postage, delivery service fees, any federal,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22" w:right="339" w:bottom="1440" w:gutter="0" w:footer="0" w:header="0"/>
        </w:sectPr>
      </w:pPr>
    </w:p>
    <w:bookmarkStart w:id="133" w:name="page134"/>
    <w:bookmarkEnd w:id="133"/>
    <w:p>
      <w:pPr>
        <w:jc w:val="both"/>
        <w:spacing w:after="0" w:line="233" w:lineRule="auto"/>
        <w:rPr>
          <w:sz w:val="20"/>
          <w:szCs w:val="20"/>
          <w:color w:val="auto"/>
        </w:rPr>
      </w:pPr>
      <w:r>
        <w:rPr>
          <w:rFonts w:ascii="Times New Roman" w:cs="Times New Roman" w:eastAsia="Times New Roman" w:hAnsi="Times New Roman"/>
          <w:sz w:val="22"/>
          <w:szCs w:val="22"/>
          <w:color w:val="231F20"/>
        </w:rPr>
        <w:t xml:space="preserve">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shall include (i) Expenses incurred in connection with any appeal resulting from any Proceeding, including without limitation the premium, security for, and other costs relating to any cost bond, supersedeas bond, or other appeal bond or its equivalent, and (ii) for purposes of </w:t>
      </w:r>
      <w:r>
        <w:rPr>
          <w:rFonts w:ascii="Times New Roman" w:cs="Times New Roman" w:eastAsia="Times New Roman" w:hAnsi="Times New Roman"/>
          <w:sz w:val="22"/>
          <w:szCs w:val="22"/>
          <w:u w:val="single" w:color="auto"/>
          <w:color w:val="231F20"/>
        </w:rPr>
        <w:t>Section 14(d)</w:t>
      </w:r>
      <w:r>
        <w:rPr>
          <w:rFonts w:ascii="Times New Roman" w:cs="Times New Roman" w:eastAsia="Times New Roman" w:hAnsi="Times New Roman"/>
          <w:sz w:val="22"/>
          <w:szCs w:val="22"/>
          <w:color w:val="231F20"/>
        </w:rPr>
        <w:t xml:space="preserve">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206" w:lineRule="exact"/>
        <w:rPr>
          <w:sz w:val="20"/>
          <w:szCs w:val="20"/>
          <w:color w:val="auto"/>
        </w:rPr>
      </w:pPr>
    </w:p>
    <w:p>
      <w:pPr>
        <w:jc w:val="both"/>
        <w:ind w:firstLine="656"/>
        <w:spacing w:after="0" w:line="232" w:lineRule="auto"/>
        <w:tabs>
          <w:tab w:leader="none" w:pos="1291" w:val="left"/>
        </w:tabs>
        <w:numPr>
          <w:ilvl w:val="0"/>
          <w:numId w:val="6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Independent Counsel</w:t>
      </w:r>
      <w:r>
        <w:rPr>
          <w:rFonts w:ascii="Times New Roman" w:cs="Times New Roman" w:eastAsia="Times New Roman" w:hAnsi="Times New Roman"/>
          <w:sz w:val="22"/>
          <w:szCs w:val="22"/>
          <w:color w:val="231F20"/>
        </w:rPr>
        <w:t>” shall mean a law firm, or a member of a law firm, that is experienced in matters of corporation law and neither presently is, nor in the past five years has been, retained to represent: (i) the Corporation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Corporation or Indemnitee in an action to determine Indemnitee’s rights under this Agreement. The Corporation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214" w:lineRule="exact"/>
        <w:rPr>
          <w:rFonts w:ascii="Times New Roman" w:cs="Times New Roman" w:eastAsia="Times New Roman" w:hAnsi="Times New Roman"/>
          <w:sz w:val="22"/>
          <w:szCs w:val="22"/>
          <w:color w:val="231F20"/>
        </w:rPr>
      </w:pPr>
    </w:p>
    <w:p>
      <w:pPr>
        <w:jc w:val="both"/>
        <w:ind w:firstLine="656"/>
        <w:spacing w:after="0" w:line="232" w:lineRule="auto"/>
        <w:tabs>
          <w:tab w:leader="none" w:pos="1291" w:val="left"/>
        </w:tabs>
        <w:numPr>
          <w:ilvl w:val="0"/>
          <w:numId w:val="6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term “</w:t>
      </w:r>
      <w:r>
        <w:rPr>
          <w:rFonts w:ascii="Times New Roman" w:cs="Times New Roman" w:eastAsia="Times New Roman" w:hAnsi="Times New Roman"/>
          <w:sz w:val="22"/>
          <w:szCs w:val="22"/>
          <w:u w:val="single" w:color="auto"/>
          <w:color w:val="231F20"/>
        </w:rPr>
        <w:t>Proceeding</w:t>
      </w:r>
      <w:r>
        <w:rPr>
          <w:rFonts w:ascii="Times New Roman" w:cs="Times New Roman" w:eastAsia="Times New Roman" w:hAnsi="Times New Roman"/>
          <w:sz w:val="22"/>
          <w:szCs w:val="22"/>
          <w:color w:val="231F20"/>
        </w:rPr>
        <w:t>” shall include any threatened, pending or completed action, suit, claim, counterclaim, cross claim, arbitration, mediation, alternate dispute resolution mechanism, investigation, inquiry, administrative hearing or any other actual, threatened or completed proceeding, whether brought in the right of the Corporation or otherwise and whether of a civil, criminal, administrative, legislative, or investigative (formal or informal) nature, including any appeal therefrom, in which Indemnitee was, is or will be involved as a party, potential party, non-party witness or otherwise by reason of the fact that Indemnitee is or was a director or officer of the Corporation, by reason of any action taken by him (or a failure to take action by him) or of any action (or failure to act) on his part while acting pursuant to his Corporate Status,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this shall be considered a Proceeding under this paragraph.</w:t>
      </w:r>
    </w:p>
    <w:p>
      <w:pPr>
        <w:spacing w:after="0" w:line="214" w:lineRule="exact"/>
        <w:rPr>
          <w:rFonts w:ascii="Times New Roman" w:cs="Times New Roman" w:eastAsia="Times New Roman" w:hAnsi="Times New Roman"/>
          <w:sz w:val="22"/>
          <w:szCs w:val="22"/>
          <w:color w:val="231F20"/>
        </w:rPr>
      </w:pPr>
    </w:p>
    <w:p>
      <w:pPr>
        <w:jc w:val="both"/>
        <w:ind w:firstLine="656"/>
        <w:spacing w:after="0" w:line="235" w:lineRule="auto"/>
        <w:tabs>
          <w:tab w:leader="none" w:pos="1284" w:val="left"/>
        </w:tabs>
        <w:numPr>
          <w:ilvl w:val="0"/>
          <w:numId w:val="6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Reference to “</w:t>
      </w:r>
      <w:r>
        <w:rPr>
          <w:rFonts w:ascii="Times New Roman" w:cs="Times New Roman" w:eastAsia="Times New Roman" w:hAnsi="Times New Roman"/>
          <w:sz w:val="22"/>
          <w:szCs w:val="22"/>
          <w:u w:val="single" w:color="auto"/>
          <w:color w:val="231F20"/>
        </w:rPr>
        <w:t>other enterprise</w:t>
      </w:r>
      <w:r>
        <w:rPr>
          <w:rFonts w:ascii="Times New Roman" w:cs="Times New Roman" w:eastAsia="Times New Roman" w:hAnsi="Times New Roman"/>
          <w:sz w:val="22"/>
          <w:szCs w:val="22"/>
          <w:color w:val="231F20"/>
        </w:rPr>
        <w:t>” shall include employee benefit plans; references to “fines” shall include any excise tax assessed with respect to any employee benefit plan;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manner “not opposed to the best interests of the Corporation” as referred to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22" w:right="339" w:bottom="1440" w:gutter="0" w:footer="0" w:header="0"/>
        </w:sectPr>
      </w:pPr>
    </w:p>
    <w:bookmarkStart w:id="134" w:name="page135"/>
    <w:bookmarkEnd w:id="134"/>
    <w:p>
      <w:pPr>
        <w:jc w:val="both"/>
        <w:ind w:firstLine="756"/>
        <w:spacing w:after="0" w:line="232" w:lineRule="auto"/>
        <w:rPr>
          <w:sz w:val="20"/>
          <w:szCs w:val="20"/>
          <w:color w:val="auto"/>
        </w:rPr>
      </w:pPr>
      <w:r>
        <w:rPr>
          <w:rFonts w:ascii="Times New Roman" w:cs="Times New Roman" w:eastAsia="Times New Roman" w:hAnsi="Times New Roman"/>
          <w:sz w:val="22"/>
          <w:szCs w:val="22"/>
          <w:color w:val="231F20"/>
        </w:rPr>
        <w:t xml:space="preserve">Section 3. </w:t>
      </w:r>
      <w:r>
        <w:rPr>
          <w:rFonts w:ascii="Times New Roman" w:cs="Times New Roman" w:eastAsia="Times New Roman" w:hAnsi="Times New Roman"/>
          <w:sz w:val="22"/>
          <w:szCs w:val="22"/>
          <w:u w:val="single" w:color="auto"/>
          <w:color w:val="231F20"/>
        </w:rPr>
        <w:t>Indemnity in Third-Party Proceedings</w:t>
      </w:r>
      <w:r>
        <w:rPr>
          <w:rFonts w:ascii="Times New Roman" w:cs="Times New Roman" w:eastAsia="Times New Roman" w:hAnsi="Times New Roman"/>
          <w:sz w:val="22"/>
          <w:szCs w:val="22"/>
          <w:color w:val="231F20"/>
        </w:rPr>
        <w:t xml:space="preserve">. The Corporation shall indemnify Indemnitee in accordance with the provisions of this </w:t>
      </w:r>
      <w:r>
        <w:rPr>
          <w:rFonts w:ascii="Times New Roman" w:cs="Times New Roman" w:eastAsia="Times New Roman" w:hAnsi="Times New Roman"/>
          <w:sz w:val="22"/>
          <w:szCs w:val="22"/>
          <w:u w:val="single" w:color="auto"/>
          <w:color w:val="231F20"/>
        </w:rPr>
        <w:t>Section 3</w:t>
      </w:r>
      <w:r>
        <w:rPr>
          <w:rFonts w:ascii="Times New Roman" w:cs="Times New Roman" w:eastAsia="Times New Roman" w:hAnsi="Times New Roman"/>
          <w:sz w:val="22"/>
          <w:szCs w:val="22"/>
          <w:color w:val="231F20"/>
        </w:rPr>
        <w:t xml:space="preserve"> if Indemnitee is, or is threatened to be made, a party to or a participant in any Proceeding, other than a Proceeding by or in the right of the Corporation to procure a judgment in its favor. Pursuant to this </w:t>
      </w:r>
      <w:r>
        <w:rPr>
          <w:rFonts w:ascii="Times New Roman" w:cs="Times New Roman" w:eastAsia="Times New Roman" w:hAnsi="Times New Roman"/>
          <w:sz w:val="22"/>
          <w:szCs w:val="22"/>
          <w:u w:val="single" w:color="auto"/>
          <w:color w:val="231F20"/>
        </w:rPr>
        <w:t>Section 3</w:t>
      </w:r>
      <w:r>
        <w:rPr>
          <w:rFonts w:ascii="Times New Roman" w:cs="Times New Roman" w:eastAsia="Times New Roman" w:hAnsi="Times New Roman"/>
          <w:sz w:val="22"/>
          <w:szCs w:val="22"/>
          <w:color w:val="231F20"/>
        </w:rPr>
        <w:t>, Indemnitee shall be indemnified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his behalf in connection with such Proceeding or any claim, issue or matter therein, if Indemnitee acted in good faith and in a manner he reasonably believed to be in or not opposed to the best interests of the Corporation and, in the case of a criminal Proceeding had no reasonable cause to believe that his conduct was unlawful. The parties intend that this Agreement shall provide to the fullest extent permitted by law for indemnification in excess of that expressly permitted by statute, including, without limitation, any indemnification provided by the Certificate of Incorporation, the Bylaws, vote of its shareholders or disinterested directors or applicable law.</w:t>
      </w:r>
    </w:p>
    <w:p>
      <w:pPr>
        <w:spacing w:after="0" w:line="211"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1"/>
          <w:szCs w:val="21"/>
          <w:color w:val="231F20"/>
        </w:rPr>
        <w:t xml:space="preserve">Section 4. </w:t>
      </w:r>
      <w:r>
        <w:rPr>
          <w:rFonts w:ascii="Times New Roman" w:cs="Times New Roman" w:eastAsia="Times New Roman" w:hAnsi="Times New Roman"/>
          <w:sz w:val="21"/>
          <w:szCs w:val="21"/>
          <w:u w:val="single" w:color="auto"/>
          <w:color w:val="231F20"/>
        </w:rPr>
        <w:t>Indemnity in Proceedings by or in the Right of the Corporation</w:t>
      </w:r>
      <w:r>
        <w:rPr>
          <w:rFonts w:ascii="Times New Roman" w:cs="Times New Roman" w:eastAsia="Times New Roman" w:hAnsi="Times New Roman"/>
          <w:sz w:val="21"/>
          <w:szCs w:val="21"/>
          <w:color w:val="231F20"/>
        </w:rPr>
        <w:t xml:space="preserve">. The Corporation shall indemnify Indemnitee in accordance with the provisions of this </w:t>
      </w:r>
      <w:r>
        <w:rPr>
          <w:rFonts w:ascii="Times New Roman" w:cs="Times New Roman" w:eastAsia="Times New Roman" w:hAnsi="Times New Roman"/>
          <w:sz w:val="21"/>
          <w:szCs w:val="21"/>
          <w:u w:val="single" w:color="auto"/>
          <w:color w:val="231F20"/>
        </w:rPr>
        <w:t>Section 4</w:t>
      </w:r>
      <w:r>
        <w:rPr>
          <w:rFonts w:ascii="Times New Roman" w:cs="Times New Roman" w:eastAsia="Times New Roman" w:hAnsi="Times New Roman"/>
          <w:sz w:val="21"/>
          <w:szCs w:val="21"/>
          <w:color w:val="231F20"/>
        </w:rPr>
        <w:t xml:space="preserve"> if Indemnitee is, or is threatened to be made, a party to or a participant in any Proceeding by or in the right of the Corporation to procure a judgment in its favor. Pursuant to this </w:t>
      </w:r>
      <w:r>
        <w:rPr>
          <w:rFonts w:ascii="Times New Roman" w:cs="Times New Roman" w:eastAsia="Times New Roman" w:hAnsi="Times New Roman"/>
          <w:sz w:val="21"/>
          <w:szCs w:val="21"/>
          <w:u w:val="single" w:color="auto"/>
          <w:color w:val="231F20"/>
        </w:rPr>
        <w:t>Section 4</w:t>
      </w:r>
      <w:r>
        <w:rPr>
          <w:rFonts w:ascii="Times New Roman" w:cs="Times New Roman" w:eastAsia="Times New Roman" w:hAnsi="Times New Roman"/>
          <w:sz w:val="21"/>
          <w:szCs w:val="21"/>
          <w:color w:val="231F20"/>
        </w:rPr>
        <w:t xml:space="preserve">, Indemnitee shall be indemnified to the fullest extent permitted by applicable law against all Expenses actually and reasonably incurred by him or on his behalf in connection with such Proceeding or any claim, issue or matter therein, if Indemnitee acted in good faith and in a manner he reasonably believed to be in or not opposed to the best interests of the Corporation. No indemnification for Expenses shall be made under this </w:t>
      </w:r>
      <w:r>
        <w:rPr>
          <w:rFonts w:ascii="Times New Roman" w:cs="Times New Roman" w:eastAsia="Times New Roman" w:hAnsi="Times New Roman"/>
          <w:sz w:val="21"/>
          <w:szCs w:val="21"/>
          <w:u w:val="single" w:color="auto"/>
          <w:color w:val="231F20"/>
        </w:rPr>
        <w:t>Section 4</w:t>
      </w:r>
      <w:r>
        <w:rPr>
          <w:rFonts w:ascii="Times New Roman" w:cs="Times New Roman" w:eastAsia="Times New Roman" w:hAnsi="Times New Roman"/>
          <w:sz w:val="21"/>
          <w:szCs w:val="21"/>
          <w:color w:val="231F20"/>
        </w:rPr>
        <w:t xml:space="preserve"> in respect of any claim, issue or matter as to which Indemnitee shall have been finally adjudged by a court to be liable to the Corporation, unless and only to the extent that any court in which the Proceeding was brought shall determine upon application that, despite the adjudication of liability but in view of all the circumstances of the case, Indemnitee is fairly and reasonably entitled to indemnification for such Expenses which the court shall deem proper.</w:t>
      </w:r>
    </w:p>
    <w:p>
      <w:pPr>
        <w:spacing w:after="0" w:line="204" w:lineRule="exact"/>
        <w:rPr>
          <w:sz w:val="20"/>
          <w:szCs w:val="20"/>
          <w:color w:val="auto"/>
        </w:rPr>
      </w:pPr>
    </w:p>
    <w:p>
      <w:pPr>
        <w:jc w:val="both"/>
        <w:ind w:firstLine="756"/>
        <w:spacing w:after="0" w:line="232" w:lineRule="auto"/>
        <w:rPr>
          <w:sz w:val="20"/>
          <w:szCs w:val="20"/>
          <w:color w:val="auto"/>
        </w:rPr>
      </w:pPr>
      <w:r>
        <w:rPr>
          <w:rFonts w:ascii="Times New Roman" w:cs="Times New Roman" w:eastAsia="Times New Roman" w:hAnsi="Times New Roman"/>
          <w:sz w:val="22"/>
          <w:szCs w:val="22"/>
          <w:color w:val="231F20"/>
        </w:rPr>
        <w:t xml:space="preserve">Section 5. </w:t>
      </w:r>
      <w:r>
        <w:rPr>
          <w:rFonts w:ascii="Times New Roman" w:cs="Times New Roman" w:eastAsia="Times New Roman" w:hAnsi="Times New Roman"/>
          <w:sz w:val="22"/>
          <w:szCs w:val="22"/>
          <w:u w:val="single" w:color="auto"/>
          <w:color w:val="231F20"/>
        </w:rPr>
        <w:t>Indemnification for Expenses of a Party Who is Wholly or Partly Successful</w:t>
      </w:r>
      <w:r>
        <w:rPr>
          <w:rFonts w:ascii="Times New Roman" w:cs="Times New Roman" w:eastAsia="Times New Roman" w:hAnsi="Times New Roman"/>
          <w:sz w:val="22"/>
          <w:szCs w:val="22"/>
          <w:color w:val="231F20"/>
        </w:rPr>
        <w:t>. Notwithstanding any other provisions of this Agreement, to the fullest extent permitted by applicable law and to the extent that Indemnitee is a party to (or a participant in) and is successful, on the merits or otherwise, in any Proceeding or in defense of any claim, issue or matter therein, in whole or in part, the Corporation shall indemnify Indemnitee against all Expenses actually and reasonably incurred by him in connection therewith. If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Proceeding by dismissal, with or without prejudice, shall be deemed to be a successful result as to such claim, issue or matter.</w:t>
      </w:r>
    </w:p>
    <w:p>
      <w:pPr>
        <w:spacing w:after="0" w:line="214" w:lineRule="exact"/>
        <w:rPr>
          <w:sz w:val="20"/>
          <w:szCs w:val="20"/>
          <w:color w:val="auto"/>
        </w:rPr>
      </w:pPr>
    </w:p>
    <w:p>
      <w:pPr>
        <w:jc w:val="both"/>
        <w:ind w:firstLine="756"/>
        <w:spacing w:after="0" w:line="239" w:lineRule="auto"/>
        <w:rPr>
          <w:sz w:val="20"/>
          <w:szCs w:val="20"/>
          <w:color w:val="auto"/>
        </w:rPr>
      </w:pPr>
      <w:r>
        <w:rPr>
          <w:rFonts w:ascii="Times New Roman" w:cs="Times New Roman" w:eastAsia="Times New Roman" w:hAnsi="Times New Roman"/>
          <w:sz w:val="22"/>
          <w:szCs w:val="22"/>
          <w:color w:val="231F20"/>
        </w:rPr>
        <w:t xml:space="preserve">Section 6. </w:t>
      </w:r>
      <w:r>
        <w:rPr>
          <w:rFonts w:ascii="Times New Roman" w:cs="Times New Roman" w:eastAsia="Times New Roman" w:hAnsi="Times New Roman"/>
          <w:sz w:val="22"/>
          <w:szCs w:val="22"/>
          <w:u w:val="single" w:color="auto"/>
          <w:color w:val="231F20"/>
        </w:rPr>
        <w:t>Indemnification For Expenses of a Witness</w:t>
      </w:r>
      <w:r>
        <w:rPr>
          <w:rFonts w:ascii="Times New Roman" w:cs="Times New Roman" w:eastAsia="Times New Roman" w:hAnsi="Times New Roman"/>
          <w:sz w:val="22"/>
          <w:szCs w:val="22"/>
          <w:color w:val="231F20"/>
        </w:rPr>
        <w:t>. Notwithstanding any other provision of this Agreement, to the fullest extent permitted by applicable law and to the extent that Indemnitee is, by reason of his Corporate Status, a witness or otherwise asked to participate in any Proceeding to which Indemnitee is not a party, he shall be indemnified against all Expenses actually and reasonably incurred by him or on his behalf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22" w:right="339" w:bottom="1440" w:gutter="0" w:footer="0" w:header="0"/>
        </w:sectPr>
      </w:pPr>
    </w:p>
    <w:bookmarkStart w:id="135" w:name="page136"/>
    <w:bookmarkEnd w:id="135"/>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 xml:space="preserve">Section 7. </w:t>
      </w:r>
      <w:r>
        <w:rPr>
          <w:rFonts w:ascii="Times New Roman" w:cs="Times New Roman" w:eastAsia="Times New Roman" w:hAnsi="Times New Roman"/>
          <w:sz w:val="22"/>
          <w:szCs w:val="22"/>
          <w:u w:val="single" w:color="auto"/>
          <w:color w:val="231F20"/>
        </w:rPr>
        <w:t>Partial Indemnification</w:t>
      </w:r>
      <w:r>
        <w:rPr>
          <w:rFonts w:ascii="Times New Roman" w:cs="Times New Roman" w:eastAsia="Times New Roman" w:hAnsi="Times New Roman"/>
          <w:sz w:val="22"/>
          <w:szCs w:val="22"/>
          <w:color w:val="231F20"/>
        </w:rPr>
        <w:t>. If Indemnitee is entitled under any provision of this Agreement to indemnification by the Corporation for some or a portion of Expenses, but not, however, for the total amount thereof, the Corporation shall nevertheless indemnify Indemnitee for the portion thereof to which Indemnitee is entitled.</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8. </w:t>
      </w:r>
      <w:r>
        <w:rPr>
          <w:rFonts w:ascii="Times New Roman" w:cs="Times New Roman" w:eastAsia="Times New Roman" w:hAnsi="Times New Roman"/>
          <w:sz w:val="22"/>
          <w:szCs w:val="22"/>
          <w:u w:val="single" w:color="auto"/>
          <w:color w:val="231F20"/>
        </w:rPr>
        <w:t>Additional Indemnification</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34" w:lineRule="auto"/>
        <w:tabs>
          <w:tab w:leader="none" w:pos="128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 xml:space="preserve">Notwithstanding any limitation in </w:t>
      </w:r>
      <w:r>
        <w:rPr>
          <w:rFonts w:ascii="Times New Roman" w:cs="Times New Roman" w:eastAsia="Times New Roman" w:hAnsi="Times New Roman"/>
          <w:sz w:val="22"/>
          <w:szCs w:val="22"/>
          <w:u w:val="single" w:color="auto"/>
          <w:color w:val="231F20"/>
        </w:rPr>
        <w:t>Sections 3</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4</w:t>
      </w:r>
      <w:r>
        <w:rPr>
          <w:rFonts w:ascii="Times New Roman" w:cs="Times New Roman" w:eastAsia="Times New Roman" w:hAnsi="Times New Roman"/>
          <w:sz w:val="22"/>
          <w:szCs w:val="22"/>
          <w:color w:val="231F20"/>
        </w:rPr>
        <w:t xml:space="preserve">, or </w:t>
      </w:r>
      <w:r>
        <w:rPr>
          <w:rFonts w:ascii="Times New Roman" w:cs="Times New Roman" w:eastAsia="Times New Roman" w:hAnsi="Times New Roman"/>
          <w:sz w:val="22"/>
          <w:szCs w:val="22"/>
          <w:u w:val="single" w:color="auto"/>
          <w:color w:val="231F20"/>
        </w:rPr>
        <w:t>5</w:t>
      </w:r>
      <w:r>
        <w:rPr>
          <w:rFonts w:ascii="Times New Roman" w:cs="Times New Roman" w:eastAsia="Times New Roman" w:hAnsi="Times New Roman"/>
          <w:sz w:val="22"/>
          <w:szCs w:val="22"/>
          <w:color w:val="231F20"/>
        </w:rPr>
        <w:t>, the Corporation shall indemnify Indemnitee to the fullest extent permitted by applicable law if Indemnitee is a party to or threatened to be made a party to any Proceeding (including a Proceeding by or in the right of the Corporation to procure a judgment in its favor)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in connection with the Proceeding.</w:t>
      </w:r>
    </w:p>
    <w:p>
      <w:pPr>
        <w:spacing w:after="0" w:line="207" w:lineRule="exact"/>
        <w:rPr>
          <w:rFonts w:ascii="Times New Roman" w:cs="Times New Roman" w:eastAsia="Times New Roman" w:hAnsi="Times New Roman"/>
          <w:sz w:val="20"/>
          <w:szCs w:val="20"/>
          <w:color w:val="auto"/>
        </w:rPr>
      </w:pPr>
    </w:p>
    <w:p>
      <w:pPr>
        <w:ind w:right="20" w:firstLine="656"/>
        <w:spacing w:after="0" w:line="258" w:lineRule="auto"/>
        <w:tabs>
          <w:tab w:leader="none" w:pos="12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 xml:space="preserve">For purposes of </w:t>
      </w:r>
      <w:r>
        <w:rPr>
          <w:rFonts w:ascii="Times New Roman" w:cs="Times New Roman" w:eastAsia="Times New Roman" w:hAnsi="Times New Roman"/>
          <w:sz w:val="22"/>
          <w:szCs w:val="22"/>
          <w:u w:val="single" w:color="auto"/>
          <w:color w:val="231F20"/>
        </w:rPr>
        <w:t>Section 8(a)</w:t>
      </w:r>
      <w:r>
        <w:rPr>
          <w:rFonts w:ascii="Times New Roman" w:cs="Times New Roman" w:eastAsia="Times New Roman" w:hAnsi="Times New Roman"/>
          <w:sz w:val="22"/>
          <w:szCs w:val="22"/>
          <w:color w:val="231F20"/>
        </w:rPr>
        <w:t>, the meaning of the phrase “to the fullest extent permitted by applicable law” shall include, but not be limited to:</w:t>
      </w:r>
    </w:p>
    <w:p>
      <w:pPr>
        <w:spacing w:after="0" w:line="185" w:lineRule="exact"/>
        <w:rPr>
          <w:rFonts w:ascii="Times New Roman" w:cs="Times New Roman" w:eastAsia="Times New Roman" w:hAnsi="Times New Roman"/>
          <w:sz w:val="20"/>
          <w:szCs w:val="20"/>
          <w:color w:val="auto"/>
        </w:rPr>
      </w:pPr>
    </w:p>
    <w:p>
      <w:pPr>
        <w:jc w:val="both"/>
        <w:ind w:left="660" w:firstLine="700"/>
        <w:spacing w:after="0" w:line="244" w:lineRule="auto"/>
        <w:tabs>
          <w:tab w:leader="none" w:pos="19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to the fullest extent permitted by the provision of the Oklahoma Law that authorizes or contemplates additional indemnification by agreement, or the corresponding provision of any amendment to or replacement of the Oklahoma Law, and</w:t>
      </w:r>
    </w:p>
    <w:p>
      <w:pPr>
        <w:spacing w:after="0" w:line="200" w:lineRule="exact"/>
        <w:rPr>
          <w:rFonts w:ascii="Times New Roman" w:cs="Times New Roman" w:eastAsia="Times New Roman" w:hAnsi="Times New Roman"/>
          <w:sz w:val="20"/>
          <w:szCs w:val="20"/>
          <w:color w:val="auto"/>
        </w:rPr>
      </w:pPr>
    </w:p>
    <w:p>
      <w:pPr>
        <w:jc w:val="both"/>
        <w:ind w:left="660" w:firstLine="645"/>
        <w:spacing w:after="0" w:line="238" w:lineRule="auto"/>
        <w:tabs>
          <w:tab w:leader="none" w:pos="195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to the fullest extent authorized or permitted by any amendments to or replacements of the Oklahoma Law adopted after the date of this Agreement that increase the extent to which a corporation may indemnify its officers and directors.</w:t>
      </w:r>
    </w:p>
    <w:p>
      <w:pPr>
        <w:spacing w:after="0" w:line="206" w:lineRule="exact"/>
        <w:rPr>
          <w:sz w:val="20"/>
          <w:szCs w:val="20"/>
          <w:color w:val="auto"/>
        </w:rPr>
      </w:pPr>
    </w:p>
    <w:p>
      <w:pPr>
        <w:ind w:firstLine="756"/>
        <w:spacing w:after="0" w:line="258" w:lineRule="auto"/>
        <w:rPr>
          <w:sz w:val="20"/>
          <w:szCs w:val="20"/>
          <w:color w:val="auto"/>
        </w:rPr>
      </w:pPr>
      <w:r>
        <w:rPr>
          <w:rFonts w:ascii="Times New Roman" w:cs="Times New Roman" w:eastAsia="Times New Roman" w:hAnsi="Times New Roman"/>
          <w:sz w:val="22"/>
          <w:szCs w:val="22"/>
          <w:color w:val="231F20"/>
        </w:rPr>
        <w:t xml:space="preserve">Section 9. </w:t>
      </w:r>
      <w:r>
        <w:rPr>
          <w:rFonts w:ascii="Times New Roman" w:cs="Times New Roman" w:eastAsia="Times New Roman" w:hAnsi="Times New Roman"/>
          <w:sz w:val="22"/>
          <w:szCs w:val="22"/>
          <w:u w:val="single" w:color="auto"/>
          <w:color w:val="231F20"/>
        </w:rPr>
        <w:t>Exclusions</w:t>
      </w:r>
      <w:r>
        <w:rPr>
          <w:rFonts w:ascii="Times New Roman" w:cs="Times New Roman" w:eastAsia="Times New Roman" w:hAnsi="Times New Roman"/>
          <w:sz w:val="22"/>
          <w:szCs w:val="22"/>
          <w:color w:val="231F20"/>
        </w:rPr>
        <w:t>. Notwithstanding any provision in this Agreement, the Corporation shall not be obligated under this Agreement to make any indemnification payment in connection with any claim made against Indemnitee:</w:t>
      </w:r>
    </w:p>
    <w:p>
      <w:pPr>
        <w:spacing w:after="0" w:line="185" w:lineRule="exact"/>
        <w:rPr>
          <w:sz w:val="20"/>
          <w:szCs w:val="20"/>
          <w:color w:val="auto"/>
        </w:rPr>
      </w:pPr>
    </w:p>
    <w:p>
      <w:pPr>
        <w:jc w:val="both"/>
        <w:ind w:right="20" w:firstLine="656"/>
        <w:spacing w:after="0" w:line="244" w:lineRule="auto"/>
        <w:tabs>
          <w:tab w:leader="none" w:pos="128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200" w:lineRule="exact"/>
        <w:rPr>
          <w:rFonts w:ascii="Times New Roman" w:cs="Times New Roman" w:eastAsia="Times New Roman" w:hAnsi="Times New Roman"/>
          <w:sz w:val="20"/>
          <w:szCs w:val="20"/>
          <w:color w:val="auto"/>
        </w:rPr>
      </w:pPr>
    </w:p>
    <w:p>
      <w:pPr>
        <w:jc w:val="both"/>
        <w:ind w:firstLine="656"/>
        <w:spacing w:after="0" w:line="233" w:lineRule="auto"/>
        <w:tabs>
          <w:tab w:leader="none" w:pos="1291" w:val="left"/>
        </w:tabs>
        <w:numPr>
          <w:ilvl w:val="0"/>
          <w:numId w:val="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for (i) an accounting of profits made from the purchase and sale (or sale and purchase) by Indemnitee of securities of the Corporation within the meaning of Section 16(b) of the Exchange Act (as defined in </w:t>
      </w:r>
      <w:r>
        <w:rPr>
          <w:rFonts w:ascii="Times New Roman" w:cs="Times New Roman" w:eastAsia="Times New Roman" w:hAnsi="Times New Roman"/>
          <w:sz w:val="22"/>
          <w:szCs w:val="22"/>
          <w:u w:val="single" w:color="auto"/>
          <w:color w:val="231F20"/>
        </w:rPr>
        <w:t>Section 2(b)</w:t>
      </w:r>
      <w:r>
        <w:rPr>
          <w:rFonts w:ascii="Times New Roman" w:cs="Times New Roman" w:eastAsia="Times New Roman" w:hAnsi="Times New Roman"/>
          <w:sz w:val="22"/>
          <w:szCs w:val="22"/>
          <w:color w:val="231F20"/>
        </w:rPr>
        <w:t xml:space="preserve"> hereof) or similar provisions of state statutory law or common law, or (ii) any reimbursement of the Corporation by the Indemnitee of any bonus or other incentive-based or equity-based compensation or of any profits realized by the Indemnitee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Times New Roman" w:cs="Times New Roman" w:eastAsia="Times New Roman" w:hAnsi="Times New Roman"/>
          <w:sz w:val="22"/>
          <w:szCs w:val="22"/>
          <w:u w:val="single" w:color="auto"/>
          <w:color w:val="231F20"/>
        </w:rPr>
        <w:t>Sarbanes-Oxley Act</w:t>
      </w:r>
      <w:r>
        <w:rPr>
          <w:rFonts w:ascii="Times New Roman" w:cs="Times New Roman" w:eastAsia="Times New Roman" w:hAnsi="Times New Roman"/>
          <w:sz w:val="22"/>
          <w:szCs w:val="22"/>
          <w:color w:val="231F20"/>
        </w:rPr>
        <w:t>”), or the payment to the Corporation of profits arising from the purchase and sale by Indemnitee of securities in violation of Section 306 of the Sarbanes-Oxley Act);</w:t>
      </w:r>
    </w:p>
    <w:p>
      <w:pPr>
        <w:spacing w:after="0" w:line="208" w:lineRule="exact"/>
        <w:rPr>
          <w:rFonts w:ascii="Times New Roman" w:cs="Times New Roman" w:eastAsia="Times New Roman" w:hAnsi="Times New Roman"/>
          <w:sz w:val="22"/>
          <w:szCs w:val="22"/>
          <w:color w:val="231F20"/>
        </w:rPr>
      </w:pPr>
    </w:p>
    <w:p>
      <w:pPr>
        <w:jc w:val="both"/>
        <w:ind w:firstLine="656"/>
        <w:spacing w:after="0" w:line="238" w:lineRule="auto"/>
        <w:tabs>
          <w:tab w:leader="none" w:pos="1293" w:val="left"/>
        </w:tabs>
        <w:numPr>
          <w:ilvl w:val="0"/>
          <w:numId w:val="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except as provided in </w:t>
      </w:r>
      <w:r>
        <w:rPr>
          <w:rFonts w:ascii="Times New Roman" w:cs="Times New Roman" w:eastAsia="Times New Roman" w:hAnsi="Times New Roman"/>
          <w:sz w:val="22"/>
          <w:szCs w:val="22"/>
          <w:u w:val="single" w:color="auto"/>
          <w:color w:val="231F20"/>
        </w:rPr>
        <w:t>Section 14(d)</w:t>
      </w:r>
      <w:r>
        <w:rPr>
          <w:rFonts w:ascii="Times New Roman" w:cs="Times New Roman" w:eastAsia="Times New Roman" w:hAnsi="Times New Roman"/>
          <w:sz w:val="22"/>
          <w:szCs w:val="22"/>
          <w:color w:val="231F20"/>
        </w:rPr>
        <w:t xml:space="preserve"> of this Agreement, in connection with any Proceeding (or any part of any Proceeding) initiated by Indemnitee, including any Proceeding (or any part of any Proceeding) initiated by Indemnitee against the Corporation or its directors, officers, employees or other indemnitees, unless (i) the Board authorized the Proceeding (or any part of any Proceeding) prior to its initiation or (ii) the Corporation provides the indemnification, in its sole discretion, pursuant to the powers vested in the Corporation under applicable law; or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22" w:right="339" w:bottom="1440" w:gutter="0" w:footer="0" w:header="0"/>
        </w:sectPr>
      </w:pPr>
    </w:p>
    <w:bookmarkStart w:id="136" w:name="page137"/>
    <w:bookmarkEnd w:id="136"/>
    <w:p>
      <w:pPr>
        <w:jc w:val="both"/>
        <w:ind w:firstLine="656"/>
        <w:spacing w:after="0" w:line="234" w:lineRule="auto"/>
        <w:tabs>
          <w:tab w:leader="none" w:pos="1291" w:val="left"/>
        </w:tabs>
        <w:numPr>
          <w:ilvl w:val="0"/>
          <w:numId w:val="6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connection with any claim made against Indemnitee if the Corporation brings an action contesting the right of Indemnitee to receive indemnification or a payment hereunder and establishes that (i) Indemnitee intentionally misrepresented or failed to disclose a material fact in making the request for indemnification or payment or (ii) such indemnification or payment is prohibited by applicable law (such event, a “</w:t>
      </w:r>
      <w:r>
        <w:rPr>
          <w:rFonts w:ascii="Times New Roman" w:cs="Times New Roman" w:eastAsia="Times New Roman" w:hAnsi="Times New Roman"/>
          <w:sz w:val="22"/>
          <w:szCs w:val="22"/>
          <w:u w:val="single" w:color="auto"/>
          <w:color w:val="231F20"/>
        </w:rPr>
        <w:t>Disqualifying Event</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i w:val="1"/>
          <w:iCs w:val="1"/>
          <w:color w:val="231F20"/>
        </w:rPr>
        <w:t>provided</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i w:val="1"/>
          <w:iCs w:val="1"/>
          <w:color w:val="231F20"/>
        </w:rPr>
        <w:t>however</w:t>
      </w:r>
      <w:r>
        <w:rPr>
          <w:rFonts w:ascii="Times New Roman" w:cs="Times New Roman" w:eastAsia="Times New Roman" w:hAnsi="Times New Roman"/>
          <w:sz w:val="22"/>
          <w:szCs w:val="22"/>
          <w:color w:val="231F20"/>
        </w:rPr>
        <w:t xml:space="preserve">, that in any such action the Corporation shall have the burden of proving the occurrence of any such Disqualifying Event; </w:t>
      </w:r>
      <w:r>
        <w:rPr>
          <w:rFonts w:ascii="Times New Roman" w:cs="Times New Roman" w:eastAsia="Times New Roman" w:hAnsi="Times New Roman"/>
          <w:sz w:val="22"/>
          <w:szCs w:val="22"/>
          <w:i w:val="1"/>
          <w:iCs w:val="1"/>
          <w:color w:val="231F20"/>
        </w:rPr>
        <w:t>provided</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i w:val="1"/>
          <w:iCs w:val="1"/>
          <w:color w:val="231F20"/>
        </w:rPr>
        <w:t>further</w:t>
      </w:r>
      <w:r>
        <w:rPr>
          <w:rFonts w:ascii="Times New Roman" w:cs="Times New Roman" w:eastAsia="Times New Roman" w:hAnsi="Times New Roman"/>
          <w:sz w:val="22"/>
          <w:szCs w:val="22"/>
          <w:color w:val="231F20"/>
        </w:rPr>
        <w:t>, that the reduction in the obligation of the Corporation to make any payment under this clause (ii) shall only be to the extent that such obligation is prohibited by applicable law.</w:t>
      </w:r>
    </w:p>
    <w:p>
      <w:pPr>
        <w:spacing w:after="0" w:line="204" w:lineRule="exact"/>
        <w:rPr>
          <w:sz w:val="20"/>
          <w:szCs w:val="20"/>
          <w:color w:val="auto"/>
        </w:rPr>
      </w:pPr>
    </w:p>
    <w:p>
      <w:pPr>
        <w:jc w:val="both"/>
        <w:ind w:firstLine="756"/>
        <w:spacing w:after="0" w:line="232" w:lineRule="auto"/>
        <w:rPr>
          <w:sz w:val="20"/>
          <w:szCs w:val="20"/>
          <w:color w:val="auto"/>
        </w:rPr>
      </w:pPr>
      <w:r>
        <w:rPr>
          <w:rFonts w:ascii="Times New Roman" w:cs="Times New Roman" w:eastAsia="Times New Roman" w:hAnsi="Times New Roman"/>
          <w:sz w:val="22"/>
          <w:szCs w:val="22"/>
          <w:color w:val="231F20"/>
        </w:rPr>
        <w:t xml:space="preserve">Section 10. </w:t>
      </w:r>
      <w:r>
        <w:rPr>
          <w:rFonts w:ascii="Times New Roman" w:cs="Times New Roman" w:eastAsia="Times New Roman" w:hAnsi="Times New Roman"/>
          <w:sz w:val="22"/>
          <w:szCs w:val="22"/>
          <w:u w:val="single" w:color="auto"/>
          <w:color w:val="231F20"/>
        </w:rPr>
        <w:t>Advances of Expenses</w:t>
      </w:r>
      <w:r>
        <w:rPr>
          <w:rFonts w:ascii="Times New Roman" w:cs="Times New Roman" w:eastAsia="Times New Roman" w:hAnsi="Times New Roman"/>
          <w:sz w:val="22"/>
          <w:szCs w:val="22"/>
          <w:color w:val="231F20"/>
        </w:rPr>
        <w:t xml:space="preserve">. Notwithstanding any provision of this Agreement to the contrary (other than </w:t>
      </w:r>
      <w:r>
        <w:rPr>
          <w:rFonts w:ascii="Times New Roman" w:cs="Times New Roman" w:eastAsia="Times New Roman" w:hAnsi="Times New Roman"/>
          <w:sz w:val="22"/>
          <w:szCs w:val="22"/>
          <w:u w:val="single" w:color="auto"/>
          <w:color w:val="231F20"/>
        </w:rPr>
        <w:t>Section</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14(d)</w:t>
      </w:r>
      <w:r>
        <w:rPr>
          <w:rFonts w:ascii="Times New Roman" w:cs="Times New Roman" w:eastAsia="Times New Roman" w:hAnsi="Times New Roman"/>
          <w:sz w:val="22"/>
          <w:szCs w:val="22"/>
          <w:color w:val="231F20"/>
        </w:rPr>
        <w:t xml:space="preserve">), the Corporation shall advance, to the extent not prohibited by law, the Expenses incurred by Indemnitee in connection with any Proceeding (or any part of any Proceeding) not initiated by Indemnitee, and such advancement shall be made within twenty (20) days after the receipt by the Corporation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In accordance with </w:t>
      </w:r>
      <w:r>
        <w:rPr>
          <w:rFonts w:ascii="Times New Roman" w:cs="Times New Roman" w:eastAsia="Times New Roman" w:hAnsi="Times New Roman"/>
          <w:sz w:val="22"/>
          <w:szCs w:val="22"/>
          <w:u w:val="single" w:color="auto"/>
          <w:color w:val="231F20"/>
        </w:rPr>
        <w:t>Section 14(d)</w:t>
      </w:r>
      <w:r>
        <w:rPr>
          <w:rFonts w:ascii="Times New Roman" w:cs="Times New Roman" w:eastAsia="Times New Roman" w:hAnsi="Times New Roman"/>
          <w:sz w:val="22"/>
          <w:szCs w:val="22"/>
          <w:color w:val="231F20"/>
        </w:rPr>
        <w:t xml:space="preserve">, advances shall include any and all reasonable Expenses incurred pursuing an action to enforce this right of advancement, including Expenses incurred preparing and forwarding statements to the Corporation to support the advances claimed. The Indemnitee shall qualify for advances upon the execution and delivery to the Corporation of this Agreement, which shall constitute an undertaking providing that the Indemnitee undertakes to repay the amounts advanced (without interest) to the extent that it is ultimately determined that Indemnitee is not entitled to be indemnified by the Corporation. No other form of undertaking shall be required other than the execution of this Agreement. This </w:t>
      </w:r>
      <w:r>
        <w:rPr>
          <w:rFonts w:ascii="Times New Roman" w:cs="Times New Roman" w:eastAsia="Times New Roman" w:hAnsi="Times New Roman"/>
          <w:sz w:val="22"/>
          <w:szCs w:val="22"/>
          <w:u w:val="single" w:color="auto"/>
          <w:color w:val="231F20"/>
        </w:rPr>
        <w:t>Section 10</w:t>
      </w:r>
      <w:r>
        <w:rPr>
          <w:rFonts w:ascii="Times New Roman" w:cs="Times New Roman" w:eastAsia="Times New Roman" w:hAnsi="Times New Roman"/>
          <w:sz w:val="22"/>
          <w:szCs w:val="22"/>
          <w:color w:val="231F20"/>
        </w:rPr>
        <w:t xml:space="preserve"> shall not apply to any claim made by Indemnitee for which indemnity is excluded pursuant to </w:t>
      </w:r>
      <w:r>
        <w:rPr>
          <w:rFonts w:ascii="Times New Roman" w:cs="Times New Roman" w:eastAsia="Times New Roman" w:hAnsi="Times New Roman"/>
          <w:sz w:val="22"/>
          <w:szCs w:val="22"/>
          <w:u w:val="single" w:color="auto"/>
          <w:color w:val="231F20"/>
        </w:rPr>
        <w:t>Section 9</w:t>
      </w:r>
      <w:r>
        <w:rPr>
          <w:rFonts w:ascii="Times New Roman" w:cs="Times New Roman" w:eastAsia="Times New Roman" w:hAnsi="Times New Roman"/>
          <w:sz w:val="22"/>
          <w:szCs w:val="22"/>
          <w:color w:val="231F20"/>
        </w:rPr>
        <w:t>.</w:t>
      </w:r>
    </w:p>
    <w:p>
      <w:pPr>
        <w:spacing w:after="0" w:line="2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11. </w:t>
      </w:r>
      <w:r>
        <w:rPr>
          <w:rFonts w:ascii="Times New Roman" w:cs="Times New Roman" w:eastAsia="Times New Roman" w:hAnsi="Times New Roman"/>
          <w:sz w:val="22"/>
          <w:szCs w:val="22"/>
          <w:u w:val="single" w:color="auto"/>
          <w:color w:val="231F20"/>
        </w:rPr>
        <w:t>Procedure for Notification; Defense of Claim</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44" w:lineRule="auto"/>
        <w:tabs>
          <w:tab w:leader="none" w:pos="1286"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231F20"/>
        </w:rPr>
        <w:t>Indemnitee shall notify the Corporation in writing of any matter with respect to which Indemnitee intends to seek indemnification or advancement of Expenses hereunder as soon as reasonably practicable following the receipt by Indemnitee of written notice. The written notification to the Corporation shall include a description of the nature of the Proceeding and the facts underlying the Proceeding. To obtain indemnification under this Agreement, Indemnitee shall submit to the Corporation a written request, including such documentation and information as is reasonably available to Indemnitee and is reasonably necessary to determine whether and to what extent Indemnitee is entitled to indemnification following the final disposition of such Proceeding. The omission by Indemnitee to notify the Corporation hereunder will not relieve the Corporation from any liability which it may have to Indemnitee under this Agreement or otherwise, and any delay in so notifying the Corporation shall not constitute a waiver by Indemnitee of any rights under this Agreement. The Secretary of the Corporation shall, promptly upon receipt of such a request for indemnification, advise the Board in writing that Indemnitee has requested indemnification.</w:t>
      </w:r>
    </w:p>
    <w:p>
      <w:pPr>
        <w:spacing w:after="0" w:line="204"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7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Corporation will be entitled to participate in the Proceeding at its own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165" w:right="339" w:bottom="1440" w:gutter="0" w:footer="0" w:header="0"/>
        </w:sectPr>
      </w:pPr>
    </w:p>
    <w:bookmarkStart w:id="137" w:name="page138"/>
    <w:bookmarkEnd w:id="137"/>
    <w:p>
      <w:pPr>
        <w:jc w:val="both"/>
        <w:ind w:firstLine="656"/>
        <w:spacing w:after="0" w:line="242" w:lineRule="auto"/>
        <w:tabs>
          <w:tab w:leader="none" w:pos="1293" w:val="left"/>
        </w:tabs>
        <w:numPr>
          <w:ilvl w:val="0"/>
          <w:numId w:val="71"/>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 xml:space="preserve">Except as otherwise provided in this Agreement, in the event the Corporation may be obligated to make any indemnity or payment in connection with a Proceeding, the Corporation shall be entitled to assume the defense of such Proceeding with counsel approved by Indemnitee, which approval shall not be unreasonably withheld, upon the delivery to Indemnitee of written notice of the Corporation’s election to do so. After delivery of such notice, approval of such counsel by Indemnitee and the retention of such counsel by the Corporation, the Corporation will not be liable to Indemnitee for any fees or expenses of counsel subsequently incurred by Indemnitee with respect to the same Proceeding. Notwithstanding the Corporation’s assumption of the defense of any such Proceeding, the Corporation shall be obligated to pay the fees and expenses of Indemnitee’s counsel to the extent (i) the employment of counsel by Indemnitee is authorized by the Corporation, (ii) counsel for the Corporation or Indemnitee shall have reasonably concluded that there is a conflict of interest between the Corporation and Indemnitee in the conduct of any such defense such that Indemnitee needs to be separately represented, (iii) the Corporation is not financially or legally able to perform its indemnification obligations or (iv) the Corporation shall not have retained, or shall not continue to retain, such counsel to defend such Proceeding. The Corporation shall have the right to conduct such defense as it reasonably sees fit in its sole discretion. Regardless of any provision in this Agreement, Indemnitee shall have the right to employ counsel in any Proceeding at Indemnitee’s personal expense. The Corporation shall not be entitled, without the consent of Indemnitee, to assume the defense of any claim brought by or in the right of the Corporation. Indemnitee shall give the Corporation such information and cooperation in connection with the Proceeding as may be reasonably appropriate. The Corporation shall not be liable to indemnify Indemnitee for any settlement of any Proceeding (or any part thereof) effected without the Corporation’s prior written consent, which shall not be unreasonably withheld. Subject to the limitations set forth in this Agreement, the Corporation shall have the right to settle any Proceeding (or any part thereof) without the consent of Indemnitee, </w:t>
      </w:r>
      <w:r>
        <w:rPr>
          <w:rFonts w:ascii="Times New Roman" w:cs="Times New Roman" w:eastAsia="Times New Roman" w:hAnsi="Times New Roman"/>
          <w:sz w:val="21"/>
          <w:szCs w:val="21"/>
          <w:u w:val="single" w:color="auto"/>
          <w:color w:val="231F20"/>
        </w:rPr>
        <w:t>provided</w:t>
      </w:r>
      <w:r>
        <w:rPr>
          <w:rFonts w:ascii="Times New Roman" w:cs="Times New Roman" w:eastAsia="Times New Roman" w:hAnsi="Times New Roman"/>
          <w:sz w:val="21"/>
          <w:szCs w:val="21"/>
          <w:color w:val="231F20"/>
        </w:rPr>
        <w:t xml:space="preserve">, </w:t>
      </w:r>
      <w:r>
        <w:rPr>
          <w:rFonts w:ascii="Times New Roman" w:cs="Times New Roman" w:eastAsia="Times New Roman" w:hAnsi="Times New Roman"/>
          <w:sz w:val="21"/>
          <w:szCs w:val="21"/>
          <w:u w:val="single" w:color="auto"/>
          <w:color w:val="231F20"/>
        </w:rPr>
        <w:t>however</w:t>
      </w:r>
      <w:r>
        <w:rPr>
          <w:rFonts w:ascii="Times New Roman" w:cs="Times New Roman" w:eastAsia="Times New Roman" w:hAnsi="Times New Roman"/>
          <w:sz w:val="21"/>
          <w:szCs w:val="21"/>
          <w:color w:val="231F20"/>
        </w:rPr>
        <w:t>, that the Corporation shall not settle any Proceeding (or any part thereof) in a manner that would impose any liability, penalty or admission of guilt or liability on Indemnitee without Indemnitee’s written consent.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12. </w:t>
      </w:r>
      <w:r>
        <w:rPr>
          <w:rFonts w:ascii="Times New Roman" w:cs="Times New Roman" w:eastAsia="Times New Roman" w:hAnsi="Times New Roman"/>
          <w:sz w:val="22"/>
          <w:szCs w:val="22"/>
          <w:u w:val="single" w:color="auto"/>
          <w:color w:val="231F20"/>
        </w:rPr>
        <w:t>Procedure Upon Application for Indemnification</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43" w:lineRule="auto"/>
        <w:tabs>
          <w:tab w:leader="none" w:pos="1286"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231F20"/>
        </w:rPr>
        <w:t xml:space="preserve">Upon written request by Indemnitee for indemnification pursuant to </w:t>
      </w:r>
      <w:r>
        <w:rPr>
          <w:rFonts w:ascii="Times New Roman" w:cs="Times New Roman" w:eastAsia="Times New Roman" w:hAnsi="Times New Roman"/>
          <w:sz w:val="21"/>
          <w:szCs w:val="21"/>
          <w:u w:val="single" w:color="auto"/>
          <w:color w:val="231F20"/>
        </w:rPr>
        <w:t>Section 11(a)</w:t>
      </w:r>
      <w:r>
        <w:rPr>
          <w:rFonts w:ascii="Times New Roman" w:cs="Times New Roman" w:eastAsia="Times New Roman" w:hAnsi="Times New Roman"/>
          <w:sz w:val="21"/>
          <w:szCs w:val="21"/>
          <w:color w:val="231F20"/>
        </w:rPr>
        <w:t>, a determination, if required by applicable law, with respect to Indemnitee’s entitlement thereto shall be made in the specific case: (i) if a Change of Control shall have occurred, by Independent Counsel in a written opinion to the Board, a copy of which shall be delivered to Indemnitee; or (ii) if a Change of Control shall not have occurred, (A) by a majority vote of the Disinterested Directors, even though less than a quorum of the Board, (B) by a committee of Disinterested Directors designated by a majority vote of the Disinterested Directors, even though less than a quorum of the Board, (C) if there are no such Disinterested Directors or, if such Disinterested Directors so direct, by Independent Counsel in a written opinion to the Board, a copy of which shall be delivered to Indemnitee or (D) if so directed by the Board, by the shareholders of the Corporation; and,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attorneys’ fees and disbursements) incurred by Indemnitee in so cooperating with the person, persons or entity making such determination shall be borne by the Corporation (irrespective of the determination as to Indemnitee’s entitlement to indemnification) and the Corporation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22" w:right="339" w:bottom="1440" w:gutter="0" w:footer="0" w:header="0"/>
        </w:sectPr>
      </w:pPr>
    </w:p>
    <w:bookmarkStart w:id="138" w:name="page139"/>
    <w:bookmarkEnd w:id="138"/>
    <w:p>
      <w:pPr>
        <w:jc w:val="both"/>
        <w:ind w:right="20"/>
        <w:spacing w:after="0" w:line="244" w:lineRule="auto"/>
        <w:rPr>
          <w:sz w:val="20"/>
          <w:szCs w:val="20"/>
          <w:color w:val="auto"/>
        </w:rPr>
      </w:pPr>
      <w:r>
        <w:rPr>
          <w:rFonts w:ascii="Times New Roman" w:cs="Times New Roman" w:eastAsia="Times New Roman" w:hAnsi="Times New Roman"/>
          <w:sz w:val="22"/>
          <w:szCs w:val="22"/>
          <w:color w:val="231F20"/>
        </w:rPr>
        <w:t>indemnifies and agrees to hold Indemnitee harmless from any such costs or Expenses. The Corporation promptly will advise Indemnitee in writing with respect to any determination that Indemnitee is or is not entitled to indemnification, including a description with specificity of any reason or basis for which indemnification has been denied.</w:t>
      </w:r>
    </w:p>
    <w:p>
      <w:pPr>
        <w:spacing w:after="0" w:line="200" w:lineRule="exact"/>
        <w:rPr>
          <w:sz w:val="20"/>
          <w:szCs w:val="20"/>
          <w:color w:val="auto"/>
        </w:rPr>
      </w:pPr>
    </w:p>
    <w:p>
      <w:pPr>
        <w:jc w:val="both"/>
        <w:ind w:firstLine="656"/>
        <w:spacing w:after="0" w:line="242" w:lineRule="auto"/>
        <w:tabs>
          <w:tab w:leader="none" w:pos="1291" w:val="left"/>
        </w:tabs>
        <w:numPr>
          <w:ilvl w:val="0"/>
          <w:numId w:val="73"/>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 xml:space="preserve">In the event the determination of entitlement to indemnification is to be made by Independent Counsel pursuant to </w:t>
      </w:r>
      <w:r>
        <w:rPr>
          <w:rFonts w:ascii="Times New Roman" w:cs="Times New Roman" w:eastAsia="Times New Roman" w:hAnsi="Times New Roman"/>
          <w:sz w:val="21"/>
          <w:szCs w:val="21"/>
          <w:u w:val="single" w:color="auto"/>
          <w:color w:val="231F20"/>
        </w:rPr>
        <w:t>Section 12(a)</w:t>
      </w:r>
      <w:r>
        <w:rPr>
          <w:rFonts w:ascii="Times New Roman" w:cs="Times New Roman" w:eastAsia="Times New Roman" w:hAnsi="Times New Roman"/>
          <w:sz w:val="21"/>
          <w:szCs w:val="21"/>
          <w:color w:val="231F20"/>
        </w:rPr>
        <w:t xml:space="preserve"> hereof, the Independent Counsel shall be selected as provided in this </w:t>
      </w:r>
      <w:r>
        <w:rPr>
          <w:rFonts w:ascii="Times New Roman" w:cs="Times New Roman" w:eastAsia="Times New Roman" w:hAnsi="Times New Roman"/>
          <w:sz w:val="21"/>
          <w:szCs w:val="21"/>
          <w:u w:val="single" w:color="auto"/>
          <w:color w:val="231F20"/>
        </w:rPr>
        <w:t>Section 12(b)</w:t>
      </w:r>
      <w:r>
        <w:rPr>
          <w:rFonts w:ascii="Times New Roman" w:cs="Times New Roman" w:eastAsia="Times New Roman" w:hAnsi="Times New Roman"/>
          <w:sz w:val="21"/>
          <w:szCs w:val="21"/>
          <w:color w:val="231F20"/>
        </w:rPr>
        <w:t xml:space="preserve">. If a Change of Control shall not have occurred, the Independent Counsel shall be selected by the Board, and the Corporation shall give written notice to Indemnitee advising him of the identity of the Independent Counsel so selected. If a Change of Control shall have occurred, the Independent Counsel shall be selected by Indemnitee (unless Indemnitee shall request that such selection be made by the Board, in which event the preceding sentence shall apply), and Indemnitee shall give written notice to the Corporation advising it of the identity of the Independent Counsel so selected. In either event, Indemnitee or the Corporation, as the case may be, may, within ten (10) days after such written notice of selection shall have been given, deliver to the Corporation or to Indemnitee, as the case may be, a written objection to such selection; </w:t>
      </w:r>
      <w:r>
        <w:rPr>
          <w:rFonts w:ascii="Times New Roman" w:cs="Times New Roman" w:eastAsia="Times New Roman" w:hAnsi="Times New Roman"/>
          <w:sz w:val="21"/>
          <w:szCs w:val="21"/>
          <w:u w:val="single" w:color="auto"/>
          <w:color w:val="231F20"/>
        </w:rPr>
        <w:t>provided</w:t>
      </w:r>
      <w:r>
        <w:rPr>
          <w:rFonts w:ascii="Times New Roman" w:cs="Times New Roman" w:eastAsia="Times New Roman" w:hAnsi="Times New Roman"/>
          <w:sz w:val="21"/>
          <w:szCs w:val="21"/>
          <w:color w:val="231F20"/>
        </w:rPr>
        <w:t xml:space="preserve">, </w:t>
      </w:r>
      <w:r>
        <w:rPr>
          <w:rFonts w:ascii="Times New Roman" w:cs="Times New Roman" w:eastAsia="Times New Roman" w:hAnsi="Times New Roman"/>
          <w:sz w:val="21"/>
          <w:szCs w:val="21"/>
          <w:u w:val="single" w:color="auto"/>
          <w:color w:val="231F20"/>
        </w:rPr>
        <w:t>however</w:t>
      </w:r>
      <w:r>
        <w:rPr>
          <w:rFonts w:ascii="Times New Roman" w:cs="Times New Roman" w:eastAsia="Times New Roman" w:hAnsi="Times New Roman"/>
          <w:sz w:val="21"/>
          <w:szCs w:val="21"/>
          <w:color w:val="231F20"/>
        </w:rPr>
        <w:t xml:space="preserve">,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21"/>
          <w:szCs w:val="21"/>
          <w:u w:val="single" w:color="auto"/>
          <w:color w:val="231F20"/>
        </w:rPr>
        <w:t>Section 2</w:t>
      </w:r>
      <w:r>
        <w:rPr>
          <w:rFonts w:ascii="Times New Roman" w:cs="Times New Roman" w:eastAsia="Times New Roman" w:hAnsi="Times New Roman"/>
          <w:sz w:val="21"/>
          <w:szCs w:val="21"/>
          <w:color w:val="231F20"/>
        </w:rPr>
        <w:t xml:space="preserve">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twenty (20) days after the later of submission by Indemnitee of a written request for indemnification pursuant to </w:t>
      </w:r>
      <w:r>
        <w:rPr>
          <w:rFonts w:ascii="Times New Roman" w:cs="Times New Roman" w:eastAsia="Times New Roman" w:hAnsi="Times New Roman"/>
          <w:sz w:val="21"/>
          <w:szCs w:val="21"/>
          <w:u w:val="single" w:color="auto"/>
          <w:color w:val="231F20"/>
        </w:rPr>
        <w:t>Section 11(a)</w:t>
      </w:r>
      <w:r>
        <w:rPr>
          <w:rFonts w:ascii="Times New Roman" w:cs="Times New Roman" w:eastAsia="Times New Roman" w:hAnsi="Times New Roman"/>
          <w:sz w:val="21"/>
          <w:szCs w:val="21"/>
          <w:color w:val="231F20"/>
        </w:rPr>
        <w:t xml:space="preserve"> hereof and the final disposition of the Proceeding, no Independent Counsel shall have been selected and not objected to, either the Corporation or Indemnitee may petition a court for resolution of any objection which shall have been made by the Corporation or Indemnitee to the other’s selection of Independent Counsel and/or for the appointment as Independent Counsel of a person selected by such court or by such other person as such court shall designate, and the person with respect to whom all objections are so resolved or the person so appointed shall act as Independent Counsel under </w:t>
      </w:r>
      <w:r>
        <w:rPr>
          <w:rFonts w:ascii="Times New Roman" w:cs="Times New Roman" w:eastAsia="Times New Roman" w:hAnsi="Times New Roman"/>
          <w:sz w:val="21"/>
          <w:szCs w:val="21"/>
          <w:u w:val="single" w:color="auto"/>
          <w:color w:val="231F20"/>
        </w:rPr>
        <w:t>Section 12(a)</w:t>
      </w:r>
      <w:r>
        <w:rPr>
          <w:rFonts w:ascii="Times New Roman" w:cs="Times New Roman" w:eastAsia="Times New Roman" w:hAnsi="Times New Roman"/>
          <w:sz w:val="21"/>
          <w:szCs w:val="21"/>
          <w:color w:val="231F20"/>
        </w:rPr>
        <w:t xml:space="preserve"> of this Agreement. Upon the due commencement of any judicial proceeding or arbitration pursuant to </w:t>
      </w:r>
      <w:r>
        <w:rPr>
          <w:rFonts w:ascii="Times New Roman" w:cs="Times New Roman" w:eastAsia="Times New Roman" w:hAnsi="Times New Roman"/>
          <w:sz w:val="21"/>
          <w:szCs w:val="21"/>
          <w:u w:val="single" w:color="auto"/>
          <w:color w:val="231F20"/>
        </w:rPr>
        <w:t>Section 14(a)</w:t>
      </w:r>
      <w:r>
        <w:rPr>
          <w:rFonts w:ascii="Times New Roman" w:cs="Times New Roman" w:eastAsia="Times New Roman" w:hAnsi="Times New Roman"/>
          <w:sz w:val="21"/>
          <w:szCs w:val="21"/>
          <w:color w:val="231F20"/>
        </w:rPr>
        <w:t xml:space="preserve"> of this Agreement, Independent Counsel shall be discharged and relieved of any further responsibility in such capacity (subject to the applicable standards of professional conduct then prevailing).</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13. </w:t>
      </w:r>
      <w:r>
        <w:rPr>
          <w:rFonts w:ascii="Times New Roman" w:cs="Times New Roman" w:eastAsia="Times New Roman" w:hAnsi="Times New Roman"/>
          <w:sz w:val="22"/>
          <w:szCs w:val="22"/>
          <w:u w:val="single" w:color="auto"/>
          <w:color w:val="231F20"/>
        </w:rPr>
        <w:t>Presumptions and Effect of Certain Proceedings</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33" w:lineRule="auto"/>
        <w:tabs>
          <w:tab w:leader="none" w:pos="128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 xml:space="preserve">In making a determination with respect to entitlement to indemnification under this Agreement, the person or persons or entity making such determination shall, to the fullest extent not prohibited by law, presume that Indemnitee is entitled to indemnification under this Agreement if Indemnitee has submitted a request for indemnification in accordance with </w:t>
      </w:r>
      <w:r>
        <w:rPr>
          <w:rFonts w:ascii="Times New Roman" w:cs="Times New Roman" w:eastAsia="Times New Roman" w:hAnsi="Times New Roman"/>
          <w:sz w:val="22"/>
          <w:szCs w:val="22"/>
          <w:u w:val="single" w:color="auto"/>
          <w:color w:val="231F20"/>
        </w:rPr>
        <w:t>Section</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11(a)</w:t>
      </w:r>
      <w:r>
        <w:rPr>
          <w:rFonts w:ascii="Times New Roman" w:cs="Times New Roman" w:eastAsia="Times New Roman" w:hAnsi="Times New Roman"/>
          <w:sz w:val="22"/>
          <w:szCs w:val="22"/>
          <w:color w:val="231F20"/>
        </w:rPr>
        <w:t xml:space="preserve"> of this Agreement, and the Corporation shall, to the fullest extent not prohibited by law, have the burden of proof to overcome that presumption in connection with the making by any person, persons or entity of any determination contrary to that presumption. Neither the failure of the Corporation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Corporation (including by its directors or Independent Counsel) that Indemnitee has not met such applicable standard of conduct, shall be 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922"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color w:val="231F20"/>
        </w:rPr>
        <w:t>defense to the action or create a presumption that Indemnitee has not met the applicable standard of conduct.</w:t>
      </w:r>
    </w:p>
    <w:p>
      <w:pPr>
        <w:spacing w:after="0" w:line="233" w:lineRule="exact"/>
        <w:rPr>
          <w:sz w:val="20"/>
          <w:szCs w:val="20"/>
          <w:color w:val="auto"/>
        </w:rPr>
      </w:pPr>
    </w:p>
    <w:p>
      <w:pPr>
        <w:jc w:val="both"/>
        <w:ind w:firstLine="656"/>
        <w:spacing w:after="0" w:line="242" w:lineRule="auto"/>
        <w:tabs>
          <w:tab w:leader="none" w:pos="1291" w:val="left"/>
        </w:tabs>
        <w:numPr>
          <w:ilvl w:val="0"/>
          <w:numId w:val="75"/>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 xml:space="preserve">Subject to </w:t>
      </w:r>
      <w:r>
        <w:rPr>
          <w:rFonts w:ascii="Times New Roman" w:cs="Times New Roman" w:eastAsia="Times New Roman" w:hAnsi="Times New Roman"/>
          <w:sz w:val="21"/>
          <w:szCs w:val="21"/>
          <w:u w:val="single" w:color="auto"/>
          <w:color w:val="231F20"/>
        </w:rPr>
        <w:t>Section 14(e)</w:t>
      </w:r>
      <w:r>
        <w:rPr>
          <w:rFonts w:ascii="Times New Roman" w:cs="Times New Roman" w:eastAsia="Times New Roman" w:hAnsi="Times New Roman"/>
          <w:sz w:val="21"/>
          <w:szCs w:val="21"/>
          <w:color w:val="231F20"/>
        </w:rPr>
        <w:t xml:space="preserve">, if the person, persons or entity empowered or selected under </w:t>
      </w:r>
      <w:r>
        <w:rPr>
          <w:rFonts w:ascii="Times New Roman" w:cs="Times New Roman" w:eastAsia="Times New Roman" w:hAnsi="Times New Roman"/>
          <w:sz w:val="21"/>
          <w:szCs w:val="21"/>
          <w:u w:val="single" w:color="auto"/>
          <w:color w:val="231F20"/>
        </w:rPr>
        <w:t>Section 12</w:t>
      </w:r>
      <w:r>
        <w:rPr>
          <w:rFonts w:ascii="Times New Roman" w:cs="Times New Roman" w:eastAsia="Times New Roman" w:hAnsi="Times New Roman"/>
          <w:sz w:val="21"/>
          <w:szCs w:val="21"/>
          <w:color w:val="231F20"/>
        </w:rPr>
        <w:t xml:space="preserve"> of this Agreement to determine whether Indemnitee is entitled to indemnification shall not have made a determination within sixty (60) days after receipt by the Corporation of the request therefor, the requisite determination of entitlement to indemnification shall, to the fullest extent not prohibited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that the foregoing provisions of this </w:t>
      </w:r>
      <w:r>
        <w:rPr>
          <w:rFonts w:ascii="Times New Roman" w:cs="Times New Roman" w:eastAsia="Times New Roman" w:hAnsi="Times New Roman"/>
          <w:sz w:val="21"/>
          <w:szCs w:val="21"/>
          <w:u w:val="single" w:color="auto"/>
          <w:color w:val="231F20"/>
        </w:rPr>
        <w:t>Section 13(b)</w:t>
      </w:r>
      <w:r>
        <w:rPr>
          <w:rFonts w:ascii="Times New Roman" w:cs="Times New Roman" w:eastAsia="Times New Roman" w:hAnsi="Times New Roman"/>
          <w:sz w:val="21"/>
          <w:szCs w:val="21"/>
          <w:color w:val="231F20"/>
        </w:rPr>
        <w:t xml:space="preserve"> shall not apply (i) if the determination of entitlement to indemnification is to be made by the shareholders pursuant to </w:t>
      </w:r>
      <w:r>
        <w:rPr>
          <w:rFonts w:ascii="Times New Roman" w:cs="Times New Roman" w:eastAsia="Times New Roman" w:hAnsi="Times New Roman"/>
          <w:sz w:val="21"/>
          <w:szCs w:val="21"/>
          <w:u w:val="single" w:color="auto"/>
          <w:color w:val="231F20"/>
        </w:rPr>
        <w:t>Section 12(a)</w:t>
      </w:r>
      <w:r>
        <w:rPr>
          <w:rFonts w:ascii="Times New Roman" w:cs="Times New Roman" w:eastAsia="Times New Roman" w:hAnsi="Times New Roman"/>
          <w:sz w:val="21"/>
          <w:szCs w:val="21"/>
          <w:color w:val="231F20"/>
        </w:rPr>
        <w:t xml:space="preserve"> of this Agreement and if (A) within fifteen (15) days after receipt by the Corporation of the request for such determination the Board has resolved to submit such determination to the shareholders for their consideration at an annual meeting thereof to be held within seventy-five (75) days after such receipt and such determination is made thereat, or (B) a special meeting of shareholders is called within fifteen (15) days after such receipt for the purpose of making such determination, such meeting is held for such purpose within sixty (60) days after having been so called and such determination is made thereat, or (ii) if the determination of entitlement to indemnification is to be made by Independent Counsel pursuant to </w:t>
      </w:r>
      <w:r>
        <w:rPr>
          <w:rFonts w:ascii="Times New Roman" w:cs="Times New Roman" w:eastAsia="Times New Roman" w:hAnsi="Times New Roman"/>
          <w:sz w:val="21"/>
          <w:szCs w:val="21"/>
          <w:u w:val="single" w:color="auto"/>
          <w:color w:val="231F20"/>
        </w:rPr>
        <w:t>Section 12(a)</w:t>
      </w:r>
      <w:r>
        <w:rPr>
          <w:rFonts w:ascii="Times New Roman" w:cs="Times New Roman" w:eastAsia="Times New Roman" w:hAnsi="Times New Roman"/>
          <w:sz w:val="21"/>
          <w:szCs w:val="21"/>
          <w:color w:val="231F20"/>
        </w:rPr>
        <w:t xml:space="preserve"> of this Agreement.</w:t>
      </w:r>
    </w:p>
    <w:p>
      <w:pPr>
        <w:spacing w:after="0" w:line="207" w:lineRule="exact"/>
        <w:rPr>
          <w:rFonts w:ascii="Times New Roman" w:cs="Times New Roman" w:eastAsia="Times New Roman" w:hAnsi="Times New Roman"/>
          <w:sz w:val="21"/>
          <w:szCs w:val="21"/>
          <w:color w:val="231F20"/>
        </w:rPr>
      </w:pPr>
    </w:p>
    <w:p>
      <w:pPr>
        <w:jc w:val="both"/>
        <w:ind w:firstLine="656"/>
        <w:spacing w:after="0" w:line="238" w:lineRule="auto"/>
        <w:tabs>
          <w:tab w:leader="none" w:pos="1293" w:val="left"/>
        </w:tabs>
        <w:numPr>
          <w:ilvl w:val="0"/>
          <w:numId w:val="7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The termination of any Proceeding or of any claim, issue or matter therein, by judgment, order, settlement or conviction, or upon a plea of </w:t>
      </w:r>
      <w:r>
        <w:rPr>
          <w:rFonts w:ascii="Times New Roman" w:cs="Times New Roman" w:eastAsia="Times New Roman" w:hAnsi="Times New Roman"/>
          <w:sz w:val="22"/>
          <w:szCs w:val="22"/>
          <w:u w:val="single" w:color="auto"/>
          <w:color w:val="231F20"/>
        </w:rPr>
        <w:t>nolo contendere</w:t>
      </w:r>
      <w:r>
        <w:rPr>
          <w:rFonts w:ascii="Times New Roman" w:cs="Times New Roman" w:eastAsia="Times New Roman" w:hAnsi="Times New Roman"/>
          <w:sz w:val="22"/>
          <w:szCs w:val="22"/>
          <w:color w:val="231F20"/>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Corporation or, with respect to any criminal Proceeding, that Indemnitee had reasonable cause to believe that his conduct was unlawful.</w:t>
      </w:r>
    </w:p>
    <w:p>
      <w:pPr>
        <w:spacing w:after="0" w:line="203" w:lineRule="exact"/>
        <w:rPr>
          <w:rFonts w:ascii="Times New Roman" w:cs="Times New Roman" w:eastAsia="Times New Roman" w:hAnsi="Times New Roman"/>
          <w:sz w:val="22"/>
          <w:szCs w:val="22"/>
          <w:color w:val="231F20"/>
        </w:rPr>
      </w:pPr>
    </w:p>
    <w:p>
      <w:pPr>
        <w:jc w:val="both"/>
        <w:ind w:firstLine="656"/>
        <w:spacing w:after="0" w:line="234" w:lineRule="auto"/>
        <w:tabs>
          <w:tab w:leader="none" w:pos="1291" w:val="left"/>
        </w:tabs>
        <w:numPr>
          <w:ilvl w:val="0"/>
          <w:numId w:val="7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For purposes of any determination of good faith, Indemnitee shall be deemed to have acted in good faith if Indemnitee’s action is based on the records or books of account of the Enterprise, including financial statements, or on information supplied to Indemnitee by the directors or officers of the Enterprise in the course of their duties, or on the advice of legal counsel for the Enterprise or on information or records given or reports made to the Enterprise by an independent certified public accountant or by an appraiser or other expert selected with the reasonable care by the Enterprise. The provisions of this </w:t>
      </w:r>
      <w:r>
        <w:rPr>
          <w:rFonts w:ascii="Times New Roman" w:cs="Times New Roman" w:eastAsia="Times New Roman" w:hAnsi="Times New Roman"/>
          <w:sz w:val="22"/>
          <w:szCs w:val="22"/>
          <w:u w:val="single" w:color="auto"/>
          <w:color w:val="231F20"/>
        </w:rPr>
        <w:t>Section 13(d)</w:t>
      </w:r>
      <w:r>
        <w:rPr>
          <w:rFonts w:ascii="Times New Roman" w:cs="Times New Roman" w:eastAsia="Times New Roman" w:hAnsi="Times New Roman"/>
          <w:sz w:val="22"/>
          <w:szCs w:val="22"/>
          <w:color w:val="231F20"/>
        </w:rPr>
        <w:t xml:space="preserve"> shall not be deemed to be exclusive or to limit in any way the other circumstances in which the Indemnitee may be deemed to have met the applicable standard of conduct set forth in this Agreement.</w:t>
      </w:r>
    </w:p>
    <w:p>
      <w:pPr>
        <w:spacing w:after="0" w:line="203" w:lineRule="exact"/>
        <w:rPr>
          <w:rFonts w:ascii="Times New Roman" w:cs="Times New Roman" w:eastAsia="Times New Roman" w:hAnsi="Times New Roman"/>
          <w:sz w:val="22"/>
          <w:szCs w:val="22"/>
          <w:color w:val="231F20"/>
        </w:rPr>
      </w:pPr>
    </w:p>
    <w:p>
      <w:pPr>
        <w:jc w:val="both"/>
        <w:ind w:firstLine="656"/>
        <w:spacing w:after="0" w:line="244" w:lineRule="auto"/>
        <w:tabs>
          <w:tab w:leader="none" w:pos="1293" w:val="left"/>
        </w:tabs>
        <w:numPr>
          <w:ilvl w:val="0"/>
          <w:numId w:val="75"/>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knowledge and/or actions, or failure to act, of any director, officer, trustee, partner, managing member, fiduciary, agent or employee of the Enterprise shall not be imputed to Indemnitee for purposes of determining the right to indemnification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922" w:right="339" w:bottom="1440" w:gutter="0" w:footer="0" w:header="0"/>
        </w:sectPr>
      </w:pPr>
    </w:p>
    <w:bookmarkStart w:id="140" w:name="page141"/>
    <w:bookmarkEnd w:id="140"/>
    <w:p>
      <w:pPr>
        <w:ind w:left="760"/>
        <w:spacing w:after="0"/>
        <w:rPr>
          <w:sz w:val="20"/>
          <w:szCs w:val="20"/>
          <w:color w:val="auto"/>
        </w:rPr>
      </w:pPr>
      <w:r>
        <w:rPr>
          <w:rFonts w:ascii="Times New Roman" w:cs="Times New Roman" w:eastAsia="Times New Roman" w:hAnsi="Times New Roman"/>
          <w:sz w:val="22"/>
          <w:szCs w:val="22"/>
          <w:color w:val="231F20"/>
        </w:rPr>
        <w:t xml:space="preserve">Section 14. </w:t>
      </w:r>
      <w:r>
        <w:rPr>
          <w:rFonts w:ascii="Times New Roman" w:cs="Times New Roman" w:eastAsia="Times New Roman" w:hAnsi="Times New Roman"/>
          <w:sz w:val="22"/>
          <w:szCs w:val="22"/>
          <w:u w:val="single" w:color="auto"/>
          <w:color w:val="231F20"/>
        </w:rPr>
        <w:t>Remedies of Indemnitee</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31" w:lineRule="auto"/>
        <w:tabs>
          <w:tab w:leader="none" w:pos="128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 xml:space="preserve">Subject to </w:t>
      </w:r>
      <w:r>
        <w:rPr>
          <w:rFonts w:ascii="Times New Roman" w:cs="Times New Roman" w:eastAsia="Times New Roman" w:hAnsi="Times New Roman"/>
          <w:sz w:val="22"/>
          <w:szCs w:val="22"/>
          <w:u w:val="single" w:color="auto"/>
          <w:color w:val="231F20"/>
        </w:rPr>
        <w:t>Section 14(e)</w:t>
      </w:r>
      <w:r>
        <w:rPr>
          <w:rFonts w:ascii="Times New Roman" w:cs="Times New Roman" w:eastAsia="Times New Roman" w:hAnsi="Times New Roman"/>
          <w:sz w:val="22"/>
          <w:szCs w:val="22"/>
          <w:color w:val="231F20"/>
        </w:rPr>
        <w:t xml:space="preserve">, in the event that (i) a determination is made pursuant to </w:t>
      </w:r>
      <w:r>
        <w:rPr>
          <w:rFonts w:ascii="Times New Roman" w:cs="Times New Roman" w:eastAsia="Times New Roman" w:hAnsi="Times New Roman"/>
          <w:sz w:val="22"/>
          <w:szCs w:val="22"/>
          <w:u w:val="single" w:color="auto"/>
          <w:color w:val="231F20"/>
        </w:rPr>
        <w:t>Section 12</w:t>
      </w:r>
      <w:r>
        <w:rPr>
          <w:rFonts w:ascii="Times New Roman" w:cs="Times New Roman" w:eastAsia="Times New Roman" w:hAnsi="Times New Roman"/>
          <w:sz w:val="22"/>
          <w:szCs w:val="22"/>
          <w:color w:val="231F20"/>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22"/>
          <w:szCs w:val="22"/>
          <w:u w:val="single" w:color="auto"/>
          <w:color w:val="231F20"/>
        </w:rPr>
        <w:t>Section 10</w:t>
      </w:r>
      <w:r>
        <w:rPr>
          <w:rFonts w:ascii="Times New Roman" w:cs="Times New Roman" w:eastAsia="Times New Roman" w:hAnsi="Times New Roman"/>
          <w:sz w:val="22"/>
          <w:szCs w:val="22"/>
          <w:color w:val="231F20"/>
        </w:rPr>
        <w:t xml:space="preserve"> of this Agreement, (iii) no determination of entitlement to indemnification shall have been made pursuant to </w:t>
      </w:r>
      <w:r>
        <w:rPr>
          <w:rFonts w:ascii="Times New Roman" w:cs="Times New Roman" w:eastAsia="Times New Roman" w:hAnsi="Times New Roman"/>
          <w:sz w:val="22"/>
          <w:szCs w:val="22"/>
          <w:u w:val="single" w:color="auto"/>
          <w:color w:val="231F20"/>
        </w:rPr>
        <w:t>Section 12(a)</w:t>
      </w:r>
      <w:r>
        <w:rPr>
          <w:rFonts w:ascii="Times New Roman" w:cs="Times New Roman" w:eastAsia="Times New Roman" w:hAnsi="Times New Roman"/>
          <w:sz w:val="22"/>
          <w:szCs w:val="22"/>
          <w:color w:val="231F20"/>
        </w:rPr>
        <w:t xml:space="preserve"> of this Agreement within ninety (90) days after receipt by the Corporation of the request for indemnification, (iv) payment of indemnification is not made pursuant to </w:t>
      </w:r>
      <w:r>
        <w:rPr>
          <w:rFonts w:ascii="Times New Roman" w:cs="Times New Roman" w:eastAsia="Times New Roman" w:hAnsi="Times New Roman"/>
          <w:sz w:val="22"/>
          <w:szCs w:val="22"/>
          <w:u w:val="single" w:color="auto"/>
          <w:color w:val="231F20"/>
        </w:rPr>
        <w:t>Section 5</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6</w:t>
      </w:r>
      <w:r>
        <w:rPr>
          <w:rFonts w:ascii="Times New Roman" w:cs="Times New Roman" w:eastAsia="Times New Roman" w:hAnsi="Times New Roman"/>
          <w:sz w:val="22"/>
          <w:szCs w:val="22"/>
          <w:color w:val="231F20"/>
        </w:rPr>
        <w:t xml:space="preserve"> or </w:t>
      </w:r>
      <w:r>
        <w:rPr>
          <w:rFonts w:ascii="Times New Roman" w:cs="Times New Roman" w:eastAsia="Times New Roman" w:hAnsi="Times New Roman"/>
          <w:sz w:val="22"/>
          <w:szCs w:val="22"/>
          <w:u w:val="single" w:color="auto"/>
          <w:color w:val="231F20"/>
        </w:rPr>
        <w:t>7</w:t>
      </w:r>
      <w:r>
        <w:rPr>
          <w:rFonts w:ascii="Times New Roman" w:cs="Times New Roman" w:eastAsia="Times New Roman" w:hAnsi="Times New Roman"/>
          <w:sz w:val="22"/>
          <w:szCs w:val="22"/>
          <w:color w:val="231F20"/>
        </w:rPr>
        <w:t xml:space="preserve"> or the last sentence of </w:t>
      </w:r>
      <w:r>
        <w:rPr>
          <w:rFonts w:ascii="Times New Roman" w:cs="Times New Roman" w:eastAsia="Times New Roman" w:hAnsi="Times New Roman"/>
          <w:sz w:val="22"/>
          <w:szCs w:val="22"/>
          <w:u w:val="single" w:color="auto"/>
          <w:color w:val="231F20"/>
        </w:rPr>
        <w:t>Section 12(a)</w:t>
      </w:r>
      <w:r>
        <w:rPr>
          <w:rFonts w:ascii="Times New Roman" w:cs="Times New Roman" w:eastAsia="Times New Roman" w:hAnsi="Times New Roman"/>
          <w:sz w:val="22"/>
          <w:szCs w:val="22"/>
          <w:color w:val="231F20"/>
        </w:rPr>
        <w:t xml:space="preserve"> of this Agreement within ten (10) days after receipt by the Corporation of a written request therefor, (v) payment of indemnification pursuant to </w:t>
      </w:r>
      <w:r>
        <w:rPr>
          <w:rFonts w:ascii="Times New Roman" w:cs="Times New Roman" w:eastAsia="Times New Roman" w:hAnsi="Times New Roman"/>
          <w:sz w:val="22"/>
          <w:szCs w:val="22"/>
          <w:u w:val="single" w:color="auto"/>
          <w:color w:val="231F20"/>
        </w:rPr>
        <w:t>Section 3</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4</w:t>
      </w:r>
      <w:r>
        <w:rPr>
          <w:rFonts w:ascii="Times New Roman" w:cs="Times New Roman" w:eastAsia="Times New Roman" w:hAnsi="Times New Roman"/>
          <w:sz w:val="22"/>
          <w:szCs w:val="22"/>
          <w:color w:val="231F20"/>
        </w:rPr>
        <w:t xml:space="preserve"> or </w:t>
      </w:r>
      <w:r>
        <w:rPr>
          <w:rFonts w:ascii="Times New Roman" w:cs="Times New Roman" w:eastAsia="Times New Roman" w:hAnsi="Times New Roman"/>
          <w:sz w:val="22"/>
          <w:szCs w:val="22"/>
          <w:u w:val="single" w:color="auto"/>
          <w:color w:val="231F20"/>
        </w:rPr>
        <w:t>8</w:t>
      </w:r>
      <w:r>
        <w:rPr>
          <w:rFonts w:ascii="Times New Roman" w:cs="Times New Roman" w:eastAsia="Times New Roman" w:hAnsi="Times New Roman"/>
          <w:sz w:val="22"/>
          <w:szCs w:val="22"/>
          <w:color w:val="231F20"/>
        </w:rPr>
        <w:t xml:space="preserve"> of this Agreement is not made within ten (10) days after a determination has been made that Indemnitee is entitled to indemnification, or (vi) in the event that the Corporation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a court of his entitlement to such indemnification or advancement of Expenses. Alternatively, Indemnitee, at his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w:t>
      </w:r>
      <w:r>
        <w:rPr>
          <w:rFonts w:ascii="Times New Roman" w:cs="Times New Roman" w:eastAsia="Times New Roman" w:hAnsi="Times New Roman"/>
          <w:sz w:val="22"/>
          <w:szCs w:val="22"/>
          <w:u w:val="single" w:color="auto"/>
          <w:color w:val="231F20"/>
        </w:rPr>
        <w:t>Section 14(a)</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provided</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u w:val="single" w:color="auto"/>
          <w:color w:val="231F20"/>
        </w:rPr>
        <w:t>however</w:t>
      </w:r>
      <w:r>
        <w:rPr>
          <w:rFonts w:ascii="Times New Roman" w:cs="Times New Roman" w:eastAsia="Times New Roman" w:hAnsi="Times New Roman"/>
          <w:sz w:val="22"/>
          <w:szCs w:val="22"/>
          <w:color w:val="231F20"/>
        </w:rPr>
        <w:t xml:space="preserve">, that the foregoing clause shall not apply in respect of a proceeding brought by Indemnitee to enforce his rights under </w:t>
      </w:r>
      <w:r>
        <w:rPr>
          <w:rFonts w:ascii="Times New Roman" w:cs="Times New Roman" w:eastAsia="Times New Roman" w:hAnsi="Times New Roman"/>
          <w:sz w:val="22"/>
          <w:szCs w:val="22"/>
          <w:u w:val="single" w:color="auto"/>
          <w:color w:val="231F20"/>
        </w:rPr>
        <w:t>Section 5</w:t>
      </w:r>
      <w:r>
        <w:rPr>
          <w:rFonts w:ascii="Times New Roman" w:cs="Times New Roman" w:eastAsia="Times New Roman" w:hAnsi="Times New Roman"/>
          <w:sz w:val="22"/>
          <w:szCs w:val="22"/>
          <w:color w:val="231F20"/>
        </w:rPr>
        <w:t xml:space="preserve"> of this Agreement. The Corporation shall not oppose Indemnitee’s right to seek any such adjudication or award in arbitration.</w:t>
      </w:r>
    </w:p>
    <w:p>
      <w:pPr>
        <w:spacing w:after="0" w:line="207" w:lineRule="exact"/>
        <w:rPr>
          <w:rFonts w:ascii="Times New Roman" w:cs="Times New Roman" w:eastAsia="Times New Roman" w:hAnsi="Times New Roman"/>
          <w:sz w:val="20"/>
          <w:szCs w:val="20"/>
          <w:color w:val="auto"/>
        </w:rPr>
      </w:pPr>
    </w:p>
    <w:p>
      <w:pPr>
        <w:jc w:val="both"/>
        <w:ind w:right="20" w:firstLine="656"/>
        <w:spacing w:after="0" w:line="251" w:lineRule="auto"/>
        <w:tabs>
          <w:tab w:leader="none" w:pos="1291" w:val="left"/>
        </w:tabs>
        <w:numPr>
          <w:ilvl w:val="0"/>
          <w:numId w:val="76"/>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 xml:space="preserve">In the event that a determination shall have been made pursuant to </w:t>
      </w:r>
      <w:r>
        <w:rPr>
          <w:rFonts w:ascii="Times New Roman" w:cs="Times New Roman" w:eastAsia="Times New Roman" w:hAnsi="Times New Roman"/>
          <w:sz w:val="21"/>
          <w:szCs w:val="21"/>
          <w:u w:val="single" w:color="auto"/>
          <w:color w:val="231F20"/>
        </w:rPr>
        <w:t>Section 12(a)</w:t>
      </w:r>
      <w:r>
        <w:rPr>
          <w:rFonts w:ascii="Times New Roman" w:cs="Times New Roman" w:eastAsia="Times New Roman" w:hAnsi="Times New Roman"/>
          <w:sz w:val="21"/>
          <w:szCs w:val="21"/>
          <w:color w:val="231F20"/>
        </w:rPr>
        <w:t xml:space="preserve"> of this Agreement that Indemnitee is not entitled to indemnification, any judicial proceeding or arbitration commenced pursuant to this </w:t>
      </w:r>
      <w:r>
        <w:rPr>
          <w:rFonts w:ascii="Times New Roman" w:cs="Times New Roman" w:eastAsia="Times New Roman" w:hAnsi="Times New Roman"/>
          <w:sz w:val="21"/>
          <w:szCs w:val="21"/>
          <w:u w:val="single" w:color="auto"/>
          <w:color w:val="231F20"/>
        </w:rPr>
        <w:t>Section 14</w:t>
      </w:r>
      <w:r>
        <w:rPr>
          <w:rFonts w:ascii="Times New Roman" w:cs="Times New Roman" w:eastAsia="Times New Roman" w:hAnsi="Times New Roman"/>
          <w:sz w:val="21"/>
          <w:szCs w:val="21"/>
          <w:color w:val="231F20"/>
        </w:rPr>
        <w:t xml:space="preserve"> shall be conducted in all respects as a de </w:t>
      </w:r>
      <w:r>
        <w:rPr>
          <w:rFonts w:ascii="Times New Roman" w:cs="Times New Roman" w:eastAsia="Times New Roman" w:hAnsi="Times New Roman"/>
          <w:sz w:val="21"/>
          <w:szCs w:val="21"/>
          <w:u w:val="single" w:color="auto"/>
          <w:color w:val="231F20"/>
        </w:rPr>
        <w:t>novo</w:t>
      </w:r>
      <w:r>
        <w:rPr>
          <w:rFonts w:ascii="Times New Roman" w:cs="Times New Roman" w:eastAsia="Times New Roman" w:hAnsi="Times New Roman"/>
          <w:sz w:val="21"/>
          <w:szCs w:val="21"/>
          <w:color w:val="231F20"/>
        </w:rPr>
        <w:t xml:space="preserve"> trial, or arbitration, on the merits and Indemnitee shall not be prejudiced by reason of that adverse determination. In any judicial proceeding or arbitration commenced pursuant to this </w:t>
      </w:r>
      <w:r>
        <w:rPr>
          <w:rFonts w:ascii="Times New Roman" w:cs="Times New Roman" w:eastAsia="Times New Roman" w:hAnsi="Times New Roman"/>
          <w:sz w:val="21"/>
          <w:szCs w:val="21"/>
          <w:u w:val="single" w:color="auto"/>
          <w:color w:val="231F20"/>
        </w:rPr>
        <w:t>Section 14</w:t>
      </w:r>
      <w:r>
        <w:rPr>
          <w:rFonts w:ascii="Times New Roman" w:cs="Times New Roman" w:eastAsia="Times New Roman" w:hAnsi="Times New Roman"/>
          <w:sz w:val="21"/>
          <w:szCs w:val="21"/>
          <w:color w:val="231F20"/>
        </w:rPr>
        <w:t xml:space="preserve"> the Corporation shall have the burden of proving Indemnitee is not entitled to indemnification or advancement of Expenses, as the case may be.</w:t>
      </w:r>
    </w:p>
    <w:p>
      <w:pPr>
        <w:spacing w:after="0" w:line="195" w:lineRule="exact"/>
        <w:rPr>
          <w:rFonts w:ascii="Times New Roman" w:cs="Times New Roman" w:eastAsia="Times New Roman" w:hAnsi="Times New Roman"/>
          <w:sz w:val="21"/>
          <w:szCs w:val="21"/>
          <w:color w:val="231F20"/>
        </w:rPr>
      </w:pPr>
    </w:p>
    <w:p>
      <w:pPr>
        <w:jc w:val="both"/>
        <w:ind w:firstLine="656"/>
        <w:spacing w:after="0" w:line="235" w:lineRule="auto"/>
        <w:tabs>
          <w:tab w:leader="none" w:pos="1293" w:val="left"/>
        </w:tabs>
        <w:numPr>
          <w:ilvl w:val="0"/>
          <w:numId w:val="7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If a determination shall have been made pursuant to </w:t>
      </w:r>
      <w:r>
        <w:rPr>
          <w:rFonts w:ascii="Times New Roman" w:cs="Times New Roman" w:eastAsia="Times New Roman" w:hAnsi="Times New Roman"/>
          <w:sz w:val="22"/>
          <w:szCs w:val="22"/>
          <w:u w:val="single" w:color="auto"/>
          <w:color w:val="231F20"/>
        </w:rPr>
        <w:t>Section 12(a)</w:t>
      </w:r>
      <w:r>
        <w:rPr>
          <w:rFonts w:ascii="Times New Roman" w:cs="Times New Roman" w:eastAsia="Times New Roman" w:hAnsi="Times New Roman"/>
          <w:sz w:val="22"/>
          <w:szCs w:val="22"/>
          <w:color w:val="231F20"/>
        </w:rPr>
        <w:t xml:space="preserve"> of this Agreement that Indemnitee is entitled to indemnification, the Corporation shall be bound by such determination in any judicial proceeding or arbitration commenced pursuant to this </w:t>
      </w:r>
      <w:r>
        <w:rPr>
          <w:rFonts w:ascii="Times New Roman" w:cs="Times New Roman" w:eastAsia="Times New Roman" w:hAnsi="Times New Roman"/>
          <w:sz w:val="22"/>
          <w:szCs w:val="22"/>
          <w:u w:val="single" w:color="auto"/>
          <w:color w:val="231F20"/>
        </w:rPr>
        <w:t>Section 14</w:t>
      </w:r>
      <w:r>
        <w:rPr>
          <w:rFonts w:ascii="Times New Roman" w:cs="Times New Roman" w:eastAsia="Times New Roman" w:hAnsi="Times New Roman"/>
          <w:sz w:val="22"/>
          <w:szCs w:val="22"/>
          <w:color w:val="231F20"/>
        </w:rPr>
        <w:t>,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205" w:lineRule="exact"/>
        <w:rPr>
          <w:rFonts w:ascii="Times New Roman" w:cs="Times New Roman" w:eastAsia="Times New Roman" w:hAnsi="Times New Roman"/>
          <w:sz w:val="22"/>
          <w:szCs w:val="22"/>
          <w:color w:val="231F20"/>
        </w:rPr>
      </w:pPr>
    </w:p>
    <w:p>
      <w:pPr>
        <w:jc w:val="both"/>
        <w:ind w:firstLine="656"/>
        <w:spacing w:after="0" w:line="235" w:lineRule="auto"/>
        <w:tabs>
          <w:tab w:leader="none" w:pos="1291" w:val="left"/>
        </w:tabs>
        <w:numPr>
          <w:ilvl w:val="0"/>
          <w:numId w:val="76"/>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The Corporation shall, to the fullest extent not prohibited by law, be precluded from asserting in any judicial proceeding or arbitration commenced pursuant to this </w:t>
      </w:r>
      <w:r>
        <w:rPr>
          <w:rFonts w:ascii="Times New Roman" w:cs="Times New Roman" w:eastAsia="Times New Roman" w:hAnsi="Times New Roman"/>
          <w:sz w:val="22"/>
          <w:szCs w:val="22"/>
          <w:u w:val="single" w:color="auto"/>
          <w:color w:val="231F20"/>
        </w:rPr>
        <w:t>Section 14</w:t>
      </w:r>
      <w:r>
        <w:rPr>
          <w:rFonts w:ascii="Times New Roman" w:cs="Times New Roman" w:eastAsia="Times New Roman" w:hAnsi="Times New Roman"/>
          <w:sz w:val="22"/>
          <w:szCs w:val="22"/>
          <w:color w:val="231F20"/>
        </w:rPr>
        <w:t xml:space="preserve"> that the procedures and presumptions of this Agreement are not valid, binding and enforceable and shall stipulate in any such court or before any such arbitrator that the Corporation is bound by all the provisions of this Agreement. It is the intent of the Corporation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Corporation shall, to the fullest extent permitted by law, indemnify Indemnitee against any and all Expenses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922" w:right="339" w:bottom="1440" w:gutter="0" w:footer="0" w:header="0"/>
        </w:sectPr>
      </w:pPr>
    </w:p>
    <w:bookmarkStart w:id="141" w:name="page142"/>
    <w:bookmarkEnd w:id="141"/>
    <w:p>
      <w:pPr>
        <w:jc w:val="both"/>
        <w:spacing w:after="0" w:line="234" w:lineRule="auto"/>
        <w:rPr>
          <w:sz w:val="20"/>
          <w:szCs w:val="20"/>
          <w:color w:val="auto"/>
        </w:rPr>
      </w:pPr>
      <w:r>
        <w:rPr>
          <w:rFonts w:ascii="Times New Roman" w:cs="Times New Roman" w:eastAsia="Times New Roman" w:hAnsi="Times New Roman"/>
          <w:sz w:val="22"/>
          <w:szCs w:val="22"/>
          <w:color w:val="231F20"/>
        </w:rPr>
        <w:t>and, if requested by Indemnitee, shall (within ten (10) days after receipt by the Corporation of a written request therefor) advance, to the extent not prohibited by law, such Expenses to Indemnitee, which are incurred by Indemnitee in connection with any action brought by Indemnitee for indemnification or advance of Expenses from the Corporation under this Agreement or under any directors’ and officers’ liability insurance policies maintained by the Corporation if, in the case of indemnification, Indemnitee is wholly successful on the underlying claims; if Indemnitee is not wholly successful on the underlying claims, then such indemnification shall be only to the extent Indemnitee is successful on such underlying claims or otherwise as permitted by law, whichever is greater.</w:t>
      </w:r>
    </w:p>
    <w:p>
      <w:pPr>
        <w:spacing w:after="0" w:line="204" w:lineRule="exact"/>
        <w:rPr>
          <w:sz w:val="20"/>
          <w:szCs w:val="20"/>
          <w:color w:val="auto"/>
        </w:rPr>
      </w:pPr>
    </w:p>
    <w:p>
      <w:pPr>
        <w:ind w:firstLine="656"/>
        <w:spacing w:after="0" w:line="258" w:lineRule="auto"/>
        <w:tabs>
          <w:tab w:leader="none" w:pos="1293" w:val="left"/>
        </w:tabs>
        <w:numPr>
          <w:ilvl w:val="0"/>
          <w:numId w:val="77"/>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Notwithstanding anything in this Agreement to the contrary, no determination as to entitlement of Indemnitee to indemnification under this Agreement shall be required to be made prior to the final disposition of the Proceeding.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15. </w:t>
      </w:r>
      <w:r>
        <w:rPr>
          <w:rFonts w:ascii="Times New Roman" w:cs="Times New Roman" w:eastAsia="Times New Roman" w:hAnsi="Times New Roman"/>
          <w:sz w:val="22"/>
          <w:szCs w:val="22"/>
          <w:u w:val="single" w:color="auto"/>
          <w:color w:val="231F20"/>
        </w:rPr>
        <w:t>Non-exclusivity; Survival of Rights; Insurance; Subrogation</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32" w:lineRule="auto"/>
        <w:tabs>
          <w:tab w:leader="none" w:pos="128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The rights of indemnification and to receive advancement of Expenses as provided by this Agreement shall not be deemed exclusive of any other rights to which Indemnitee may at any time be entitled under applicable law, the Certificate of Incorporation, the Bylaws, any agreement, a vote of shareholders or a resolution of directors,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Oklahoma Law, whether by statute or judicial decision, permits greater indemnification or advancement of Expenses than would be afforded currently under the Bylaws,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10" w:lineRule="exact"/>
        <w:rPr>
          <w:rFonts w:ascii="Times New Roman" w:cs="Times New Roman" w:eastAsia="Times New Roman" w:hAnsi="Times New Roman"/>
          <w:sz w:val="20"/>
          <w:szCs w:val="20"/>
          <w:color w:val="auto"/>
        </w:rPr>
      </w:pPr>
    </w:p>
    <w:p>
      <w:pPr>
        <w:jc w:val="both"/>
        <w:ind w:firstLine="656"/>
        <w:spacing w:after="0" w:line="233" w:lineRule="auto"/>
        <w:tabs>
          <w:tab w:leader="none" w:pos="1291" w:val="left"/>
        </w:tabs>
        <w:numPr>
          <w:ilvl w:val="0"/>
          <w:numId w:val="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To the extent that the Corporation maintains an insurance policy or policies providing liability insurance for directors, officers, employees, or agents of the Enterprise, Indemnitee shall be covered by such policy or policies in accordance with its or their terms to the maximum extent of the coverage available for any such current or former director, officer, employee or agent under such policy or policies. If, at the time of the receipt of a notice of a claim pursuant to the terms hereof, the Corporation has director and officer liability insurance in effect, the Corporation shall give prompt notice of such claim or of the commencement of a Proceeding, as the case may be, to the insurers in accordance with the procedures set forth in the respective policies. The Corporation shall thereafter take all necessary or desirable action to cause such insurers to pay, on behalf of the Indemnitee, all amounts payable as a result of such Proceeding in accordance with the terms of such policies.</w:t>
      </w:r>
    </w:p>
    <w:p>
      <w:pPr>
        <w:spacing w:after="0" w:line="208" w:lineRule="exact"/>
        <w:rPr>
          <w:rFonts w:ascii="Times New Roman" w:cs="Times New Roman" w:eastAsia="Times New Roman" w:hAnsi="Times New Roman"/>
          <w:sz w:val="22"/>
          <w:szCs w:val="22"/>
          <w:color w:val="231F20"/>
        </w:rPr>
      </w:pPr>
    </w:p>
    <w:p>
      <w:pPr>
        <w:jc w:val="both"/>
        <w:ind w:firstLine="656"/>
        <w:spacing w:after="0" w:line="239" w:lineRule="auto"/>
        <w:tabs>
          <w:tab w:leader="none" w:pos="1293" w:val="left"/>
        </w:tabs>
        <w:numPr>
          <w:ilvl w:val="0"/>
          <w:numId w:val="7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In the event of any payment under this Agreement, the Corporation shall be subrogated to the extent of such payment to all of the rights of recovery of Indemnitee, who shall execute all papers required and take all action necessary to secure such rights, including execution of such documents as are necessary to enable the Corporation to bring suit to enforce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922" w:right="339" w:bottom="1440" w:gutter="0" w:footer="0" w:header="0"/>
        </w:sectPr>
      </w:pPr>
    </w:p>
    <w:bookmarkStart w:id="142" w:name="page143"/>
    <w:bookmarkEnd w:id="142"/>
    <w:p>
      <w:pPr>
        <w:jc w:val="both"/>
        <w:ind w:firstLine="656"/>
        <w:spacing w:after="0" w:line="244" w:lineRule="auto"/>
        <w:tabs>
          <w:tab w:leader="none" w:pos="1291" w:val="left"/>
        </w:tabs>
        <w:numPr>
          <w:ilvl w:val="0"/>
          <w:numId w:val="7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Corporation shall not be liable under this Agreement to make any payment of amounts otherwise indemnifiable (or for which advancement is provided under this Agreement) under this Agreement if and to the extent that Indemnitee has otherwise actually received such payment under any insurance policy, contract, agreement or otherwise.</w:t>
      </w:r>
    </w:p>
    <w:p>
      <w:pPr>
        <w:spacing w:after="0" w:line="200" w:lineRule="exact"/>
        <w:rPr>
          <w:rFonts w:ascii="Times New Roman" w:cs="Times New Roman" w:eastAsia="Times New Roman" w:hAnsi="Times New Roman"/>
          <w:sz w:val="22"/>
          <w:szCs w:val="22"/>
          <w:color w:val="231F20"/>
        </w:rPr>
      </w:pPr>
    </w:p>
    <w:p>
      <w:pPr>
        <w:jc w:val="both"/>
        <w:ind w:firstLine="656"/>
        <w:spacing w:after="0" w:line="235" w:lineRule="auto"/>
        <w:tabs>
          <w:tab w:leader="none" w:pos="1293" w:val="left"/>
        </w:tabs>
        <w:numPr>
          <w:ilvl w:val="0"/>
          <w:numId w:val="79"/>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The Corporation’s obligation to indemnify or advance Expenses under this Agreement to Indemnitee who is or was serving at the request of the Corporation as a director, officer, trustee, partner, managing member, fiduciary, employee or agent of any other corporation, limited liability company, partnership, joint venture, trust, employee benefit plan or other enterprise shall be reduced by any amount Indemnitee has actually received as indemnification or advancement of Expenses from such other corporation, limited liability company, partnership, joint venture, trust or other enterprise.</w:t>
      </w:r>
    </w:p>
    <w:p>
      <w:pPr>
        <w:spacing w:after="0" w:line="205" w:lineRule="exact"/>
        <w:rPr>
          <w:rFonts w:ascii="Times New Roman" w:cs="Times New Roman" w:eastAsia="Times New Roman" w:hAnsi="Times New Roman"/>
          <w:sz w:val="22"/>
          <w:szCs w:val="22"/>
          <w:color w:val="231F20"/>
        </w:rPr>
      </w:pPr>
    </w:p>
    <w:p>
      <w:pPr>
        <w:jc w:val="both"/>
        <w:ind w:firstLine="656"/>
        <w:spacing w:after="0" w:line="243" w:lineRule="auto"/>
        <w:tabs>
          <w:tab w:leader="none" w:pos="1296" w:val="left"/>
        </w:tabs>
        <w:numPr>
          <w:ilvl w:val="0"/>
          <w:numId w:val="79"/>
        </w:numPr>
        <w:rPr>
          <w:rFonts w:ascii="Times New Roman" w:cs="Times New Roman" w:eastAsia="Times New Roman" w:hAnsi="Times New Roman"/>
          <w:sz w:val="21"/>
          <w:szCs w:val="21"/>
          <w:color w:val="231F20"/>
        </w:rPr>
      </w:pPr>
      <w:r>
        <w:rPr>
          <w:rFonts w:ascii="Times New Roman" w:cs="Times New Roman" w:eastAsia="Times New Roman" w:hAnsi="Times New Roman"/>
          <w:sz w:val="21"/>
          <w:szCs w:val="21"/>
          <w:color w:val="231F20"/>
        </w:rPr>
        <w:t>The Corporation hereby recognizes that Indemnitee may have certain rights to indemnification, advancement of expenses and/or insurance provided by one or more persons with whom or which such Indemnitee may be associated (a “</w:t>
      </w:r>
      <w:r>
        <w:rPr>
          <w:rFonts w:ascii="Times New Roman" w:cs="Times New Roman" w:eastAsia="Times New Roman" w:hAnsi="Times New Roman"/>
          <w:sz w:val="21"/>
          <w:szCs w:val="21"/>
          <w:u w:val="single" w:color="auto"/>
          <w:color w:val="231F20"/>
        </w:rPr>
        <w:t>Third-Party Indemnitor</w:t>
      </w:r>
      <w:r>
        <w:rPr>
          <w:rFonts w:ascii="Times New Roman" w:cs="Times New Roman" w:eastAsia="Times New Roman" w:hAnsi="Times New Roman"/>
          <w:sz w:val="21"/>
          <w:szCs w:val="21"/>
          <w:color w:val="231F20"/>
        </w:rPr>
        <w:t>”), and the Corporation hereby acknowledges and agrees (i) that it is the indemnitor of first resort (i.e., its obligations to such persons are primary and any obligation of the Third-Party Indemnitors to advance expenses or to provide indemnification for the same expenses or liabilities incurred by such persons are secondary), (ii) that it shall be required to advance the full amount of expenses incurred by such persons and shall be liable for the full amount of all expenses, judgments, penalties, fines and amounts paid in settlement to the extent legally permitted and required by the terms of the Certificate of Incorporation, Bylaws or this Agreement (or any other agreement between the Corporation and such persons), without regard to any rights such persons may have against the Third-Party Indemnitors, and (iii) that it that it irrevocably waives, relinquishes and releases the Third-Party Indemnitors from any and all claims against the Third-Party Indemnitors for contribution, subrogation or any other recovery of any kind in respect thereof. The Corporation further agrees that no advancement or payment by the Third-Party Indemnitors on behalf of such persons with respect to any claim for which such persons have sought indemnification from the Corporation shall affect the foregoing and the Third-Party Indemnitors shall be subrogated to the extent of such advancement or payment to all of the rights of recovery of such persons against the Corporation. The Corporation and each such person agree that the Third-Party Indemnitors are express third party beneficiaries of the terms of this Agreement.</w:t>
      </w:r>
    </w:p>
    <w:p>
      <w:pPr>
        <w:spacing w:after="0" w:line="207" w:lineRule="exact"/>
        <w:rPr>
          <w:sz w:val="20"/>
          <w:szCs w:val="20"/>
          <w:color w:val="auto"/>
        </w:rPr>
      </w:pPr>
    </w:p>
    <w:p>
      <w:pPr>
        <w:jc w:val="both"/>
        <w:ind w:firstLine="756"/>
        <w:spacing w:after="0" w:line="232" w:lineRule="auto"/>
        <w:rPr>
          <w:sz w:val="20"/>
          <w:szCs w:val="20"/>
          <w:color w:val="auto"/>
        </w:rPr>
      </w:pPr>
      <w:r>
        <w:rPr>
          <w:rFonts w:ascii="Times New Roman" w:cs="Times New Roman" w:eastAsia="Times New Roman" w:hAnsi="Times New Roman"/>
          <w:sz w:val="22"/>
          <w:szCs w:val="22"/>
          <w:color w:val="231F20"/>
        </w:rPr>
        <w:t xml:space="preserve">Section 16. </w:t>
      </w:r>
      <w:r>
        <w:rPr>
          <w:rFonts w:ascii="Times New Roman" w:cs="Times New Roman" w:eastAsia="Times New Roman" w:hAnsi="Times New Roman"/>
          <w:sz w:val="22"/>
          <w:szCs w:val="22"/>
          <w:u w:val="single" w:color="auto"/>
          <w:color w:val="231F20"/>
        </w:rPr>
        <w:t>Duration of Agreement</w:t>
      </w:r>
      <w:r>
        <w:rPr>
          <w:rFonts w:ascii="Times New Roman" w:cs="Times New Roman" w:eastAsia="Times New Roman" w:hAnsi="Times New Roman"/>
          <w:sz w:val="22"/>
          <w:szCs w:val="22"/>
          <w:color w:val="231F20"/>
        </w:rPr>
        <w:t xml:space="preserve">. This Agreement shall continue until and terminate upon the later of: (a) ten (10) years after the date that Indemnitee shall have ceased to serve in any position of Corporate Status or (b) one (1) year after the final termination of any Proceeding then pending in respect of which Indemnitee is granted rights of indemnification or advancement of Expenses hereunder and of any proceeding commenced by Indemnitee pursuant to </w:t>
      </w:r>
      <w:r>
        <w:rPr>
          <w:rFonts w:ascii="Times New Roman" w:cs="Times New Roman" w:eastAsia="Times New Roman" w:hAnsi="Times New Roman"/>
          <w:sz w:val="22"/>
          <w:szCs w:val="22"/>
          <w:u w:val="single" w:color="auto"/>
          <w:color w:val="231F20"/>
        </w:rPr>
        <w:t>Section 14</w:t>
      </w:r>
      <w:r>
        <w:rPr>
          <w:rFonts w:ascii="Times New Roman" w:cs="Times New Roman" w:eastAsia="Times New Roman" w:hAnsi="Times New Roman"/>
          <w:sz w:val="22"/>
          <w:szCs w:val="22"/>
          <w:color w:val="231F20"/>
        </w:rPr>
        <w:t xml:space="preserve"> of this Agreement relating thereto. The indemnification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Corporation), shall continue as to an Indemnitee who has ceased to be a director, officer, employee or agent of the Corporation or of any other Enterprise, and shall inure to the benefit of Indemnitee and his or her spouse, assigns, heirs, devisees, executors and administrators and other legal representatives.</w:t>
      </w:r>
    </w:p>
    <w:p>
      <w:pPr>
        <w:spacing w:after="0" w:line="214"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 xml:space="preserve">Section 17. </w:t>
      </w:r>
      <w:r>
        <w:rPr>
          <w:rFonts w:ascii="Times New Roman" w:cs="Times New Roman" w:eastAsia="Times New Roman" w:hAnsi="Times New Roman"/>
          <w:sz w:val="22"/>
          <w:szCs w:val="22"/>
          <w:u w:val="single" w:color="auto"/>
          <w:color w:val="231F20"/>
        </w:rPr>
        <w:t>Severability</w:t>
      </w:r>
      <w:r>
        <w:rPr>
          <w:rFonts w:ascii="Times New Roman" w:cs="Times New Roman" w:eastAsia="Times New Roman" w:hAnsi="Times New Roman"/>
          <w:sz w:val="22"/>
          <w:szCs w:val="22"/>
          <w:color w:val="231F20"/>
        </w:rPr>
        <w:t>. If any provision or provisions of this Agreement shall be held to be invalid, illegal or unenforceable for any reason whatsoever: (a) the validity, legality and enforceability of the remaining provisions of this Agreement (including without limitation, each</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22" w:right="339" w:bottom="1440" w:gutter="0" w:footer="0" w:header="0"/>
        </w:sectPr>
      </w:pPr>
    </w:p>
    <w:bookmarkStart w:id="143" w:name="page144"/>
    <w:bookmarkEnd w:id="143"/>
    <w:p>
      <w:pPr>
        <w:jc w:val="both"/>
        <w:spacing w:after="0" w:line="234" w:lineRule="auto"/>
        <w:rPr>
          <w:sz w:val="20"/>
          <w:szCs w:val="20"/>
          <w:color w:val="auto"/>
        </w:rPr>
      </w:pPr>
      <w:r>
        <w:rPr>
          <w:rFonts w:ascii="Times New Roman" w:cs="Times New Roman" w:eastAsia="Times New Roman" w:hAnsi="Times New Roman"/>
          <w:sz w:val="22"/>
          <w:szCs w:val="22"/>
          <w:color w:val="231F20"/>
        </w:rPr>
        <w:t>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231F20"/>
        </w:rPr>
        <w:t xml:space="preserve">Section 18. </w:t>
      </w:r>
      <w:r>
        <w:rPr>
          <w:rFonts w:ascii="Times New Roman" w:cs="Times New Roman" w:eastAsia="Times New Roman" w:hAnsi="Times New Roman"/>
          <w:sz w:val="22"/>
          <w:szCs w:val="22"/>
          <w:u w:val="single" w:color="auto"/>
          <w:color w:val="231F20"/>
        </w:rPr>
        <w:t>Enforcement</w:t>
      </w:r>
      <w:r>
        <w:rPr>
          <w:rFonts w:ascii="Times New Roman" w:cs="Times New Roman" w:eastAsia="Times New Roman" w:hAnsi="Times New Roman"/>
          <w:sz w:val="22"/>
          <w:szCs w:val="22"/>
          <w:color w:val="231F20"/>
        </w:rPr>
        <w:t>.</w:t>
      </w:r>
    </w:p>
    <w:p>
      <w:pPr>
        <w:spacing w:after="0" w:line="233" w:lineRule="exact"/>
        <w:rPr>
          <w:sz w:val="20"/>
          <w:szCs w:val="20"/>
          <w:color w:val="auto"/>
        </w:rPr>
      </w:pPr>
    </w:p>
    <w:p>
      <w:pPr>
        <w:jc w:val="both"/>
        <w:ind w:firstLine="656"/>
        <w:spacing w:after="0" w:line="261" w:lineRule="auto"/>
        <w:tabs>
          <w:tab w:leader="none" w:pos="1286"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231F20"/>
        </w:rPr>
        <w:t>The Corporation expressly confirms and agrees that it has entered into this Agreement and assumed the obligations imposed on it hereby in order to induce Indemnitee to serve as a director or officer of the Corporation, and the Corporation acknowledges that Indemnitee is relying upon this Agreement in serving as a director or officer of the Corporation.</w:t>
      </w:r>
    </w:p>
    <w:p>
      <w:pPr>
        <w:spacing w:after="0" w:line="184" w:lineRule="exact"/>
        <w:rPr>
          <w:rFonts w:ascii="Times New Roman" w:cs="Times New Roman" w:eastAsia="Times New Roman" w:hAnsi="Times New Roman"/>
          <w:sz w:val="19"/>
          <w:szCs w:val="19"/>
          <w:color w:val="auto"/>
        </w:rPr>
      </w:pPr>
    </w:p>
    <w:p>
      <w:pPr>
        <w:jc w:val="both"/>
        <w:ind w:firstLine="656"/>
        <w:spacing w:after="0" w:line="238" w:lineRule="auto"/>
        <w:tabs>
          <w:tab w:leader="none" w:pos="1291" w:val="left"/>
        </w:tabs>
        <w:numPr>
          <w:ilvl w:val="0"/>
          <w:numId w:val="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shall not be deemed a substitute therefor, nor to diminish or abrogate any rights of Indemnitee thereunder.</w:t>
      </w:r>
    </w:p>
    <w:p>
      <w:pPr>
        <w:spacing w:after="0" w:line="203" w:lineRule="exact"/>
        <w:rPr>
          <w:rFonts w:ascii="Times New Roman" w:cs="Times New Roman" w:eastAsia="Times New Roman" w:hAnsi="Times New Roman"/>
          <w:sz w:val="22"/>
          <w:szCs w:val="22"/>
          <w:color w:val="231F20"/>
        </w:rPr>
      </w:pPr>
    </w:p>
    <w:p>
      <w:pPr>
        <w:jc w:val="both"/>
        <w:ind w:firstLine="656"/>
        <w:spacing w:after="0" w:line="231" w:lineRule="auto"/>
        <w:tabs>
          <w:tab w:leader="none" w:pos="1293" w:val="left"/>
        </w:tabs>
        <w:numPr>
          <w:ilvl w:val="0"/>
          <w:numId w:val="80"/>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 xml:space="preserve">If a claim under this Agreement is not paid in full by the Corporation within sixty (60) days after a written claim, pursuant to </w:t>
      </w:r>
      <w:r>
        <w:rPr>
          <w:rFonts w:ascii="Times New Roman" w:cs="Times New Roman" w:eastAsia="Times New Roman" w:hAnsi="Times New Roman"/>
          <w:sz w:val="22"/>
          <w:szCs w:val="22"/>
          <w:u w:val="single" w:color="auto"/>
          <w:color w:val="231F20"/>
        </w:rPr>
        <w:t>Section 11(a)</w:t>
      </w:r>
      <w:r>
        <w:rPr>
          <w:rFonts w:ascii="Times New Roman" w:cs="Times New Roman" w:eastAsia="Times New Roman" w:hAnsi="Times New Roman"/>
          <w:sz w:val="22"/>
          <w:szCs w:val="22"/>
          <w:color w:val="231F20"/>
        </w:rPr>
        <w:t>, has been received by the Corporation, the Indemnitee may at any time thereafter bring suit against the Corporation to recover the unpaid amount of the claim and, if successful in whole or in part, the Indemnitee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Corporation) that the Indemnitee has not met the standard of conduct which makes it permissible under the Oklahoma Law for the Corporation to indemnify the Indemnitee for the amount claimed, but the burden of proving such defense shall be on the Corporation. Neither the failure of the Corporation (including its board of directors, independent counsel or shareholders) to have made a determination prior to the commencement of such action that indemnification of the Indemnitee is proper in the circumstances because he or she has met the applicable standard of conduct set forth in the Oklahoma Law, nor an actual determination by the Corporation (including its board of directors, independent counsel or shareholders) that the Indemnitee has not met such applicable standard of conduct, shall be a defense to the action or create a presumption that the Indemnitee has not met the applicable standard of conduct. If a determination shall have been made pursuant to this paragraph (c) that the Indemnitee is entitled to indemnification, the Corporation shall be bound by such determination in any judicial proceeding commenced pursuant to this paragraph (c). The Corporation shall be precluded from asserting in any judicial proceeding commenced pursuant to this paragraph (c) that the procedures and presumptions of this Agreement are not valid, binding and enforceable and shall stipulate in such proceeding that the Corporation is bound by all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922" w:right="339" w:bottom="1440" w:gutter="0" w:footer="0" w:header="0"/>
        </w:sectPr>
      </w:pPr>
    </w:p>
    <w:bookmarkStart w:id="144" w:name="page145"/>
    <w:bookmarkEnd w:id="144"/>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 xml:space="preserve">Section 19. </w:t>
      </w:r>
      <w:r>
        <w:rPr>
          <w:rFonts w:ascii="Times New Roman" w:cs="Times New Roman" w:eastAsia="Times New Roman" w:hAnsi="Times New Roman"/>
          <w:sz w:val="22"/>
          <w:szCs w:val="22"/>
          <w:u w:val="single" w:color="auto"/>
          <w:color w:val="231F20"/>
        </w:rPr>
        <w:t>Modification and Waiver.</w:t>
      </w:r>
      <w:r>
        <w:rPr>
          <w:rFonts w:ascii="Times New Roman" w:cs="Times New Roman" w:eastAsia="Times New Roman" w:hAnsi="Times New Roman"/>
          <w:sz w:val="22"/>
          <w:szCs w:val="22"/>
          <w:color w:val="231F20"/>
        </w:rPr>
        <w:t xml:space="preserve"> No supplement, modification or amendment of this 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200" w:lineRule="exact"/>
        <w:rPr>
          <w:sz w:val="20"/>
          <w:szCs w:val="20"/>
          <w:color w:val="auto"/>
        </w:rPr>
      </w:pPr>
    </w:p>
    <w:p>
      <w:pPr>
        <w:jc w:val="both"/>
        <w:ind w:firstLine="756"/>
        <w:spacing w:after="0" w:line="235" w:lineRule="auto"/>
        <w:rPr>
          <w:sz w:val="20"/>
          <w:szCs w:val="20"/>
          <w:color w:val="auto"/>
        </w:rPr>
      </w:pPr>
      <w:r>
        <w:rPr>
          <w:rFonts w:ascii="Times New Roman" w:cs="Times New Roman" w:eastAsia="Times New Roman" w:hAnsi="Times New Roman"/>
          <w:sz w:val="22"/>
          <w:szCs w:val="22"/>
          <w:color w:val="231F20"/>
        </w:rPr>
        <w:t xml:space="preserve">Section 20. </w:t>
      </w:r>
      <w:r>
        <w:rPr>
          <w:rFonts w:ascii="Times New Roman" w:cs="Times New Roman" w:eastAsia="Times New Roman" w:hAnsi="Times New Roman"/>
          <w:sz w:val="22"/>
          <w:szCs w:val="22"/>
          <w:u w:val="single" w:color="auto"/>
          <w:color w:val="231F20"/>
        </w:rPr>
        <w:t>Notice by Indemnitee.</w:t>
      </w:r>
      <w:r>
        <w:rPr>
          <w:rFonts w:ascii="Times New Roman" w:cs="Times New Roman" w:eastAsia="Times New Roman" w:hAnsi="Times New Roman"/>
          <w:sz w:val="22"/>
          <w:szCs w:val="22"/>
          <w:color w:val="231F20"/>
        </w:rPr>
        <w:t xml:space="preserve"> Indemnitee agrees to notify the Corporation in writing as soon as reasonably practicable upon being served with any summons, citation, subpoena, complaint, indictment, information or other document relating to any Proceeding or matter which may be subject to indemnification or advancement of Expenses covered hereunder. The failure of Indemnitee to so notify the Corporation shall not relieve the Corporation of any obligation which it may have to the Indemnitee under this Agreement or otherwise.</w:t>
      </w:r>
    </w:p>
    <w:p>
      <w:pPr>
        <w:spacing w:after="0" w:line="206"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231F20"/>
        </w:rPr>
        <w:t xml:space="preserve">Section 21. </w:t>
      </w:r>
      <w:r>
        <w:rPr>
          <w:rFonts w:ascii="Times New Roman" w:cs="Times New Roman" w:eastAsia="Times New Roman" w:hAnsi="Times New Roman"/>
          <w:sz w:val="22"/>
          <w:szCs w:val="22"/>
          <w:u w:val="single" w:color="auto"/>
          <w:color w:val="231F20"/>
        </w:rPr>
        <w:t>Notices</w:t>
      </w:r>
      <w:r>
        <w:rPr>
          <w:rFonts w:ascii="Times New Roman" w:cs="Times New Roman" w:eastAsia="Times New Roman" w:hAnsi="Times New Roman"/>
          <w:sz w:val="22"/>
          <w:szCs w:val="22"/>
          <w:color w:val="231F20"/>
        </w:rPr>
        <w:t>. All notices, requests, demands and other communications under this Agreement shall be in writing and shall be deemed to have been duly given if (a) delivered by hand and receipted for by the party to whom said notice or other communication shall have been directed, (b) mailed by certified or registered mail with postage prepaid, on the third business day after the date on which it is so mailed, (c) mailed by reputable overnight courier and receipted for by the party to whom said notice or other communication shall have been directed or (d) sent by facsimile transmission, with receipt of written confirmation (email to suffice) that such transmission has been received:</w:t>
      </w:r>
    </w:p>
    <w:p>
      <w:pPr>
        <w:spacing w:after="0" w:line="208" w:lineRule="exact"/>
        <w:rPr>
          <w:sz w:val="20"/>
          <w:szCs w:val="20"/>
          <w:color w:val="auto"/>
        </w:rPr>
      </w:pPr>
    </w:p>
    <w:p>
      <w:pPr>
        <w:ind w:right="740" w:firstLine="656"/>
        <w:spacing w:after="0" w:line="258" w:lineRule="auto"/>
        <w:tabs>
          <w:tab w:leader="none" w:pos="1286"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231F20"/>
        </w:rPr>
        <w:t>If to Indemnitee, at the address indicated on the signature page of this Agreement, or such other address as Indemnitee shall provide to the Corporation.</w:t>
      </w:r>
    </w:p>
    <w:p>
      <w:pPr>
        <w:spacing w:after="0" w:line="18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If to the Corporation to</w:t>
      </w:r>
    </w:p>
    <w:p>
      <w:pPr>
        <w:spacing w:after="0" w:line="219" w:lineRule="exact"/>
        <w:rPr>
          <w:rFonts w:ascii="Times New Roman" w:cs="Times New Roman" w:eastAsia="Times New Roman" w:hAnsi="Times New Roman"/>
          <w:sz w:val="22"/>
          <w:szCs w:val="22"/>
          <w:color w:val="231F20"/>
        </w:rPr>
      </w:pPr>
    </w:p>
    <w:p>
      <w:pPr>
        <w:ind w:left="1300"/>
        <w:spacing w:after="0"/>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Expand Energy Corporation</w:t>
      </w:r>
    </w:p>
    <w:p>
      <w:pPr>
        <w:spacing w:after="0" w:line="14" w:lineRule="exact"/>
        <w:rPr>
          <w:rFonts w:ascii="Times New Roman" w:cs="Times New Roman" w:eastAsia="Times New Roman" w:hAnsi="Times New Roman"/>
          <w:sz w:val="22"/>
          <w:szCs w:val="22"/>
          <w:color w:val="231F20"/>
        </w:rPr>
      </w:pPr>
    </w:p>
    <w:p>
      <w:pPr>
        <w:ind w:left="1300" w:right="7040"/>
        <w:spacing w:after="0" w:line="258" w:lineRule="auto"/>
        <w:rPr>
          <w:rFonts w:ascii="Times New Roman" w:cs="Times New Roman" w:eastAsia="Times New Roman" w:hAnsi="Times New Roman"/>
          <w:sz w:val="22"/>
          <w:szCs w:val="22"/>
          <w:color w:val="231F20"/>
        </w:rPr>
      </w:pPr>
      <w:r>
        <w:rPr>
          <w:rFonts w:ascii="Times New Roman" w:cs="Times New Roman" w:eastAsia="Times New Roman" w:hAnsi="Times New Roman"/>
          <w:sz w:val="21"/>
          <w:szCs w:val="21"/>
          <w:color w:val="231F20"/>
        </w:rPr>
        <w:t>6100 North Western Avenue Oklahoma City, Oklahoma 73118</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or to any other address as may have been furnished to Indemnitee by the Corporation.</w:t>
      </w:r>
    </w:p>
    <w:p>
      <w:pPr>
        <w:spacing w:after="0" w:line="233" w:lineRule="exact"/>
        <w:rPr>
          <w:sz w:val="20"/>
          <w:szCs w:val="20"/>
          <w:color w:val="auto"/>
        </w:rPr>
      </w:pPr>
    </w:p>
    <w:p>
      <w:pPr>
        <w:jc w:val="both"/>
        <w:ind w:firstLine="756"/>
        <w:spacing w:after="0" w:line="233" w:lineRule="auto"/>
        <w:rPr>
          <w:sz w:val="20"/>
          <w:szCs w:val="20"/>
          <w:color w:val="auto"/>
        </w:rPr>
      </w:pPr>
      <w:r>
        <w:rPr>
          <w:rFonts w:ascii="Times New Roman" w:cs="Times New Roman" w:eastAsia="Times New Roman" w:hAnsi="Times New Roman"/>
          <w:sz w:val="22"/>
          <w:szCs w:val="22"/>
          <w:color w:val="231F20"/>
        </w:rPr>
        <w:t xml:space="preserve">Section 22. </w:t>
      </w:r>
      <w:r>
        <w:rPr>
          <w:rFonts w:ascii="Times New Roman" w:cs="Times New Roman" w:eastAsia="Times New Roman" w:hAnsi="Times New Roman"/>
          <w:sz w:val="22"/>
          <w:szCs w:val="22"/>
          <w:u w:val="single" w:color="auto"/>
          <w:color w:val="231F20"/>
        </w:rPr>
        <w:t>Contribution</w:t>
      </w:r>
      <w:r>
        <w:rPr>
          <w:rFonts w:ascii="Times New Roman" w:cs="Times New Roman" w:eastAsia="Times New Roman" w:hAnsi="Times New Roman"/>
          <w:sz w:val="22"/>
          <w:szCs w:val="22"/>
          <w:color w:val="231F20"/>
        </w:rPr>
        <w:t>. To the fullest extent permissible under applicable law, if the indemnification provided for in this Agreement is unavailable to Indemnitee for any reason whatsoever, the Corporation,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Corporation and Indemnitee as a result of the event(s) and/or transaction(s) giving cause to such Proceeding; and/or (ii) the relative fault of the Corporation (and its directors, officers, employees and agents) and Indemnitee in connection with such event(s) and/or transaction(s).</w:t>
      </w:r>
    </w:p>
    <w:p>
      <w:pPr>
        <w:spacing w:after="0" w:line="209"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231F20"/>
        </w:rPr>
        <w:t xml:space="preserve">Section 23. </w:t>
      </w:r>
      <w:r>
        <w:rPr>
          <w:rFonts w:ascii="Times New Roman" w:cs="Times New Roman" w:eastAsia="Times New Roman" w:hAnsi="Times New Roman"/>
          <w:sz w:val="22"/>
          <w:szCs w:val="22"/>
          <w:u w:val="single" w:color="auto"/>
          <w:color w:val="231F20"/>
        </w:rPr>
        <w:t>Applicable Law and Consent to Jurisdiction</w:t>
      </w:r>
      <w:r>
        <w:rPr>
          <w:rFonts w:ascii="Times New Roman" w:cs="Times New Roman" w:eastAsia="Times New Roman" w:hAnsi="Times New Roman"/>
          <w:sz w:val="22"/>
          <w:szCs w:val="22"/>
          <w:color w:val="231F20"/>
        </w:rPr>
        <w:t>. This Agreement and the legal relations among the parties shall be governed by, and construed and enforced in accordance with, the laws of the State of Oklahoma, without regard to its conflict of laws rules. The Corporation and Indemnitee hereby irrevocably and unconditionally (i) agree that any action or proceeding arising out of or in connection with this Agreement shall be brought only in a state or federal court in Oklahoma County, Oklahoma and not any other court, (ii) consent to submit to the exclusive jurisdiction of any court in Oklahoma County for purposes of any action or proceeding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922" w:right="339" w:bottom="1440" w:gutter="0" w:footer="0" w:header="0"/>
        </w:sectPr>
      </w:pPr>
    </w:p>
    <w:bookmarkStart w:id="145" w:name="page146"/>
    <w:bookmarkEnd w:id="145"/>
    <w:p>
      <w:pPr>
        <w:jc w:val="both"/>
        <w:spacing w:after="0" w:line="244" w:lineRule="auto"/>
        <w:rPr>
          <w:sz w:val="20"/>
          <w:szCs w:val="20"/>
          <w:color w:val="auto"/>
        </w:rPr>
      </w:pPr>
      <w:r>
        <w:rPr>
          <w:rFonts w:ascii="Times New Roman" w:cs="Times New Roman" w:eastAsia="Times New Roman" w:hAnsi="Times New Roman"/>
          <w:sz w:val="22"/>
          <w:szCs w:val="22"/>
          <w:color w:val="231F20"/>
        </w:rPr>
        <w:t>arising out of or in connection with this Agreement, (iii) waive any objection to the laying of venue of any such action or proceeding in any court in Oklahoma County, and (iv) waive, and agree not to plead or to make, any claim that any such action or proceeding brought in any court in Oklahoma County has been brought in an improper or inconvenient forum.</w:t>
      </w:r>
    </w:p>
    <w:p>
      <w:pPr>
        <w:spacing w:after="0" w:line="200" w:lineRule="exact"/>
        <w:rPr>
          <w:sz w:val="20"/>
          <w:szCs w:val="20"/>
          <w:color w:val="auto"/>
        </w:rPr>
      </w:pPr>
    </w:p>
    <w:p>
      <w:pPr>
        <w:jc w:val="both"/>
        <w:ind w:firstLine="756"/>
        <w:spacing w:after="0" w:line="236" w:lineRule="auto"/>
        <w:rPr>
          <w:sz w:val="20"/>
          <w:szCs w:val="20"/>
          <w:color w:val="auto"/>
        </w:rPr>
      </w:pPr>
      <w:r>
        <w:rPr>
          <w:rFonts w:ascii="Times New Roman" w:cs="Times New Roman" w:eastAsia="Times New Roman" w:hAnsi="Times New Roman"/>
          <w:sz w:val="22"/>
          <w:szCs w:val="22"/>
          <w:color w:val="231F20"/>
        </w:rPr>
        <w:t xml:space="preserve">Section 24. </w:t>
      </w:r>
      <w:r>
        <w:rPr>
          <w:rFonts w:ascii="Times New Roman" w:cs="Times New Roman" w:eastAsia="Times New Roman" w:hAnsi="Times New Roman"/>
          <w:sz w:val="22"/>
          <w:szCs w:val="22"/>
          <w:u w:val="single" w:color="auto"/>
          <w:color w:val="231F20"/>
        </w:rPr>
        <w:t>Identical Counterparts</w:t>
      </w:r>
      <w:r>
        <w:rPr>
          <w:rFonts w:ascii="Times New Roman" w:cs="Times New Roman" w:eastAsia="Times New Roman" w:hAnsi="Times New Roman"/>
          <w:sz w:val="22"/>
          <w:szCs w:val="22"/>
          <w:color w:val="231F20"/>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206" w:lineRule="exact"/>
        <w:rPr>
          <w:sz w:val="20"/>
          <w:szCs w:val="20"/>
          <w:color w:val="auto"/>
        </w:rPr>
      </w:pPr>
    </w:p>
    <w:p>
      <w:pPr>
        <w:jc w:val="both"/>
        <w:ind w:firstLine="756"/>
        <w:spacing w:after="0" w:line="244" w:lineRule="auto"/>
        <w:rPr>
          <w:sz w:val="20"/>
          <w:szCs w:val="20"/>
          <w:color w:val="auto"/>
        </w:rPr>
      </w:pPr>
      <w:r>
        <w:rPr>
          <w:rFonts w:ascii="Times New Roman" w:cs="Times New Roman" w:eastAsia="Times New Roman" w:hAnsi="Times New Roman"/>
          <w:sz w:val="22"/>
          <w:szCs w:val="22"/>
          <w:color w:val="231F20"/>
        </w:rPr>
        <w:t xml:space="preserve">Section 25. </w:t>
      </w:r>
      <w:r>
        <w:rPr>
          <w:rFonts w:ascii="Times New Roman" w:cs="Times New Roman" w:eastAsia="Times New Roman" w:hAnsi="Times New Roman"/>
          <w:sz w:val="22"/>
          <w:szCs w:val="22"/>
          <w:u w:val="single" w:color="auto"/>
          <w:color w:val="231F20"/>
        </w:rPr>
        <w:t>Miscellaneous</w:t>
      </w:r>
      <w:r>
        <w:rPr>
          <w:rFonts w:ascii="Times New Roman" w:cs="Times New Roman" w:eastAsia="Times New Roman" w:hAnsi="Times New Roman"/>
          <w:sz w:val="22"/>
          <w:szCs w:val="22"/>
          <w:color w:val="231F20"/>
        </w:rPr>
        <w:t>. Use of the masculine pronoun shall be deemed to include usage of the feminine pronoun where appropriate. The headings of this Agreement are inserted for convenience only and shall not be deemed to constitute part of this Agreement or to affect the construction thereof.</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231F20"/>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922" w:right="339" w:bottom="1440" w:gutter="0" w:footer="0" w:header="0"/>
        </w:sectPr>
      </w:pPr>
    </w:p>
    <w:bookmarkStart w:id="146" w:name="page147"/>
    <w:bookmarkEnd w:id="146"/>
    <w:p>
      <w:pPr>
        <w:ind w:left="760"/>
        <w:spacing w:after="0"/>
        <w:rPr>
          <w:sz w:val="20"/>
          <w:szCs w:val="20"/>
          <w:color w:val="auto"/>
        </w:rPr>
      </w:pPr>
      <w:r>
        <w:rPr>
          <w:rFonts w:ascii="Times New Roman" w:cs="Times New Roman" w:eastAsia="Times New Roman" w:hAnsi="Times New Roman"/>
          <w:sz w:val="21"/>
          <w:szCs w:val="21"/>
          <w:color w:val="231F20"/>
        </w:rPr>
        <w:t>IN WITNESS WHEREOF, the parties have caused this Agreement to be signed as of the day and year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231F20"/>
        </w:rPr>
        <w:t>written.</w:t>
      </w:r>
    </w:p>
    <w:p>
      <w:pPr>
        <w:spacing w:after="0" w:line="200" w:lineRule="exact"/>
        <w:rPr>
          <w:sz w:val="20"/>
          <w:szCs w:val="20"/>
          <w:color w:val="auto"/>
        </w:rPr>
      </w:pP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EXPAND ENERGY CORPORATION</w:t>
      </w: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 xml:space="preserve">By: </w:t>
      </w:r>
      <w:r>
        <w:rPr>
          <w:rFonts w:ascii="Times New Roman" w:cs="Times New Roman" w:eastAsia="Times New Roman" w:hAnsi="Times New Roman"/>
          <w:sz w:val="22"/>
          <w:szCs w:val="22"/>
          <w:u w:val="single" w:color="auto"/>
          <w:color w:val="231F20"/>
        </w:rPr>
        <w:t>_____________________________</w:t>
      </w:r>
    </w:p>
    <w:p>
      <w:pPr>
        <w:spacing w:after="0" w:line="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Name:</w:t>
      </w:r>
    </w:p>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Office:</w:t>
      </w:r>
    </w:p>
    <w:p>
      <w:pPr>
        <w:spacing w:after="0" w:line="200" w:lineRule="exact"/>
        <w:rPr>
          <w:sz w:val="20"/>
          <w:szCs w:val="20"/>
          <w:color w:val="auto"/>
        </w:rPr>
      </w:pP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INDEMNITEE</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 xml:space="preserve">By: </w:t>
      </w:r>
      <w:r>
        <w:rPr>
          <w:rFonts w:ascii="Times New Roman" w:cs="Times New Roman" w:eastAsia="Times New Roman" w:hAnsi="Times New Roman"/>
          <w:sz w:val="22"/>
          <w:szCs w:val="22"/>
          <w:u w:val="single" w:color="auto"/>
          <w:color w:val="231F20"/>
        </w:rPr>
        <w:t>_____________________________</w:t>
      </w:r>
    </w:p>
    <w:p>
      <w:pPr>
        <w:spacing w:after="0" w:line="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231F20"/>
        </w:rPr>
        <w:t>Name:</w:t>
      </w:r>
    </w:p>
    <w:p>
      <w:pPr>
        <w:ind w:left="740"/>
        <w:spacing w:after="0"/>
        <w:rPr>
          <w:sz w:val="20"/>
          <w:szCs w:val="20"/>
          <w:color w:val="auto"/>
        </w:rPr>
      </w:pPr>
      <w:r>
        <w:rPr>
          <w:rFonts w:ascii="Times New Roman" w:cs="Times New Roman" w:eastAsia="Times New Roman" w:hAnsi="Times New Roman"/>
          <w:sz w:val="22"/>
          <w:szCs w:val="22"/>
          <w:color w:val="231F20"/>
        </w:rPr>
        <w:t>Address: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60"/>
          </w:cols>
          <w:pgMar w:left="320" w:top="922" w:right="101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10.8</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EXPAND ENERGY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LONG TERM INCENTIVE PLAN</w:t>
      </w:r>
    </w:p>
    <w:p>
      <w:pPr>
        <w:jc w:val="center"/>
        <w:spacing w:after="0"/>
        <w:rPr>
          <w:sz w:val="20"/>
          <w:szCs w:val="20"/>
          <w:color w:val="auto"/>
        </w:rPr>
      </w:pPr>
      <w:r>
        <w:rPr>
          <w:rFonts w:ascii="Arial" w:cs="Arial" w:eastAsia="Arial" w:hAnsi="Arial"/>
          <w:sz w:val="16"/>
          <w:szCs w:val="16"/>
          <w:b w:val="1"/>
          <w:bCs w:val="1"/>
          <w:color w:val="auto"/>
        </w:rPr>
        <w:t>(as amended and approved by shareholders at the Annual Meeting of Shareholders on June 6,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PURPOSE</w:t>
      </w:r>
    </w:p>
    <w:p>
      <w:pPr>
        <w:spacing w:after="0" w:line="243"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b w:val="1"/>
          <w:bCs w:val="1"/>
          <w:color w:val="auto"/>
        </w:rPr>
        <w:t xml:space="preserve">Section 1.1 </w:t>
      </w:r>
      <w:r>
        <w:rPr>
          <w:rFonts w:ascii="Arial" w:cs="Arial" w:eastAsia="Arial" w:hAnsi="Arial"/>
          <w:sz w:val="20"/>
          <w:szCs w:val="20"/>
          <w:i w:val="1"/>
          <w:iCs w:val="1"/>
          <w:color w:val="auto"/>
        </w:rPr>
        <w:t>Purpose.</w:t>
      </w:r>
      <w:r>
        <w:rPr>
          <w:rFonts w:ascii="Arial" w:cs="Arial" w:eastAsia="Arial" w:hAnsi="Arial"/>
          <w:sz w:val="20"/>
          <w:szCs w:val="20"/>
          <w:b w:val="1"/>
          <w:bCs w:val="1"/>
          <w:color w:val="auto"/>
        </w:rPr>
        <w:t xml:space="preserve"> </w:t>
      </w:r>
      <w:r>
        <w:rPr>
          <w:rFonts w:ascii="Arial" w:cs="Arial" w:eastAsia="Arial" w:hAnsi="Arial"/>
          <w:sz w:val="20"/>
          <w:szCs w:val="20"/>
          <w:color w:val="auto"/>
        </w:rPr>
        <w:t>This Long Term Incentive Plan is established by Expand Energy Corporation (the “Company”) to</w:t>
      </w:r>
      <w:r>
        <w:rPr>
          <w:rFonts w:ascii="Arial" w:cs="Arial" w:eastAsia="Arial" w:hAnsi="Arial"/>
          <w:sz w:val="20"/>
          <w:szCs w:val="20"/>
          <w:b w:val="1"/>
          <w:bCs w:val="1"/>
          <w:color w:val="auto"/>
        </w:rPr>
        <w:t xml:space="preserve"> </w:t>
      </w:r>
      <w:r>
        <w:rPr>
          <w:rFonts w:ascii="Arial" w:cs="Arial" w:eastAsia="Arial" w:hAnsi="Arial"/>
          <w:sz w:val="20"/>
          <w:szCs w:val="20"/>
          <w:color w:val="auto"/>
        </w:rPr>
        <w:t>foster and promote the sustained progress, growth and profitability of the Company by:</w:t>
      </w:r>
    </w:p>
    <w:p>
      <w:pPr>
        <w:spacing w:after="0" w:line="165" w:lineRule="exact"/>
        <w:rPr>
          <w:sz w:val="20"/>
          <w:szCs w:val="20"/>
          <w:color w:val="auto"/>
        </w:rPr>
      </w:pPr>
    </w:p>
    <w:p>
      <w:pPr>
        <w:ind w:left="1120" w:hanging="464"/>
        <w:spacing w:after="0"/>
        <w:tabs>
          <w:tab w:leader="none" w:pos="11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attracting, retaining and motivating Employees and Non-Employee Directors;</w:t>
      </w:r>
    </w:p>
    <w:p>
      <w:pPr>
        <w:spacing w:after="0" w:line="4" w:lineRule="exact"/>
        <w:rPr>
          <w:rFonts w:ascii="Arial" w:cs="Arial" w:eastAsia="Arial" w:hAnsi="Arial"/>
          <w:sz w:val="20"/>
          <w:szCs w:val="20"/>
          <w:color w:val="auto"/>
        </w:rPr>
      </w:pPr>
    </w:p>
    <w:p>
      <w:pPr>
        <w:ind w:left="1200" w:hanging="544"/>
        <w:spacing w:after="0"/>
        <w:tabs>
          <w:tab w:leader="none" w:pos="12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allowing Employees and Non-Employee Directors to acquire a proprietary and vested interest in the growth and</w:t>
      </w:r>
    </w:p>
    <w:p>
      <w:pPr>
        <w:ind w:left="660"/>
        <w:spacing w:after="0" w:line="222" w:lineRule="auto"/>
        <w:rPr>
          <w:sz w:val="20"/>
          <w:szCs w:val="20"/>
          <w:color w:val="auto"/>
        </w:rPr>
      </w:pPr>
      <w:r>
        <w:rPr>
          <w:rFonts w:ascii="Arial" w:cs="Arial" w:eastAsia="Arial" w:hAnsi="Arial"/>
          <w:sz w:val="20"/>
          <w:szCs w:val="20"/>
          <w:color w:val="auto"/>
        </w:rPr>
        <w:t>performance of the Company;</w:t>
      </w:r>
    </w:p>
    <w:p>
      <w:pPr>
        <w:ind w:left="660" w:hanging="4"/>
        <w:spacing w:after="0" w:line="225" w:lineRule="auto"/>
        <w:tabs>
          <w:tab w:leader="none" w:pos="1178" w:val="left"/>
        </w:tabs>
        <w:numPr>
          <w:ilvl w:val="0"/>
          <w:numId w:val="83"/>
        </w:numPr>
        <w:rPr>
          <w:rFonts w:ascii="Arial" w:cs="Arial" w:eastAsia="Arial" w:hAnsi="Arial"/>
          <w:sz w:val="20"/>
          <w:szCs w:val="20"/>
          <w:color w:val="auto"/>
        </w:rPr>
      </w:pPr>
      <w:r>
        <w:rPr>
          <w:rFonts w:ascii="Arial" w:cs="Arial" w:eastAsia="Arial" w:hAnsi="Arial"/>
          <w:sz w:val="22"/>
          <w:szCs w:val="22"/>
          <w:color w:val="auto"/>
        </w:rPr>
        <w:t>p</w:t>
      </w:r>
      <w:r>
        <w:rPr>
          <w:rFonts w:ascii="Arial" w:cs="Arial" w:eastAsia="Arial" w:hAnsi="Arial"/>
          <w:sz w:val="19"/>
          <w:szCs w:val="19"/>
          <w:color w:val="auto"/>
        </w:rPr>
        <w:t>roviding incentives and rewards to Employees and Non-Employee Directors who are in a position to contribute</w:t>
      </w:r>
      <w:r>
        <w:rPr>
          <w:rFonts w:ascii="Arial" w:cs="Arial" w:eastAsia="Arial" w:hAnsi="Arial"/>
          <w:sz w:val="22"/>
          <w:szCs w:val="22"/>
          <w:color w:val="auto"/>
        </w:rPr>
        <w:t xml:space="preserve"> </w:t>
      </w:r>
      <w:r>
        <w:rPr>
          <w:rFonts w:ascii="Arial" w:cs="Arial" w:eastAsia="Arial" w:hAnsi="Arial"/>
          <w:sz w:val="19"/>
          <w:szCs w:val="19"/>
          <w:color w:val="auto"/>
        </w:rPr>
        <w:t>materially to the success and long-term objectives of the Company; and</w:t>
      </w:r>
    </w:p>
    <w:p>
      <w:pPr>
        <w:spacing w:after="0" w:line="1" w:lineRule="exact"/>
        <w:rPr>
          <w:rFonts w:ascii="Arial" w:cs="Arial" w:eastAsia="Arial" w:hAnsi="Arial"/>
          <w:sz w:val="20"/>
          <w:szCs w:val="20"/>
          <w:color w:val="auto"/>
        </w:rPr>
      </w:pPr>
    </w:p>
    <w:p>
      <w:pPr>
        <w:ind w:left="660" w:hanging="4"/>
        <w:spacing w:after="0" w:line="239" w:lineRule="auto"/>
        <w:tabs>
          <w:tab w:leader="none" w:pos="1389" w:val="left"/>
        </w:tabs>
        <w:numPr>
          <w:ilvl w:val="0"/>
          <w:numId w:val="83"/>
        </w:numPr>
        <w:rPr>
          <w:rFonts w:ascii="Arial" w:cs="Arial" w:eastAsia="Arial" w:hAnsi="Arial"/>
          <w:sz w:val="20"/>
          <w:szCs w:val="20"/>
          <w:color w:val="auto"/>
        </w:rPr>
      </w:pPr>
      <w:r>
        <w:rPr>
          <w:rFonts w:ascii="Arial" w:cs="Arial" w:eastAsia="Arial" w:hAnsi="Arial"/>
          <w:sz w:val="20"/>
          <w:szCs w:val="20"/>
          <w:color w:val="auto"/>
        </w:rPr>
        <w:t>aligning the financial interests of Employees and Non-Employee Directors with those of the Company’s shareholders.</w:t>
      </w:r>
    </w:p>
    <w:p>
      <w:pPr>
        <w:spacing w:after="0" w:line="2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Section 1.2 </w:t>
      </w:r>
      <w:r>
        <w:rPr>
          <w:rFonts w:ascii="Arial" w:cs="Arial" w:eastAsia="Arial" w:hAnsi="Arial"/>
          <w:sz w:val="20"/>
          <w:szCs w:val="20"/>
          <w:i w:val="1"/>
          <w:iCs w:val="1"/>
          <w:color w:val="auto"/>
        </w:rPr>
        <w:t>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is effective as of February 9, 2021. The authority to issue Awards under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will terminate at 11:59 p.m. Central Time on June 6, 2034 and the remaining terms of the Plan will continue in effect thereafter until all matters relating to the exercise and settlement of Awards and administration of the Plan have been completed.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DEFINITIONS</w:t>
      </w:r>
    </w:p>
    <w:p>
      <w:pPr>
        <w:spacing w:after="0" w:line="24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2.1 </w:t>
      </w:r>
      <w:r>
        <w:rPr>
          <w:rFonts w:ascii="Arial" w:cs="Arial" w:eastAsia="Arial" w:hAnsi="Arial"/>
          <w:sz w:val="20"/>
          <w:szCs w:val="20"/>
          <w:color w:val="auto"/>
        </w:rPr>
        <w:t>“Affiliated Entity” means any partnership or limited liability company in which at least 50% of voting power</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is owned or controlled, directly or indirectly, by the Company or one or more of its Subsidiaries or Affiliated Entities or a combination thereof.</w:t>
      </w:r>
    </w:p>
    <w:p>
      <w:pPr>
        <w:spacing w:after="0" w:line="18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2.2 </w:t>
      </w:r>
      <w:r>
        <w:rPr>
          <w:rFonts w:ascii="Arial" w:cs="Arial" w:eastAsia="Arial" w:hAnsi="Arial"/>
          <w:sz w:val="20"/>
          <w:szCs w:val="20"/>
          <w:color w:val="auto"/>
        </w:rPr>
        <w:t>“Appreciation” means, with respect to a SAR (as hereafter defined), the amount by which the Fair Market</w:t>
      </w:r>
      <w:r>
        <w:rPr>
          <w:rFonts w:ascii="Arial" w:cs="Arial" w:eastAsia="Arial" w:hAnsi="Arial"/>
          <w:sz w:val="20"/>
          <w:szCs w:val="20"/>
          <w:b w:val="1"/>
          <w:bCs w:val="1"/>
          <w:color w:val="auto"/>
        </w:rPr>
        <w:t xml:space="preserve"> </w:t>
      </w:r>
      <w:r>
        <w:rPr>
          <w:rFonts w:ascii="Arial" w:cs="Arial" w:eastAsia="Arial" w:hAnsi="Arial"/>
          <w:sz w:val="20"/>
          <w:szCs w:val="20"/>
          <w:color w:val="auto"/>
        </w:rPr>
        <w:t>Value of a share of Common Stock on the date of exercise of the SAR exceeds the Fair Market Value of a share of Common Stock on the Date of Grant of the SAR.</w:t>
      </w:r>
    </w:p>
    <w:p>
      <w:pPr>
        <w:spacing w:after="0" w:line="2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Section 2.3 </w:t>
      </w:r>
      <w:r>
        <w:rPr>
          <w:rFonts w:ascii="Arial" w:cs="Arial" w:eastAsia="Arial" w:hAnsi="Arial"/>
          <w:sz w:val="20"/>
          <w:szCs w:val="20"/>
          <w:color w:val="auto"/>
        </w:rPr>
        <w:t>“Award” means, individually or collectively, any Option, SAR, Performance Share,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 or Other Stock Award granted under the Plan to an Eligible Person pursuant to such terms, conditions, restrictions, and/or limitations, if any, as the applicable Committee may establish by the Award Agreement or otherwise.</w:t>
      </w:r>
    </w:p>
    <w:p>
      <w:pPr>
        <w:spacing w:after="0" w:line="20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2.4 </w:t>
      </w:r>
      <w:r>
        <w:rPr>
          <w:rFonts w:ascii="Arial" w:cs="Arial" w:eastAsia="Arial" w:hAnsi="Arial"/>
          <w:sz w:val="20"/>
          <w:szCs w:val="20"/>
          <w:color w:val="auto"/>
        </w:rPr>
        <w:t>“Award Agreement” means any written or electronic instrument that establishes the terms,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restrictions, and/or limitations applicable to an Award in addition to those established by this Plan and by the Committee’s exercise of its administrative powers.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2.5 </w:t>
      </w:r>
      <w:r>
        <w:rPr>
          <w:rFonts w:ascii="Arial" w:cs="Arial" w:eastAsia="Arial" w:hAnsi="Arial"/>
          <w:sz w:val="20"/>
          <w:szCs w:val="20"/>
          <w:color w:val="auto"/>
        </w:rPr>
        <w:t>“Board” means the Board of Directors of the Company.</w:t>
      </w:r>
    </w:p>
    <w:p>
      <w:pPr>
        <w:spacing w:after="0" w:line="2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2.6 </w:t>
      </w:r>
      <w:r>
        <w:rPr>
          <w:rFonts w:ascii="Arial" w:cs="Arial" w:eastAsia="Arial" w:hAnsi="Arial"/>
          <w:sz w:val="20"/>
          <w:szCs w:val="20"/>
          <w:color w:val="auto"/>
        </w:rPr>
        <w:t>“Cause” shall have the meaning ascribed to such term in any employment, service or similar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Company, a Subsidiary or an Affiliated Entity and the Eligible Person; provided, that, if there is no such agreement or the agreement does not provide for a definition of “Cause”, “Cause” shall mean the occurrence of either of the following, unless otherwise determined by the Committee:</w:t>
      </w:r>
    </w:p>
    <w:p>
      <w:pPr>
        <w:sectPr>
          <w:pgSz w:w="11900" w:h="16838" w:orient="portrait"/>
          <w:cols w:equalWidth="0" w:num="1">
            <w:col w:w="11240"/>
          </w:cols>
          <w:pgMar w:left="320" w:top="345" w:right="339" w:bottom="1440" w:gutter="0" w:footer="0" w:header="0"/>
        </w:sectPr>
      </w:pPr>
    </w:p>
    <w:bookmarkStart w:id="148" w:name="page149"/>
    <w:bookmarkEnd w:id="148"/>
    <w:p>
      <w:pPr>
        <w:jc w:val="both"/>
        <w:ind w:left="4" w:hanging="4"/>
        <w:spacing w:after="0" w:line="251" w:lineRule="auto"/>
        <w:tabs>
          <w:tab w:leader="none" w:pos="427" w:val="left"/>
        </w:tabs>
        <w:numPr>
          <w:ilvl w:val="0"/>
          <w:numId w:val="84"/>
        </w:numPr>
        <w:rPr>
          <w:rFonts w:ascii="Arial" w:cs="Arial" w:eastAsia="Arial" w:hAnsi="Arial"/>
          <w:sz w:val="20"/>
          <w:szCs w:val="20"/>
          <w:color w:val="auto"/>
        </w:rPr>
      </w:pPr>
      <w:r>
        <w:rPr>
          <w:rFonts w:ascii="Arial" w:cs="Arial" w:eastAsia="Arial" w:hAnsi="Arial"/>
          <w:sz w:val="22"/>
          <w:szCs w:val="22"/>
          <w:color w:val="auto"/>
        </w:rPr>
        <w:t>t</w:t>
      </w:r>
      <w:r>
        <w:rPr>
          <w:rFonts w:ascii="Arial" w:cs="Arial" w:eastAsia="Arial" w:hAnsi="Arial"/>
          <w:sz w:val="19"/>
          <w:szCs w:val="19"/>
          <w:color w:val="auto"/>
        </w:rPr>
        <w:t>he willful and continued failure of the Participant to perform substantially the Participant’s duties with the Company</w:t>
      </w:r>
      <w:r>
        <w:rPr>
          <w:rFonts w:ascii="Arial" w:cs="Arial" w:eastAsia="Arial" w:hAnsi="Arial"/>
          <w:sz w:val="22"/>
          <w:szCs w:val="22"/>
          <w:color w:val="auto"/>
        </w:rPr>
        <w:t xml:space="preserve"> </w:t>
      </w:r>
      <w:r>
        <w:rPr>
          <w:rFonts w:ascii="Arial" w:cs="Arial" w:eastAsia="Arial" w:hAnsi="Arial"/>
          <w:sz w:val="19"/>
          <w:szCs w:val="19"/>
          <w:color w:val="auto"/>
        </w:rPr>
        <w:t>or one of its affiliates (other than any such failure resulting from incapacity due to physical or mental illness), after a written demand for substantial performance is delivered to the Participant by the Board or the Chief Executive Officer of the Company which specifically identifies the manner in which the Board or Chief Executive Officer believes that the Participant has not substantially performed the Participant’s duties, or</w:t>
      </w:r>
    </w:p>
    <w:p>
      <w:pPr>
        <w:spacing w:after="0" w:line="203" w:lineRule="exact"/>
        <w:rPr>
          <w:rFonts w:ascii="Arial" w:cs="Arial" w:eastAsia="Arial" w:hAnsi="Arial"/>
          <w:sz w:val="20"/>
          <w:szCs w:val="20"/>
          <w:color w:val="auto"/>
        </w:rPr>
      </w:pPr>
    </w:p>
    <w:p>
      <w:pPr>
        <w:jc w:val="both"/>
        <w:ind w:left="4" w:hanging="4"/>
        <w:spacing w:after="0" w:line="242" w:lineRule="auto"/>
        <w:tabs>
          <w:tab w:leader="none" w:pos="492"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willful engaging by the Participant in illegal conduct or gross misconduct which is materially and demonstrably injurious to the Company. For purposes of this provision, no act, or failure to act, on the part of the Participant shall be considered “willful” unless it is done, or omitted to be done, by the Participant in bad faith or without reasonable belief that the Participant’s action or omission was in the best interests of the Company. Any act, or failure to act, based upon authority given pursuant to a resolution duly adopted by the Board or upon the instructions of the Chief Executive Officer or based upon the advice of counsel for the Company shall be conclusively presumed to be done, or omitted to be done, by the Participant in good faith and in the best interests of the Company.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Section 2.7 </w:t>
      </w:r>
      <w:r>
        <w:rPr>
          <w:rFonts w:ascii="Arial" w:cs="Arial" w:eastAsia="Arial" w:hAnsi="Arial"/>
          <w:sz w:val="20"/>
          <w:szCs w:val="20"/>
          <w:color w:val="auto"/>
        </w:rPr>
        <w:t>“Change of Control” means the occurrence of any of the following:</w:t>
      </w:r>
    </w:p>
    <w:p>
      <w:pPr>
        <w:spacing w:after="0" w:line="231" w:lineRule="exact"/>
        <w:rPr>
          <w:sz w:val="20"/>
          <w:szCs w:val="20"/>
          <w:color w:val="auto"/>
        </w:rPr>
      </w:pPr>
    </w:p>
    <w:p>
      <w:pPr>
        <w:jc w:val="both"/>
        <w:ind w:left="4" w:hanging="4"/>
        <w:spacing w:after="0" w:line="235" w:lineRule="auto"/>
        <w:tabs>
          <w:tab w:leader="none" w:pos="414"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For purposes of this Section 2.7 the following acquisitions by a Person will not constitute a Change of Control: (1) any acquisition by the Company; (2) any redemption, share acquisition or other purchase of shares directly or indirectly by the Company; (3) any acquisition by any employee benefit plan (or related trust) sponsored or maintained by the Company or any corporation controlled by the Company; or (4) any acquisition by any corporation pursuant to a transaction which complies with clauses (A), (B) and (C) of paragraph (iii) below;</w:t>
      </w:r>
    </w:p>
    <w:p>
      <w:pPr>
        <w:spacing w:after="0" w:line="205" w:lineRule="exact"/>
        <w:rPr>
          <w:rFonts w:ascii="Arial" w:cs="Arial" w:eastAsia="Arial" w:hAnsi="Arial"/>
          <w:sz w:val="20"/>
          <w:szCs w:val="20"/>
          <w:color w:val="auto"/>
        </w:rPr>
      </w:pPr>
    </w:p>
    <w:p>
      <w:pPr>
        <w:jc w:val="both"/>
        <w:ind w:left="4" w:hanging="4"/>
        <w:spacing w:after="0" w:line="236" w:lineRule="auto"/>
        <w:tabs>
          <w:tab w:leader="none" w:pos="458" w:val="left"/>
        </w:tabs>
        <w:numPr>
          <w:ilvl w:val="0"/>
          <w:numId w:val="85"/>
        </w:numPr>
        <w:rPr>
          <w:rFonts w:ascii="Arial" w:cs="Arial" w:eastAsia="Arial" w:hAnsi="Arial"/>
          <w:sz w:val="20"/>
          <w:szCs w:val="20"/>
          <w:color w:val="auto"/>
        </w:rPr>
      </w:pPr>
      <w:r>
        <w:rPr>
          <w:rFonts w:ascii="Arial" w:cs="Arial" w:eastAsia="Arial" w:hAnsi="Arial"/>
          <w:sz w:val="20"/>
          <w:szCs w:val="20"/>
          <w:color w:val="auto"/>
        </w:rPr>
        <w:t>during any period of not more than 24 months, the individuals who constitute the board of directors (the “Incumbent Board”) of the Company as of the beginning of such 24 month period cease for any reason to constitute at least a majority of the board of directors. Any individual becoming a director whose election, or nomination for election by the Company’s shareholders, is approved by a vote of at least a majority of the directors then comprising the Incumbent Board will be considered a member of the Incumbent Board, but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Incumbent Board will not be deemed a member of the Incumbent Board;</w:t>
      </w:r>
    </w:p>
    <w:p>
      <w:pPr>
        <w:spacing w:after="0" w:line="215" w:lineRule="exact"/>
        <w:rPr>
          <w:rFonts w:ascii="Arial" w:cs="Arial" w:eastAsia="Arial" w:hAnsi="Arial"/>
          <w:sz w:val="20"/>
          <w:szCs w:val="20"/>
          <w:color w:val="auto"/>
        </w:rPr>
      </w:pPr>
    </w:p>
    <w:p>
      <w:pPr>
        <w:jc w:val="both"/>
        <w:ind w:left="4" w:hanging="4"/>
        <w:spacing w:after="0" w:line="237" w:lineRule="auto"/>
        <w:tabs>
          <w:tab w:leader="none" w:pos="506"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consummation of a reorganization, merger, consolidation or sale or other disposition of all or substantially all of the assets of the Company (a “Business Combination”),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2</w:t>
      </w:r>
    </w:p>
    <w:p>
      <w:pPr>
        <w:sectPr>
          <w:pgSz w:w="11900" w:h="16838" w:orient="portrait"/>
          <w:cols w:equalWidth="0" w:num="1">
            <w:col w:w="10584"/>
          </w:cols>
          <w:pgMar w:left="976" w:top="923" w:right="339" w:bottom="1440" w:gutter="0" w:footer="0" w:header="0"/>
        </w:sectPr>
      </w:pPr>
    </w:p>
    <w:bookmarkStart w:id="149" w:name="page150"/>
    <w:bookmarkEnd w:id="149"/>
    <w:p>
      <w:pPr>
        <w:jc w:val="both"/>
        <w:ind w:left="660"/>
        <w:spacing w:after="0" w:line="235" w:lineRule="auto"/>
        <w:rPr>
          <w:sz w:val="20"/>
          <w:szCs w:val="20"/>
          <w:color w:val="auto"/>
        </w:rPr>
      </w:pPr>
      <w:r>
        <w:rPr>
          <w:rFonts w:ascii="Arial" w:cs="Arial" w:eastAsia="Arial" w:hAnsi="Arial"/>
          <w:sz w:val="20"/>
          <w:szCs w:val="20"/>
          <w:color w:val="auto"/>
        </w:rPr>
        <w:t>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ind w:left="1160" w:hanging="504"/>
        <w:spacing w:after="0"/>
        <w:tabs>
          <w:tab w:leader="none" w:pos="11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approval by the shareholders of the Company of a complete liquidation or dissolution of the Company.</w:t>
      </w:r>
    </w:p>
    <w:p>
      <w:pPr>
        <w:spacing w:after="0" w:line="22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Notwithstanding any provision of this Section 2.7, (a) in no event may the transaction related to the Company’s reorganization under Chapter 7 or Chapter 11 of the Bankruptcy Code constitute a Change of Control and (b) for purposes of an Award that provides for a deferral of compensation under Section 409A of the Code, to the extent the impact of a Change of Control on such Award would subject a Participant to additional taxes under Section 409A of the Code, a Change of Control described in subsection (i), (ii), (iii) or (iv) above with respect to such Award must also constitute a “change in the ownership of a corporation,” “change in the effective control of a corporation,” or a “change in the ownership of a substantial portion of a corporation’s assets” within the meaning of Section 409A of the Code, as applied to the Company.</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Section 2.8 </w:t>
      </w:r>
      <w:r>
        <w:rPr>
          <w:rFonts w:ascii="Arial" w:cs="Arial" w:eastAsia="Arial" w:hAnsi="Arial"/>
          <w:sz w:val="20"/>
          <w:szCs w:val="20"/>
          <w:color w:val="auto"/>
        </w:rPr>
        <w:t>“Code” means the Internal Revenue Code of 1986, as amended. Reference in the Plan to any Section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shall be deemed to include any amendments or successor provisions to such Section and any regulations under such Section.</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2.9 </w:t>
      </w:r>
      <w:r>
        <w:rPr>
          <w:rFonts w:ascii="Arial" w:cs="Arial" w:eastAsia="Arial" w:hAnsi="Arial"/>
          <w:sz w:val="20"/>
          <w:szCs w:val="20"/>
          <w:color w:val="auto"/>
        </w:rPr>
        <w:t>“Committee” means the Compensation Committee of the Board (or any successor committee) or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designated by the Board. If no committee is designated by the Board to administer the Plan, the term “Committee” shall be deemed to refer to the Board for all purposes under the Plan.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2.10 </w:t>
      </w:r>
      <w:r>
        <w:rPr>
          <w:rFonts w:ascii="Arial" w:cs="Arial" w:eastAsia="Arial" w:hAnsi="Arial"/>
          <w:sz w:val="20"/>
          <w:szCs w:val="20"/>
          <w:color w:val="auto"/>
        </w:rPr>
        <w:t>“Common Stock” means the common stock, par value $0.01 per share, of the Company.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2.11 </w:t>
      </w:r>
      <w:r>
        <w:rPr>
          <w:rFonts w:ascii="Arial" w:cs="Arial" w:eastAsia="Arial" w:hAnsi="Arial"/>
          <w:sz w:val="20"/>
          <w:szCs w:val="20"/>
          <w:color w:val="auto"/>
        </w:rPr>
        <w:t>“Date of Grant” means the date on which the grant of an Award is made by the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2.12 </w:t>
      </w:r>
      <w:r>
        <w:rPr>
          <w:rFonts w:ascii="Arial" w:cs="Arial" w:eastAsia="Arial" w:hAnsi="Arial"/>
          <w:sz w:val="20"/>
          <w:szCs w:val="20"/>
          <w:color w:val="auto"/>
        </w:rPr>
        <w:t>“Disability” has the meaning set forth in Section 409(A)(a)(2)(C) of the Code.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2.13 </w:t>
      </w:r>
      <w:r>
        <w:rPr>
          <w:rFonts w:ascii="Arial" w:cs="Arial" w:eastAsia="Arial" w:hAnsi="Arial"/>
          <w:sz w:val="20"/>
          <w:szCs w:val="20"/>
          <w:color w:val="auto"/>
        </w:rPr>
        <w:t>“Eligible Person” means any Employee or Non-Employee Director.</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2.14 </w:t>
      </w:r>
      <w:r>
        <w:rPr>
          <w:rFonts w:ascii="Arial" w:cs="Arial" w:eastAsia="Arial" w:hAnsi="Arial"/>
          <w:sz w:val="20"/>
          <w:szCs w:val="20"/>
          <w:color w:val="auto"/>
        </w:rPr>
        <w:t>“Employee” means any employee of the Company, a Subsidiary or an Affiliated Entity or any person to</w:t>
      </w:r>
      <w:r>
        <w:rPr>
          <w:rFonts w:ascii="Arial" w:cs="Arial" w:eastAsia="Arial" w:hAnsi="Arial"/>
          <w:sz w:val="20"/>
          <w:szCs w:val="20"/>
          <w:b w:val="1"/>
          <w:bCs w:val="1"/>
          <w:color w:val="auto"/>
        </w:rPr>
        <w:t xml:space="preserve"> </w:t>
      </w:r>
      <w:r>
        <w:rPr>
          <w:rFonts w:ascii="Arial" w:cs="Arial" w:eastAsia="Arial" w:hAnsi="Arial"/>
          <w:sz w:val="20"/>
          <w:szCs w:val="20"/>
          <w:color w:val="auto"/>
        </w:rPr>
        <w:t>whom an offer of employment with the Company, a Subsidiary or an Affiliated Entity is extended, as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3</w:t>
      </w:r>
    </w:p>
    <w:p>
      <w:pPr>
        <w:sectPr>
          <w:pgSz w:w="11900" w:h="16838" w:orient="portrait"/>
          <w:cols w:equalWidth="0" w:num="1">
            <w:col w:w="11240"/>
          </w:cols>
          <w:pgMar w:left="320" w:top="928" w:right="339" w:bottom="1440" w:gutter="0" w:footer="0" w:header="0"/>
        </w:sectPr>
      </w:pPr>
    </w:p>
    <w:bookmarkStart w:id="150" w:name="page151"/>
    <w:bookmarkEnd w:id="150"/>
    <w:p>
      <w:pPr>
        <w:ind w:left="660"/>
        <w:spacing w:after="0"/>
        <w:rPr>
          <w:sz w:val="20"/>
          <w:szCs w:val="20"/>
          <w:color w:val="auto"/>
        </w:rPr>
      </w:pPr>
      <w:r>
        <w:rPr>
          <w:rFonts w:ascii="Arial" w:cs="Arial" w:eastAsia="Arial" w:hAnsi="Arial"/>
          <w:sz w:val="20"/>
          <w:szCs w:val="20"/>
          <w:b w:val="1"/>
          <w:bCs w:val="1"/>
          <w:color w:val="auto"/>
        </w:rPr>
        <w:t xml:space="preserve">Section 2.15 </w:t>
      </w:r>
      <w:r>
        <w:rPr>
          <w:rFonts w:ascii="Arial" w:cs="Arial" w:eastAsia="Arial" w:hAnsi="Arial"/>
          <w:sz w:val="20"/>
          <w:szCs w:val="20"/>
          <w:color w:val="auto"/>
        </w:rPr>
        <w:t>“Exchange Act” means the Securities Exchange Act of 1934, as amended.</w:t>
      </w:r>
    </w:p>
    <w:p>
      <w:pPr>
        <w:spacing w:after="0" w:line="22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b w:val="1"/>
          <w:bCs w:val="1"/>
          <w:color w:val="auto"/>
        </w:rPr>
        <w:t xml:space="preserve">Section 2.16 </w:t>
      </w:r>
      <w:r>
        <w:rPr>
          <w:rFonts w:ascii="Arial" w:cs="Arial" w:eastAsia="Arial" w:hAnsi="Arial"/>
          <w:sz w:val="20"/>
          <w:szCs w:val="20"/>
          <w:color w:val="auto"/>
        </w:rPr>
        <w:t>“Executive Officer Participants” means Participants who are subject to the provisions of Section 16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Act with respect to the Common Stock.</w:t>
      </w:r>
    </w:p>
    <w:p>
      <w:pPr>
        <w:spacing w:after="0" w:line="1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2.17 </w:t>
      </w:r>
      <w:r>
        <w:rPr>
          <w:rFonts w:ascii="Arial" w:cs="Arial" w:eastAsia="Arial" w:hAnsi="Arial"/>
          <w:sz w:val="20"/>
          <w:szCs w:val="20"/>
          <w:color w:val="auto"/>
        </w:rPr>
        <w:t>“Fair Market Value” means, as of any day, the closing price of the Common Stock on such day (or on the</w:t>
      </w:r>
      <w:r>
        <w:rPr>
          <w:rFonts w:ascii="Arial" w:cs="Arial" w:eastAsia="Arial" w:hAnsi="Arial"/>
          <w:sz w:val="20"/>
          <w:szCs w:val="20"/>
          <w:b w:val="1"/>
          <w:bCs w:val="1"/>
          <w:color w:val="auto"/>
        </w:rPr>
        <w:t xml:space="preserve"> </w:t>
      </w:r>
      <w:r>
        <w:rPr>
          <w:rFonts w:ascii="Arial" w:cs="Arial" w:eastAsia="Arial" w:hAnsi="Arial"/>
          <w:sz w:val="20"/>
          <w:szCs w:val="20"/>
          <w:color w:val="auto"/>
        </w:rPr>
        <w:t>next preceding business day, if such day is not a business day or if no trading occurred on such day) as reported on the Nasdaq Global Select Market or on such other securities exchange or reporting system as may be designated by the Committee. In the event that the price of a share of Common Stock shall not be so reported, the Fair Market Value of a share of Common Stock shall be determined by the Committee in its absolute discretion.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2.18 </w:t>
      </w:r>
      <w:r>
        <w:rPr>
          <w:rFonts w:ascii="Arial" w:cs="Arial" w:eastAsia="Arial" w:hAnsi="Arial"/>
          <w:sz w:val="20"/>
          <w:szCs w:val="20"/>
          <w:color w:val="auto"/>
        </w:rPr>
        <w:t>“Incentive Stock Option” means an Option within the meaning of Section 422 of the Code.</w:t>
      </w:r>
    </w:p>
    <w:p>
      <w:pPr>
        <w:spacing w:after="0" w:line="24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color w:val="auto"/>
        </w:rPr>
        <w:t xml:space="preserve">Section 2.19 </w:t>
      </w:r>
      <w:r>
        <w:rPr>
          <w:rFonts w:ascii="Arial" w:cs="Arial" w:eastAsia="Arial" w:hAnsi="Arial"/>
          <w:sz w:val="20"/>
          <w:szCs w:val="20"/>
          <w:color w:val="auto"/>
        </w:rPr>
        <w:t>“Non-Employee Director” shall have the meaning set forth in Rule 16b-3, or any successor rule,</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under Section 16 of the Exchange Act.</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b w:val="1"/>
          <w:bCs w:val="1"/>
          <w:color w:val="auto"/>
        </w:rPr>
        <w:t xml:space="preserve">Section 2.20 </w:t>
      </w:r>
      <w:r>
        <w:rPr>
          <w:rFonts w:ascii="Arial" w:cs="Arial" w:eastAsia="Arial" w:hAnsi="Arial"/>
          <w:sz w:val="20"/>
          <w:szCs w:val="20"/>
          <w:color w:val="auto"/>
        </w:rPr>
        <w:t>“Non-Executive Officer Participants” means Participants who are not subject to the provisions of Section 16</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Exchange Act.</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2.21 </w:t>
      </w:r>
      <w:r>
        <w:rPr>
          <w:rFonts w:ascii="Arial" w:cs="Arial" w:eastAsia="Arial" w:hAnsi="Arial"/>
          <w:sz w:val="20"/>
          <w:szCs w:val="20"/>
          <w:color w:val="auto"/>
        </w:rPr>
        <w:t>“Nonqualified Stock Option” means an Option to purchase shares of Common Stock which is not an</w:t>
      </w:r>
      <w:r>
        <w:rPr>
          <w:rFonts w:ascii="Arial" w:cs="Arial" w:eastAsia="Arial" w:hAnsi="Arial"/>
          <w:sz w:val="20"/>
          <w:szCs w:val="20"/>
          <w:b w:val="1"/>
          <w:bCs w:val="1"/>
          <w:color w:val="auto"/>
        </w:rPr>
        <w:t xml:space="preserve"> </w:t>
      </w:r>
      <w:r>
        <w:rPr>
          <w:rFonts w:ascii="Arial" w:cs="Arial" w:eastAsia="Arial" w:hAnsi="Arial"/>
          <w:sz w:val="20"/>
          <w:szCs w:val="20"/>
          <w:color w:val="auto"/>
        </w:rPr>
        <w:t>Incentive Stock Option within the meaning of Section 422(b) of the Code.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2.22 </w:t>
      </w:r>
      <w:r>
        <w:rPr>
          <w:rFonts w:ascii="Arial" w:cs="Arial" w:eastAsia="Arial" w:hAnsi="Arial"/>
          <w:sz w:val="20"/>
          <w:szCs w:val="20"/>
          <w:color w:val="auto"/>
        </w:rPr>
        <w:t>“Option” means an Incentive Stock Option or Nonqualified Stock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2.23 </w:t>
      </w:r>
      <w:r>
        <w:rPr>
          <w:rFonts w:ascii="Arial" w:cs="Arial" w:eastAsia="Arial" w:hAnsi="Arial"/>
          <w:sz w:val="20"/>
          <w:szCs w:val="20"/>
          <w:color w:val="auto"/>
        </w:rPr>
        <w:t>“Other Stock Award” means any right granted to a Participant by the Committee under Section 8.1 of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2.24 </w:t>
      </w:r>
      <w:r>
        <w:rPr>
          <w:rFonts w:ascii="Arial" w:cs="Arial" w:eastAsia="Arial" w:hAnsi="Arial"/>
          <w:sz w:val="20"/>
          <w:szCs w:val="20"/>
          <w:color w:val="auto"/>
        </w:rPr>
        <w:t>“Participant” means an Eligible Person to whom an Award has been granted by the Committee under the</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2.25 </w:t>
      </w:r>
      <w:r>
        <w:rPr>
          <w:rFonts w:ascii="Arial" w:cs="Arial" w:eastAsia="Arial" w:hAnsi="Arial"/>
          <w:sz w:val="20"/>
          <w:szCs w:val="20"/>
          <w:color w:val="auto"/>
        </w:rPr>
        <w:t>“Performance Award” means any award of Performance Shares granted by the Committee under Section 7</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2.26 </w:t>
      </w:r>
      <w:r>
        <w:rPr>
          <w:rFonts w:ascii="Arial" w:cs="Arial" w:eastAsia="Arial" w:hAnsi="Arial"/>
          <w:sz w:val="20"/>
          <w:szCs w:val="20"/>
          <w:color w:val="auto"/>
        </w:rPr>
        <w:t>“Performance Share” means the Common Stock or a unit having a value equivalent to the value of a share</w:t>
      </w:r>
      <w:r>
        <w:rPr>
          <w:rFonts w:ascii="Arial" w:cs="Arial" w:eastAsia="Arial" w:hAnsi="Arial"/>
          <w:sz w:val="20"/>
          <w:szCs w:val="20"/>
          <w:b w:val="1"/>
          <w:bCs w:val="1"/>
          <w:color w:val="auto"/>
        </w:rPr>
        <w:t xml:space="preserve"> </w:t>
      </w:r>
      <w:r>
        <w:rPr>
          <w:rFonts w:ascii="Arial" w:cs="Arial" w:eastAsia="Arial" w:hAnsi="Arial"/>
          <w:sz w:val="20"/>
          <w:szCs w:val="20"/>
          <w:color w:val="auto"/>
        </w:rPr>
        <w:t>of Common Stock subject to a Performance Award granted under Section 7 of the Plan, which may be delivered or, with respect to a unit, the value of which may be delivered, to the Participant upon the achievement of such performance goals during the Performance Period as specified by the Committee.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2.27 </w:t>
      </w:r>
      <w:r>
        <w:rPr>
          <w:rFonts w:ascii="Arial" w:cs="Arial" w:eastAsia="Arial" w:hAnsi="Arial"/>
          <w:sz w:val="20"/>
          <w:szCs w:val="20"/>
          <w:color w:val="auto"/>
        </w:rPr>
        <w:t>“Plan” means the Expand Energy Corporation 2021 Long Term Incentive Plan.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2.28 </w:t>
      </w:r>
      <w:r>
        <w:rPr>
          <w:rFonts w:ascii="Arial" w:cs="Arial" w:eastAsia="Arial" w:hAnsi="Arial"/>
          <w:sz w:val="20"/>
          <w:szCs w:val="20"/>
          <w:color w:val="auto"/>
        </w:rPr>
        <w:t>“Restricted Stock” means the Common Stock issued under Section 5 which is subject to any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Committee, in its discretion, may impose.</w:t>
      </w:r>
    </w:p>
    <w:p>
      <w:pPr>
        <w:spacing w:after="0" w:line="1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2.29 </w:t>
      </w:r>
      <w:r>
        <w:rPr>
          <w:rFonts w:ascii="Arial" w:cs="Arial" w:eastAsia="Arial" w:hAnsi="Arial"/>
          <w:sz w:val="20"/>
          <w:szCs w:val="20"/>
          <w:color w:val="auto"/>
        </w:rPr>
        <w:t>“Restricted Stock Unit” means the right granted under Section 6 of the Plan to receive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(or the equivalent value in cash if the Committee so provides) in the future, which is subject to certain restrictions and to risk of forfeiture.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2.30 </w:t>
      </w:r>
      <w:r>
        <w:rPr>
          <w:rFonts w:ascii="Arial" w:cs="Arial" w:eastAsia="Arial" w:hAnsi="Arial"/>
          <w:sz w:val="20"/>
          <w:szCs w:val="20"/>
          <w:color w:val="auto"/>
        </w:rPr>
        <w:t>“SAR” means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4</w:t>
      </w:r>
    </w:p>
    <w:p>
      <w:pPr>
        <w:sectPr>
          <w:pgSz w:w="11900" w:h="16838" w:orient="portrait"/>
          <w:cols w:equalWidth="0" w:num="1">
            <w:col w:w="11240"/>
          </w:cols>
          <w:pgMar w:left="320" w:top="926" w:right="339" w:bottom="1440" w:gutter="0" w:footer="0" w:header="0"/>
        </w:sectPr>
      </w:pPr>
    </w:p>
    <w:bookmarkStart w:id="151" w:name="page152"/>
    <w:bookmarkEnd w:id="151"/>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2.31 </w:t>
      </w:r>
      <w:r>
        <w:rPr>
          <w:rFonts w:ascii="Arial" w:cs="Arial" w:eastAsia="Arial" w:hAnsi="Arial"/>
          <w:sz w:val="20"/>
          <w:szCs w:val="20"/>
          <w:color w:val="auto"/>
        </w:rPr>
        <w:t>“Shareholder Approval” means approval by the holders of a majority of the outstanding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present or represented and entitled to vote at a meeting called for such purposes.</w:t>
      </w:r>
    </w:p>
    <w:p>
      <w:pPr>
        <w:spacing w:after="0" w:line="1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2.32 </w:t>
      </w:r>
      <w:r>
        <w:rPr>
          <w:rFonts w:ascii="Arial" w:cs="Arial" w:eastAsia="Arial" w:hAnsi="Arial"/>
          <w:sz w:val="20"/>
          <w:szCs w:val="20"/>
          <w:color w:val="auto"/>
        </w:rPr>
        <w:t>“Stock Appreciation Right” means a right, granted under Section 4, to an amount equal to any increase in</w:t>
      </w:r>
      <w:r>
        <w:rPr>
          <w:rFonts w:ascii="Arial" w:cs="Arial" w:eastAsia="Arial" w:hAnsi="Arial"/>
          <w:sz w:val="20"/>
          <w:szCs w:val="20"/>
          <w:b w:val="1"/>
          <w:bCs w:val="1"/>
          <w:color w:val="auto"/>
        </w:rPr>
        <w:t xml:space="preserve"> </w:t>
      </w:r>
      <w:r>
        <w:rPr>
          <w:rFonts w:ascii="Arial" w:cs="Arial" w:eastAsia="Arial" w:hAnsi="Arial"/>
          <w:sz w:val="20"/>
          <w:szCs w:val="20"/>
          <w:color w:val="auto"/>
        </w:rPr>
        <w:t>the Fair Market Value of the Common Stock between the date on which the Stock Appreciation Right is granted and the date on which the right is exercised.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2.33 </w:t>
      </w:r>
      <w:r>
        <w:rPr>
          <w:rFonts w:ascii="Arial" w:cs="Arial" w:eastAsia="Arial" w:hAnsi="Arial"/>
          <w:sz w:val="20"/>
          <w:szCs w:val="20"/>
          <w:color w:val="auto"/>
        </w:rPr>
        <w:t>“Subsidiary” shall have the same meaning set forth in Section 424(f) of the Code.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ADMINISTRATION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b w:val="1"/>
          <w:bCs w:val="1"/>
          <w:color w:val="auto"/>
        </w:rPr>
        <w:t xml:space="preserve">Section 3.1 </w:t>
      </w:r>
      <w:r>
        <w:rPr>
          <w:rFonts w:ascii="Arial" w:cs="Arial" w:eastAsia="Arial" w:hAnsi="Arial"/>
          <w:sz w:val="20"/>
          <w:szCs w:val="20"/>
          <w:i w:val="1"/>
          <w:iCs w:val="1"/>
          <w:color w:val="auto"/>
        </w:rPr>
        <w:t>Administration of the Plan; the Committee</w:t>
      </w:r>
      <w:r>
        <w:rPr>
          <w:rFonts w:ascii="Arial" w:cs="Arial" w:eastAsia="Arial" w:hAnsi="Arial"/>
          <w:sz w:val="20"/>
          <w:szCs w:val="20"/>
          <w:color w:val="auto"/>
        </w:rPr>
        <w:t>. The Compensation Committee shall have overall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the Plan. The Board may designate another committee or committees (which may consist of one or more executive officers of the Company) to administer the Plan with respect to Non-Executive Officer Participants, subject to any terms or conditions established by the Committee. Hereafter, “Committee” shall mean the Compensation Committee, except when used in reference to Awards granted to Non-Executive Officer Participants, “Committee” shall mean any applicable committee designated by the Board.</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Unless otherwise provided in the bylaws of the Company or resolutions adopted from time to time by the Board establishing the Committee, the Board may from time to time remove members from, or add members to, the Committee. Vacancies on the Committee, however caused, shall be filled by the Board. The Committee shall hold meetings at such times and places as it may determine. A majority of the Committee shall constitute a quorum, and the acts of a majority of the members present at any meeting at which a quorum is present shall be the valid acts of the Committee. Any action which may be taken at a meeting of the Committee may be taken without a meeting if all the members of the Committee consent to the action in writing. Although the Committee is generally responsible for the administration of the Plan, the Board in its sole discretion may take any action under the Plan that would otherwise be the responsibility of the Committee, except as such action pertains to the administration of Awards to Non-Employee Directors.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Subject to the provisions of the Plan, the Committee shall have the authority to:</w:t>
      </w:r>
    </w:p>
    <w:p>
      <w:pPr>
        <w:spacing w:after="0" w:line="229" w:lineRule="exact"/>
        <w:rPr>
          <w:sz w:val="20"/>
          <w:szCs w:val="20"/>
          <w:color w:val="auto"/>
        </w:rPr>
      </w:pPr>
    </w:p>
    <w:p>
      <w:pPr>
        <w:ind w:left="1120" w:hanging="464"/>
        <w:spacing w:after="0"/>
        <w:tabs>
          <w:tab w:leader="none" w:pos="11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Select the Eligible Persons to participate in the Plan.</w:t>
      </w:r>
    </w:p>
    <w:p>
      <w:pPr>
        <w:spacing w:after="0" w:line="242" w:lineRule="exact"/>
        <w:rPr>
          <w:rFonts w:ascii="Arial" w:cs="Arial" w:eastAsia="Arial" w:hAnsi="Arial"/>
          <w:sz w:val="20"/>
          <w:szCs w:val="20"/>
          <w:color w:val="auto"/>
        </w:rPr>
      </w:pPr>
    </w:p>
    <w:p>
      <w:pPr>
        <w:ind w:left="1120" w:hanging="464"/>
        <w:spacing w:after="0"/>
        <w:tabs>
          <w:tab w:leader="none" w:pos="11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Determine the time or times when Awards will be granted.</w:t>
      </w:r>
    </w:p>
    <w:p>
      <w:pPr>
        <w:spacing w:after="0" w:line="229" w:lineRule="exact"/>
        <w:rPr>
          <w:rFonts w:ascii="Arial" w:cs="Arial" w:eastAsia="Arial" w:hAnsi="Arial"/>
          <w:sz w:val="20"/>
          <w:szCs w:val="20"/>
          <w:color w:val="auto"/>
        </w:rPr>
      </w:pPr>
    </w:p>
    <w:p>
      <w:pPr>
        <w:jc w:val="both"/>
        <w:ind w:left="660" w:hanging="4"/>
        <w:spacing w:after="0" w:line="237" w:lineRule="auto"/>
        <w:tabs>
          <w:tab w:leader="none" w:pos="1268"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Determine the form of Award, the number of shares of Common Stock subject to any Award, all the terms, conditions (including performance requirements), restrictions and/or limitations, if any, of an Award, including the time and conditions of exercise or vesting, and the terms of any Award Agreement, which may include the waiver or amendment of prior terms and conditions or acceleration of the vesting or exercise of an Award under certain circumstances determined by the Committee (subject to Section 9 of the Plan). However, nothing in this Section 3.1 shall be construed to permit the repricing of any outstanding Award in violation of Section 4.3.</w:t>
      </w:r>
    </w:p>
    <w:p>
      <w:pPr>
        <w:spacing w:after="0" w:line="216" w:lineRule="exact"/>
        <w:rPr>
          <w:rFonts w:ascii="Arial" w:cs="Arial" w:eastAsia="Arial" w:hAnsi="Arial"/>
          <w:sz w:val="20"/>
          <w:szCs w:val="20"/>
          <w:color w:val="auto"/>
        </w:rPr>
      </w:pPr>
    </w:p>
    <w:p>
      <w:pPr>
        <w:ind w:left="1120" w:hanging="464"/>
        <w:spacing w:after="0"/>
        <w:tabs>
          <w:tab w:leader="none" w:pos="11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Determine whether Awards will be granted singly or in combination.</w:t>
      </w:r>
    </w:p>
    <w:p>
      <w:pPr>
        <w:spacing w:after="0" w:line="229" w:lineRule="exact"/>
        <w:rPr>
          <w:rFonts w:ascii="Arial" w:cs="Arial" w:eastAsia="Arial" w:hAnsi="Arial"/>
          <w:sz w:val="20"/>
          <w:szCs w:val="20"/>
          <w:color w:val="auto"/>
        </w:rPr>
      </w:pPr>
    </w:p>
    <w:p>
      <w:pPr>
        <w:ind w:left="1220" w:hanging="564"/>
        <w:spacing w:after="0"/>
        <w:tabs>
          <w:tab w:leader="none" w:pos="1220" w:val="left"/>
        </w:tabs>
        <w:numPr>
          <w:ilvl w:val="0"/>
          <w:numId w:val="87"/>
        </w:numPr>
        <w:rPr>
          <w:rFonts w:ascii="Arial" w:cs="Arial" w:eastAsia="Arial" w:hAnsi="Arial"/>
          <w:sz w:val="20"/>
          <w:szCs w:val="20"/>
          <w:color w:val="auto"/>
        </w:rPr>
      </w:pPr>
      <w:r>
        <w:rPr>
          <w:rFonts w:ascii="Arial" w:cs="Arial" w:eastAsia="Arial" w:hAnsi="Arial"/>
          <w:sz w:val="20"/>
          <w:szCs w:val="20"/>
          <w:color w:val="auto"/>
        </w:rPr>
        <w:t>Determine whether, to what extent and under what circumstances Awards may be settled in cash or Common</w:t>
      </w:r>
    </w:p>
    <w:p>
      <w:pPr>
        <w:spacing w:after="0" w:line="4"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5</w:t>
      </w:r>
    </w:p>
    <w:p>
      <w:pPr>
        <w:sectPr>
          <w:pgSz w:w="11900" w:h="16838" w:orient="portrait"/>
          <w:cols w:equalWidth="0" w:num="1">
            <w:col w:w="11240"/>
          </w:cols>
          <w:pgMar w:left="320" w:top="926" w:right="339" w:bottom="1440" w:gutter="0" w:footer="0" w:header="0"/>
        </w:sectPr>
      </w:pPr>
    </w:p>
    <w:bookmarkStart w:id="152" w:name="page153"/>
    <w:bookmarkEnd w:id="152"/>
    <w:p>
      <w:pPr>
        <w:ind w:left="660" w:hanging="4"/>
        <w:spacing w:after="0" w:line="257" w:lineRule="auto"/>
        <w:tabs>
          <w:tab w:leader="none" w:pos="1092" w:val="left"/>
        </w:tabs>
        <w:numPr>
          <w:ilvl w:val="0"/>
          <w:numId w:val="88"/>
        </w:numPr>
        <w:rPr>
          <w:rFonts w:ascii="Arial" w:cs="Arial" w:eastAsia="Arial" w:hAnsi="Arial"/>
          <w:sz w:val="20"/>
          <w:szCs w:val="20"/>
          <w:color w:val="auto"/>
        </w:rPr>
      </w:pPr>
      <w:r>
        <w:rPr>
          <w:rFonts w:ascii="Arial" w:cs="Arial" w:eastAsia="Arial" w:hAnsi="Arial"/>
          <w:sz w:val="20"/>
          <w:szCs w:val="20"/>
          <w:color w:val="auto"/>
        </w:rPr>
        <w:t>Determine whether any conditions applicable to an Award have been met and whether an Award will be paid at the end of a Performance Period.</w:t>
      </w:r>
    </w:p>
    <w:p>
      <w:pPr>
        <w:spacing w:after="0" w:line="195" w:lineRule="exact"/>
        <w:rPr>
          <w:rFonts w:ascii="Arial" w:cs="Arial" w:eastAsia="Arial" w:hAnsi="Arial"/>
          <w:sz w:val="20"/>
          <w:szCs w:val="20"/>
          <w:color w:val="auto"/>
        </w:rPr>
      </w:pPr>
    </w:p>
    <w:p>
      <w:pPr>
        <w:ind w:left="660" w:hanging="4"/>
        <w:spacing w:after="0" w:line="257" w:lineRule="auto"/>
        <w:tabs>
          <w:tab w:leader="none" w:pos="1296" w:val="left"/>
        </w:tabs>
        <w:numPr>
          <w:ilvl w:val="0"/>
          <w:numId w:val="88"/>
        </w:numPr>
        <w:rPr>
          <w:rFonts w:ascii="Arial" w:cs="Arial" w:eastAsia="Arial" w:hAnsi="Arial"/>
          <w:sz w:val="20"/>
          <w:szCs w:val="20"/>
          <w:color w:val="auto"/>
        </w:rPr>
      </w:pPr>
      <w:r>
        <w:rPr>
          <w:rFonts w:ascii="Arial" w:cs="Arial" w:eastAsia="Arial" w:hAnsi="Arial"/>
          <w:sz w:val="20"/>
          <w:szCs w:val="20"/>
          <w:color w:val="auto"/>
        </w:rPr>
        <w:t>Employ attorneys, consultants, accountants and other advisors as deemed necessary or appropriate by the Committee.</w:t>
      </w:r>
    </w:p>
    <w:p>
      <w:pPr>
        <w:spacing w:after="0" w:line="195" w:lineRule="exact"/>
        <w:rPr>
          <w:rFonts w:ascii="Arial" w:cs="Arial" w:eastAsia="Arial" w:hAnsi="Arial"/>
          <w:sz w:val="20"/>
          <w:szCs w:val="20"/>
          <w:color w:val="auto"/>
        </w:rPr>
      </w:pPr>
    </w:p>
    <w:p>
      <w:pPr>
        <w:ind w:left="1120" w:hanging="464"/>
        <w:spacing w:after="0"/>
        <w:tabs>
          <w:tab w:leader="none" w:pos="112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Take any and all other action it deems necessary or advisable for the proper operation or administration of the Plan.</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3.2 </w:t>
      </w:r>
      <w:r>
        <w:rPr>
          <w:rFonts w:ascii="Arial" w:cs="Arial" w:eastAsia="Arial" w:hAnsi="Arial"/>
          <w:sz w:val="20"/>
          <w:szCs w:val="20"/>
          <w:i w:val="1"/>
          <w:iCs w:val="1"/>
          <w:color w:val="auto"/>
        </w:rPr>
        <w:t>Committee to Make Rules and Interpret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in its sole discretion shall have the authority,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provisions of the Plan, to establish, adopt, or revise such rules and regulations and to make all such determinations relating to the Plan as it may deem necessary or advisable for the administration of the Plan. The Committee’s interpretation of the Plan or any Awards granted pursuant hereto and all decisions and determinations by the Committee with respect to the Plan shall be final, binding, and conclusive on all parties, unless otherwise determined by the Board.</w:t>
      </w:r>
    </w:p>
    <w:p>
      <w:pPr>
        <w:spacing w:after="0" w:line="19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Section 3.3 </w:t>
      </w:r>
      <w:r>
        <w:rPr>
          <w:rFonts w:ascii="Arial" w:cs="Arial" w:eastAsia="Arial" w:hAnsi="Arial"/>
          <w:sz w:val="20"/>
          <w:szCs w:val="20"/>
          <w:i w:val="1"/>
          <w:iCs w:val="1"/>
          <w:color w:val="auto"/>
        </w:rPr>
        <w:t>Shares Subject to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adjustment as provided in Section 9.1, the aggregate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which may be issued pursuant to Awards under the Plan will not exceed 6,800,000 shares of Common Stock. Any of the authorized shares of Common Stock may be used for any of the types of Awards described in the Plan. No more than 6,800,000 shares of Common Stock may be issued pursuant to Incentive Stock Options. Common Stock delivered pursuant to an Award under the Plan may consist, in whole or in part, of authorized and unissued shares or treasury shares. The Committee, in its sole discretion, shall determine the manner in which fractional shares arising under this Plan are treated. Additional restrictions or adjustments with respect to shares subject to the Plan are as follows:</w:t>
      </w:r>
    </w:p>
    <w:p>
      <w:pPr>
        <w:spacing w:after="0" w:line="195" w:lineRule="exact"/>
        <w:rPr>
          <w:sz w:val="20"/>
          <w:szCs w:val="20"/>
          <w:color w:val="auto"/>
        </w:rPr>
      </w:pPr>
    </w:p>
    <w:p>
      <w:pPr>
        <w:jc w:val="both"/>
        <w:ind w:left="660" w:hanging="4"/>
        <w:spacing w:after="0" w:line="237" w:lineRule="auto"/>
        <w:tabs>
          <w:tab w:leader="none" w:pos="1176" w:val="left"/>
        </w:tabs>
        <w:numPr>
          <w:ilvl w:val="0"/>
          <w:numId w:val="89"/>
        </w:numPr>
        <w:rPr>
          <w:rFonts w:ascii="Arial" w:cs="Arial" w:eastAsia="Arial" w:hAnsi="Arial"/>
          <w:sz w:val="20"/>
          <w:szCs w:val="20"/>
          <w:color w:val="auto"/>
        </w:rPr>
      </w:pPr>
      <w:r>
        <w:rPr>
          <w:rFonts w:ascii="Arial" w:cs="Arial" w:eastAsia="Arial" w:hAnsi="Arial"/>
          <w:sz w:val="20"/>
          <w:szCs w:val="20"/>
          <w:color w:val="auto"/>
        </w:rPr>
        <w:t>Subject to adjustment as provided in Section 9.1, the aggregate number of shares of Common Stock pursuant to Awards granted to any Non-Employee Director in any calendar year under this Plan may not exceed a number of shares of Common Stock with a total value in excess of $500,000 (calculating the value of any Awards based on the grant date fair value for financial reporting purposes), provided that, for any calendar year in which a Non-Employee Director (i) first commences service on the Board, (ii) serves on a special committee of the Board, or (iii) serves as lead director or chairman of the Board, such limit shall be $750,000.</w:t>
      </w:r>
    </w:p>
    <w:p>
      <w:pPr>
        <w:spacing w:after="0" w:line="216" w:lineRule="exact"/>
        <w:rPr>
          <w:rFonts w:ascii="Arial" w:cs="Arial" w:eastAsia="Arial" w:hAnsi="Arial"/>
          <w:sz w:val="20"/>
          <w:szCs w:val="20"/>
          <w:color w:val="auto"/>
        </w:rPr>
      </w:pPr>
    </w:p>
    <w:p>
      <w:pPr>
        <w:jc w:val="both"/>
        <w:ind w:left="660" w:hanging="4"/>
        <w:spacing w:after="0" w:line="237" w:lineRule="auto"/>
        <w:tabs>
          <w:tab w:leader="none" w:pos="1163" w:val="left"/>
        </w:tabs>
        <w:numPr>
          <w:ilvl w:val="0"/>
          <w:numId w:val="89"/>
        </w:numPr>
        <w:rPr>
          <w:rFonts w:ascii="Arial" w:cs="Arial" w:eastAsia="Arial" w:hAnsi="Arial"/>
          <w:sz w:val="20"/>
          <w:szCs w:val="20"/>
          <w:color w:val="auto"/>
        </w:rPr>
      </w:pPr>
      <w:r>
        <w:rPr>
          <w:rFonts w:ascii="Arial" w:cs="Arial" w:eastAsia="Arial" w:hAnsi="Arial"/>
          <w:sz w:val="20"/>
          <w:szCs w:val="20"/>
          <w:color w:val="auto"/>
        </w:rPr>
        <w:t>If any shares of Common Stock subject to an Award are forfeited, an Award expires or an Award that by its terms may be cash settled is settled for cash (in whole or in part), the shares of Common Stock subject to such Award shall again be available for grant under the Plan; provided, if an Award is settled for cash and shares of Common Stock only the portion of the Award that is settled for cash shall again be available for grant under the Plan. In the event that withholding tax liabilities arising from an Award are satisfied by tendering of shares of Common Stock (either actually or by attestation) or by withholding of shares of Common Stock by the Company, the shares of Common Stock so tendered or withheld shall not be added to the shares of Common Stock available for Awards under the Plan. Notwithstanding anything to the contrary contained herein, the following shares of Common Stock shall not be added to the shares of Common Stock authorized for grant under Section 3.3: (i) shares of Common Stock tendered by the Participant or withheld by the Company in payment of the purchase price of an Option and (ii) shares of Common Stock subject to a Stock Appreciation Right that are not issued in connection with the stock settlement of the Stock Appreciation Right on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6</w:t>
      </w:r>
    </w:p>
    <w:p>
      <w:pPr>
        <w:sectPr>
          <w:pgSz w:w="11900" w:h="16838" w:orient="portrait"/>
          <w:cols w:equalWidth="0" w:num="1">
            <w:col w:w="11240"/>
          </w:cols>
          <w:pgMar w:left="320" w:top="928" w:right="33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b w:val="1"/>
          <w:bCs w:val="1"/>
          <w:color w:val="auto"/>
        </w:rPr>
        <w:t>4. STOCK OPTIONS AND STOCK APPRECIATION RIGHTS</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4.1 </w:t>
      </w:r>
      <w:r>
        <w:rPr>
          <w:rFonts w:ascii="Arial" w:cs="Arial" w:eastAsia="Arial" w:hAnsi="Arial"/>
          <w:sz w:val="20"/>
          <w:szCs w:val="20"/>
          <w:i w:val="1"/>
          <w:iCs w:val="1"/>
          <w:color w:val="auto"/>
        </w:rPr>
        <w:t>Grant of Options and SARs.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from time to time, subject to the provisions of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such other terms and conditions as it may determine, grant Nonqualified Stock Options and Stock Appreciation Rights (SARs) to Eligible Persons and Incentive Stock Options to Employees. Each grant of an Option or SAR shall be evidenced by an Award Agreement and shall contain such terms and conditions and be in such form as the Committee may from time to time approve, subject to the requirements of Section 4.2.</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4.2 </w:t>
      </w:r>
      <w:r>
        <w:rPr>
          <w:rFonts w:ascii="Arial" w:cs="Arial" w:eastAsia="Arial" w:hAnsi="Arial"/>
          <w:sz w:val="20"/>
          <w:szCs w:val="20"/>
          <w:i w:val="1"/>
          <w:iCs w:val="1"/>
          <w:color w:val="auto"/>
        </w:rPr>
        <w:t>Conditions of Options and SARs.</w:t>
      </w:r>
      <w:r>
        <w:rPr>
          <w:rFonts w:ascii="Arial" w:cs="Arial" w:eastAsia="Arial" w:hAnsi="Arial"/>
          <w:sz w:val="20"/>
          <w:szCs w:val="20"/>
          <w:b w:val="1"/>
          <w:bCs w:val="1"/>
          <w:color w:val="auto"/>
        </w:rPr>
        <w:t xml:space="preserve"> </w:t>
      </w:r>
      <w:r>
        <w:rPr>
          <w:rFonts w:ascii="Arial" w:cs="Arial" w:eastAsia="Arial" w:hAnsi="Arial"/>
          <w:sz w:val="20"/>
          <w:szCs w:val="20"/>
          <w:color w:val="auto"/>
        </w:rPr>
        <w:t>Each Option and SAR so granted shall be subject to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w:t>
      </w:r>
    </w:p>
    <w:p>
      <w:pPr>
        <w:spacing w:after="0" w:line="194" w:lineRule="exact"/>
        <w:rPr>
          <w:sz w:val="20"/>
          <w:szCs w:val="20"/>
          <w:color w:val="auto"/>
        </w:rPr>
      </w:pPr>
    </w:p>
    <w:p>
      <w:pPr>
        <w:jc w:val="both"/>
        <w:ind w:left="660" w:hanging="4"/>
        <w:spacing w:after="0" w:line="248" w:lineRule="auto"/>
        <w:tabs>
          <w:tab w:leader="none" w:pos="1162"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Exercise Price. </w:t>
      </w:r>
      <w:r>
        <w:rPr>
          <w:rFonts w:ascii="Arial" w:cs="Arial" w:eastAsia="Arial" w:hAnsi="Arial"/>
          <w:sz w:val="20"/>
          <w:szCs w:val="20"/>
          <w:color w:val="auto"/>
        </w:rPr>
        <w:t>As limited by Section 4.2(e) below, the Award Agreement for each Option and SAR shall state the</w:t>
      </w:r>
      <w:r>
        <w:rPr>
          <w:rFonts w:ascii="Arial" w:cs="Arial" w:eastAsia="Arial" w:hAnsi="Arial"/>
          <w:sz w:val="20"/>
          <w:szCs w:val="20"/>
          <w:i w:val="1"/>
          <w:iCs w:val="1"/>
          <w:color w:val="auto"/>
        </w:rPr>
        <w:t xml:space="preserve"> </w:t>
      </w:r>
      <w:r>
        <w:rPr>
          <w:rFonts w:ascii="Arial" w:cs="Arial" w:eastAsia="Arial" w:hAnsi="Arial"/>
          <w:sz w:val="20"/>
          <w:szCs w:val="20"/>
          <w:color w:val="auto"/>
        </w:rPr>
        <w:t>exercise price set by the Committee on the Date of Grant. No Option or SAR shall be granted at an exercise price which is less than the Fair Market Value of the Common Stock on the Date of Grant.</w:t>
      </w:r>
    </w:p>
    <w:p>
      <w:pPr>
        <w:spacing w:after="0" w:line="191" w:lineRule="exact"/>
        <w:rPr>
          <w:rFonts w:ascii="Arial" w:cs="Arial" w:eastAsia="Arial" w:hAnsi="Arial"/>
          <w:sz w:val="20"/>
          <w:szCs w:val="20"/>
          <w:color w:val="auto"/>
        </w:rPr>
      </w:pPr>
    </w:p>
    <w:p>
      <w:pPr>
        <w:jc w:val="both"/>
        <w:ind w:left="660" w:hanging="4"/>
        <w:spacing w:after="0" w:line="248" w:lineRule="auto"/>
        <w:tabs>
          <w:tab w:leader="none" w:pos="1135"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Exercise of Options and SARs. </w:t>
      </w:r>
      <w:r>
        <w:rPr>
          <w:rFonts w:ascii="Arial" w:cs="Arial" w:eastAsia="Arial" w:hAnsi="Arial"/>
          <w:sz w:val="20"/>
          <w:szCs w:val="20"/>
          <w:color w:val="auto"/>
        </w:rPr>
        <w:t>Options and SARs granted under the Plan shall be exercisable, in whole or in such</w:t>
      </w:r>
      <w:r>
        <w:rPr>
          <w:rFonts w:ascii="Arial" w:cs="Arial" w:eastAsia="Arial" w:hAnsi="Arial"/>
          <w:sz w:val="20"/>
          <w:szCs w:val="20"/>
          <w:i w:val="1"/>
          <w:iCs w:val="1"/>
          <w:color w:val="auto"/>
        </w:rPr>
        <w:t xml:space="preserve"> </w:t>
      </w:r>
      <w:r>
        <w:rPr>
          <w:rFonts w:ascii="Arial" w:cs="Arial" w:eastAsia="Arial" w:hAnsi="Arial"/>
          <w:sz w:val="20"/>
          <w:szCs w:val="20"/>
          <w:color w:val="auto"/>
        </w:rPr>
        <w:t>installments and at such times, and shall expire at such time, as shall be provided by the Committee in the Award Agreement.</w:t>
      </w:r>
    </w:p>
    <w:p>
      <w:pPr>
        <w:spacing w:after="0" w:line="191" w:lineRule="exact"/>
        <w:rPr>
          <w:rFonts w:ascii="Arial" w:cs="Arial" w:eastAsia="Arial" w:hAnsi="Arial"/>
          <w:sz w:val="20"/>
          <w:szCs w:val="20"/>
          <w:color w:val="auto"/>
        </w:rPr>
      </w:pPr>
    </w:p>
    <w:p>
      <w:pPr>
        <w:jc w:val="both"/>
        <w:ind w:left="660" w:hanging="4"/>
        <w:spacing w:after="0" w:line="245" w:lineRule="auto"/>
        <w:tabs>
          <w:tab w:leader="none" w:pos="1124"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Form of Payment. </w:t>
      </w:r>
      <w:r>
        <w:rPr>
          <w:rFonts w:ascii="Arial" w:cs="Arial" w:eastAsia="Arial" w:hAnsi="Arial"/>
          <w:sz w:val="20"/>
          <w:szCs w:val="20"/>
          <w:color w:val="auto"/>
        </w:rPr>
        <w:t>The payment of the exercise price of an Option by the Participant shall be made in cash, shares</w:t>
      </w:r>
      <w:r>
        <w:rPr>
          <w:rFonts w:ascii="Arial" w:cs="Arial" w:eastAsia="Arial" w:hAnsi="Arial"/>
          <w:sz w:val="20"/>
          <w:szCs w:val="20"/>
          <w:i w:val="1"/>
          <w:iCs w:val="1"/>
          <w:color w:val="auto"/>
        </w:rPr>
        <w:t xml:space="preserve"> </w:t>
      </w:r>
      <w:r>
        <w:rPr>
          <w:rFonts w:ascii="Arial" w:cs="Arial" w:eastAsia="Arial" w:hAnsi="Arial"/>
          <w:sz w:val="20"/>
          <w:szCs w:val="20"/>
          <w:color w:val="auto"/>
        </w:rPr>
        <w:t>of Common Stock, a combination thereof or in such other manner as the Committee may specify in the applicable Award Agreement. The payment of the Appreciation associated with the exercise of a SAR shall be made by the Company in shares of Common Stock or cash as determined by the Committee.</w:t>
      </w:r>
    </w:p>
    <w:p>
      <w:pPr>
        <w:spacing w:after="0" w:line="194" w:lineRule="exact"/>
        <w:rPr>
          <w:rFonts w:ascii="Arial" w:cs="Arial" w:eastAsia="Arial" w:hAnsi="Arial"/>
          <w:sz w:val="20"/>
          <w:szCs w:val="20"/>
          <w:color w:val="auto"/>
        </w:rPr>
      </w:pPr>
    </w:p>
    <w:p>
      <w:pPr>
        <w:jc w:val="both"/>
        <w:ind w:left="660" w:hanging="4"/>
        <w:spacing w:after="0" w:line="248" w:lineRule="auto"/>
        <w:tabs>
          <w:tab w:leader="none" w:pos="1162"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Term of Option or SAR. </w:t>
      </w:r>
      <w:r>
        <w:rPr>
          <w:rFonts w:ascii="Arial" w:cs="Arial" w:eastAsia="Arial" w:hAnsi="Arial"/>
          <w:sz w:val="20"/>
          <w:szCs w:val="20"/>
          <w:color w:val="auto"/>
        </w:rPr>
        <w:t>The term of an Option or SAR shall be determined by the Committee and specified in the</w:t>
      </w:r>
      <w:r>
        <w:rPr>
          <w:rFonts w:ascii="Arial" w:cs="Arial" w:eastAsia="Arial" w:hAnsi="Arial"/>
          <w:sz w:val="20"/>
          <w:szCs w:val="20"/>
          <w:i w:val="1"/>
          <w:iCs w:val="1"/>
          <w:color w:val="auto"/>
        </w:rPr>
        <w:t xml:space="preserve"> </w:t>
      </w:r>
      <w:r>
        <w:rPr>
          <w:rFonts w:ascii="Arial" w:cs="Arial" w:eastAsia="Arial" w:hAnsi="Arial"/>
          <w:sz w:val="20"/>
          <w:szCs w:val="20"/>
          <w:color w:val="auto"/>
        </w:rPr>
        <w:t>applicable Award Agreement, except that no Option or SAR shall be exercisable after the expiration of ten years from the Date of Grant.</w:t>
      </w:r>
    </w:p>
    <w:p>
      <w:pPr>
        <w:spacing w:after="0" w:line="191" w:lineRule="exact"/>
        <w:rPr>
          <w:rFonts w:ascii="Arial" w:cs="Arial" w:eastAsia="Arial" w:hAnsi="Arial"/>
          <w:sz w:val="20"/>
          <w:szCs w:val="20"/>
          <w:color w:val="auto"/>
        </w:rPr>
      </w:pPr>
    </w:p>
    <w:p>
      <w:pPr>
        <w:jc w:val="both"/>
        <w:ind w:left="660" w:hanging="4"/>
        <w:spacing w:after="0" w:line="234" w:lineRule="auto"/>
        <w:tabs>
          <w:tab w:leader="none" w:pos="1122" w:val="left"/>
        </w:tabs>
        <w:numPr>
          <w:ilvl w:val="0"/>
          <w:numId w:val="90"/>
        </w:numPr>
        <w:rPr>
          <w:rFonts w:ascii="Arial" w:cs="Arial" w:eastAsia="Arial" w:hAnsi="Arial"/>
          <w:sz w:val="20"/>
          <w:szCs w:val="20"/>
          <w:color w:val="auto"/>
        </w:rPr>
      </w:pPr>
      <w:r>
        <w:rPr>
          <w:rFonts w:ascii="Arial" w:cs="Arial" w:eastAsia="Arial" w:hAnsi="Arial"/>
          <w:sz w:val="20"/>
          <w:szCs w:val="20"/>
          <w:i w:val="1"/>
          <w:iCs w:val="1"/>
          <w:color w:val="auto"/>
        </w:rPr>
        <w:t xml:space="preserve">Special Restrictions Relating to Incentive Stock Options. </w:t>
      </w:r>
      <w:r>
        <w:rPr>
          <w:rFonts w:ascii="Arial" w:cs="Arial" w:eastAsia="Arial" w:hAnsi="Arial"/>
          <w:sz w:val="20"/>
          <w:szCs w:val="20"/>
          <w:color w:val="auto"/>
        </w:rPr>
        <w:t>Options issued in the form of Incentive Stock Options shall</w:t>
      </w:r>
      <w:r>
        <w:rPr>
          <w:rFonts w:ascii="Arial" w:cs="Arial" w:eastAsia="Arial" w:hAnsi="Arial"/>
          <w:sz w:val="20"/>
          <w:szCs w:val="20"/>
          <w:i w:val="1"/>
          <w:iCs w:val="1"/>
          <w:color w:val="auto"/>
        </w:rPr>
        <w:t xml:space="preserve"> </w:t>
      </w:r>
      <w:r>
        <w:rPr>
          <w:rFonts w:ascii="Arial" w:cs="Arial" w:eastAsia="Arial" w:hAnsi="Arial"/>
          <w:sz w:val="20"/>
          <w:szCs w:val="20"/>
          <w:color w:val="auto"/>
        </w:rPr>
        <w:t>only be granted to Employees of the Company or a Subsidiary and not to Employees of an Affiliated Entity unless such entity is classified as a “disregarded entity” of the Company or the applicable Subsidiary under the Code. In addition to being subject to all applicable terms, conditions, restrictions and/or limitations established by the Committee, Options issued in the form of Incentive Stock Options shall comply with the requirements of Section 422 of the Code (or any successor Section thereto), including, without limitation, the requirement that the exercise price of an Incentive Stock Option not be less than 100% of the Fair Market Value of the Common Stock on the Date of Grant, the requirement that each Incentive Stock Option, unless sooner exercised, terminated or canceled, expire no later than ten years from its Date of Grant, and the requirement that the aggregate Fair Market Value (determined on the Date of Grant) of the Common Stock with respect to which Incentive Stock Options are exercisable for the first time by a Participant during any calendar year (under this Plan or any other plan of the Company or any Subsidiary) not exceed $100,000. Incentive Stock Options which are in excess of the applicable $100,000 limitation will be automatically recharacterized as Nonqualified Stock Options. No Incentive Stock Options shall be granted to any Employee if, immediately before the grant of an Incentive Stock Option, such Employee owns more than 10% of the total combined voting power of all classes of stock of the Company or its Subsidiaries (as determined in accordance with the stock attribution rules contained in Sections 422 and 424(d) of the Code) unless the exercise price is at least 110% of the Fair Market Value of the Common Stock subject to the Incentive Stock Option, and such Incentive Stock Option by its terms is exercisable no more than five years from the date such Incentive Stock Option is granted.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540"/>
        <w:spacing w:after="0"/>
        <w:rPr>
          <w:sz w:val="20"/>
          <w:szCs w:val="20"/>
          <w:color w:val="auto"/>
        </w:rPr>
      </w:pPr>
      <w:r>
        <w:rPr>
          <w:rFonts w:ascii="Arial" w:cs="Arial" w:eastAsia="Arial" w:hAnsi="Arial"/>
          <w:sz w:val="21"/>
          <w:szCs w:val="21"/>
          <w:b w:val="1"/>
          <w:bCs w:val="1"/>
          <w:color w:val="auto"/>
        </w:rPr>
        <w:t xml:space="preserve">EXPAND ENERGY CORPORATION </w:t>
      </w:r>
      <w:r>
        <w:rPr>
          <w:rFonts w:ascii="Arial" w:cs="Arial" w:eastAsia="Arial" w:hAnsi="Arial"/>
          <w:sz w:val="21"/>
          <w:szCs w:val="21"/>
          <w:color w:val="auto"/>
        </w:rPr>
        <w:t>7</w:t>
      </w:r>
    </w:p>
    <w:p>
      <w:pPr>
        <w:sectPr>
          <w:pgSz w:w="11900" w:h="16838" w:orient="portrait"/>
          <w:cols w:equalWidth="0" w:num="1">
            <w:col w:w="11240"/>
          </w:cols>
          <w:pgMar w:left="320" w:top="940" w:right="339" w:bottom="1440" w:gutter="0" w:footer="0" w:header="0"/>
        </w:sectPr>
      </w:pPr>
    </w:p>
    <w:bookmarkStart w:id="154" w:name="page155"/>
    <w:bookmarkEnd w:id="154"/>
    <w:p>
      <w:pPr>
        <w:jc w:val="both"/>
        <w:ind w:left="660" w:hanging="4"/>
        <w:spacing w:after="0" w:line="248" w:lineRule="auto"/>
        <w:tabs>
          <w:tab w:leader="none" w:pos="1134" w:val="left"/>
        </w:tabs>
        <w:numPr>
          <w:ilvl w:val="0"/>
          <w:numId w:val="91"/>
        </w:numPr>
        <w:rPr>
          <w:rFonts w:ascii="Arial" w:cs="Arial" w:eastAsia="Arial" w:hAnsi="Arial"/>
          <w:sz w:val="20"/>
          <w:szCs w:val="20"/>
          <w:color w:val="auto"/>
        </w:rPr>
      </w:pPr>
      <w:r>
        <w:rPr>
          <w:rFonts w:ascii="Arial" w:cs="Arial" w:eastAsia="Arial" w:hAnsi="Arial"/>
          <w:sz w:val="20"/>
          <w:szCs w:val="20"/>
          <w:i w:val="1"/>
          <w:iCs w:val="1"/>
          <w:color w:val="auto"/>
        </w:rPr>
        <w:t xml:space="preserve">Shareholder Rights. </w:t>
      </w:r>
      <w:r>
        <w:rPr>
          <w:rFonts w:ascii="Arial" w:cs="Arial" w:eastAsia="Arial" w:hAnsi="Arial"/>
          <w:sz w:val="20"/>
          <w:szCs w:val="20"/>
          <w:color w:val="auto"/>
        </w:rPr>
        <w:t>No Participant shall have any rights as a shareholder with respect to any share of Common</w:t>
      </w:r>
      <w:r>
        <w:rPr>
          <w:rFonts w:ascii="Arial" w:cs="Arial" w:eastAsia="Arial" w:hAnsi="Arial"/>
          <w:sz w:val="20"/>
          <w:szCs w:val="20"/>
          <w:i w:val="1"/>
          <w:iCs w:val="1"/>
          <w:color w:val="auto"/>
        </w:rPr>
        <w:t xml:space="preserve"> </w:t>
      </w:r>
      <w:r>
        <w:rPr>
          <w:rFonts w:ascii="Arial" w:cs="Arial" w:eastAsia="Arial" w:hAnsi="Arial"/>
          <w:sz w:val="20"/>
          <w:szCs w:val="20"/>
          <w:color w:val="auto"/>
        </w:rPr>
        <w:t>Stock subject to an Option or SAR prior to the purchase or receipt of such share of Common Stock by exercise of the Option or SAR. In addition, no Option or SAR granted under the Plan shall include any dividend equivalents.</w:t>
      </w:r>
    </w:p>
    <w:p>
      <w:pPr>
        <w:spacing w:after="0" w:line="19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4.3 </w:t>
      </w:r>
      <w:r>
        <w:rPr>
          <w:rFonts w:ascii="Arial" w:cs="Arial" w:eastAsia="Arial" w:hAnsi="Arial"/>
          <w:sz w:val="20"/>
          <w:szCs w:val="20"/>
          <w:i w:val="1"/>
          <w:iCs w:val="1"/>
          <w:color w:val="auto"/>
        </w:rPr>
        <w:t>No Repricing.</w:t>
      </w:r>
      <w:r>
        <w:rPr>
          <w:rFonts w:ascii="Arial" w:cs="Arial" w:eastAsia="Arial" w:hAnsi="Arial"/>
          <w:sz w:val="20"/>
          <w:szCs w:val="20"/>
          <w:b w:val="1"/>
          <w:bCs w:val="1"/>
          <w:color w:val="auto"/>
        </w:rPr>
        <w:t xml:space="preserve"> </w:t>
      </w:r>
      <w:r>
        <w:rPr>
          <w:rFonts w:ascii="Arial" w:cs="Arial" w:eastAsia="Arial" w:hAnsi="Arial"/>
          <w:sz w:val="20"/>
          <w:szCs w:val="20"/>
          <w:color w:val="auto"/>
        </w:rPr>
        <w:t>Except for adjustments made pursuant to Section 9.1, in no event will the Committee,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first obtaining Shareholder Approval, (i) decrease the exercise price of an Option or SAR after the Date of Grant; (ii) accept for surrender to the Company any outstanding Option or SAR granted under the Plan as consideration for the grant of a new Option or SAR with a lower exercise price; or (iii) repurchase from Participants any outstanding Options or SARs that have an exercise price per share higher than the then current Fair Market Value of a share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RESTRICTED STOCK AWARDS</w:t>
      </w:r>
    </w:p>
    <w:p>
      <w:pPr>
        <w:spacing w:after="0" w:line="2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b w:val="1"/>
          <w:bCs w:val="1"/>
          <w:color w:val="auto"/>
        </w:rPr>
        <w:t xml:space="preserve">Section 5.1 </w:t>
      </w:r>
      <w:r>
        <w:rPr>
          <w:rFonts w:ascii="Arial" w:cs="Arial" w:eastAsia="Arial" w:hAnsi="Arial"/>
          <w:sz w:val="20"/>
          <w:szCs w:val="20"/>
          <w:i w:val="1"/>
          <w:iCs w:val="1"/>
          <w:color w:val="auto"/>
        </w:rPr>
        <w:t>Grant of Restricted Stock.</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from time to time, subject to the provisions of the Plan and</w:t>
      </w:r>
      <w:r>
        <w:rPr>
          <w:rFonts w:ascii="Arial" w:cs="Arial" w:eastAsia="Arial" w:hAnsi="Arial"/>
          <w:sz w:val="20"/>
          <w:szCs w:val="20"/>
          <w:b w:val="1"/>
          <w:bCs w:val="1"/>
          <w:color w:val="auto"/>
        </w:rPr>
        <w:t xml:space="preserve"> </w:t>
      </w:r>
      <w:r>
        <w:rPr>
          <w:rFonts w:ascii="Arial" w:cs="Arial" w:eastAsia="Arial" w:hAnsi="Arial"/>
          <w:sz w:val="20"/>
          <w:szCs w:val="20"/>
          <w:color w:val="auto"/>
        </w:rPr>
        <w:t>such other terms and conditions as it may determine, grant Restricted Stock to any Eligible Person. Restricted Stock shall be awarded in such number, for such purchase price (if any) and at such times during the term of the Plan as the Committee shall determine. Each grant of Restricted Stock shall be evidenced by an Award Agreement and shall contain such terms and conditions and be in such form as the Committee may from time to time approve, subject to the requirements of Section 5.2. Restricted Stock issued pursuant to a Restricted Stock Award may be evidenced in such manner as the Committee deems appropriate, including, without limitation, a book-entry registration or issuance of a stock certificate or certificates into escrow until the restrictions associated with such Award are satisfied.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Section 5.2 </w:t>
      </w:r>
      <w:r>
        <w:rPr>
          <w:rFonts w:ascii="Arial" w:cs="Arial" w:eastAsia="Arial" w:hAnsi="Arial"/>
          <w:sz w:val="20"/>
          <w:szCs w:val="20"/>
          <w:i w:val="1"/>
          <w:iCs w:val="1"/>
          <w:color w:val="auto"/>
        </w:rPr>
        <w:t>Conditions of Restricted Stock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Restricted Stock shall be subject to the following:</w:t>
      </w:r>
    </w:p>
    <w:p>
      <w:pPr>
        <w:spacing w:after="0" w:line="231" w:lineRule="exact"/>
        <w:rPr>
          <w:sz w:val="20"/>
          <w:szCs w:val="20"/>
          <w:color w:val="auto"/>
        </w:rPr>
      </w:pPr>
    </w:p>
    <w:p>
      <w:pPr>
        <w:jc w:val="both"/>
        <w:ind w:left="660" w:hanging="4"/>
        <w:spacing w:after="0" w:line="235" w:lineRule="auto"/>
        <w:tabs>
          <w:tab w:leader="none" w:pos="1149"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 xml:space="preserve">Restriction Period. </w:t>
      </w:r>
      <w:r>
        <w:rPr>
          <w:rFonts w:ascii="Arial" w:cs="Arial" w:eastAsia="Arial" w:hAnsi="Arial"/>
          <w:sz w:val="20"/>
          <w:szCs w:val="20"/>
          <w:color w:val="auto"/>
        </w:rPr>
        <w:t>Each Restricted Stock Award shall require the holder to remain in the employment or otherwise</w:t>
      </w:r>
      <w:r>
        <w:rPr>
          <w:rFonts w:ascii="Arial" w:cs="Arial" w:eastAsia="Arial" w:hAnsi="Arial"/>
          <w:sz w:val="20"/>
          <w:szCs w:val="20"/>
          <w:i w:val="1"/>
          <w:iCs w:val="1"/>
          <w:color w:val="auto"/>
        </w:rPr>
        <w:t xml:space="preserve"> </w:t>
      </w:r>
      <w:r>
        <w:rPr>
          <w:rFonts w:ascii="Arial" w:cs="Arial" w:eastAsia="Arial" w:hAnsi="Arial"/>
          <w:sz w:val="20"/>
          <w:szCs w:val="20"/>
          <w:color w:val="auto"/>
        </w:rPr>
        <w:t>be classified as an Eligible Person (or in the case of a Non-Employee Director, remain a director of the Company, a Subsidiary, or an Affiliated Entity) for a prescribed period (the “Restriction Period”). The Committee shall determine the Restriction Period or Periods that shall apply to the shares of Common Stock covered by each Award or portion thereof. In addition to any time vesting conditions determined by the Committee, Restricted Stock may be subject to the achievement by the Company of specified performance measures or other individual criteria as determined by the Committee. At the end of the Restriction Period, assuming the fulfillment of any other specified vesting conditions, the restrictions imposed by the Committee shall lapse with respect to the shares of Common Stock covered by the Award or portion thereof.</w:t>
      </w:r>
    </w:p>
    <w:p>
      <w:pPr>
        <w:spacing w:after="0" w:line="214" w:lineRule="exact"/>
        <w:rPr>
          <w:rFonts w:ascii="Arial" w:cs="Arial" w:eastAsia="Arial" w:hAnsi="Arial"/>
          <w:sz w:val="20"/>
          <w:szCs w:val="20"/>
          <w:color w:val="auto"/>
        </w:rPr>
      </w:pPr>
    </w:p>
    <w:p>
      <w:pPr>
        <w:jc w:val="both"/>
        <w:ind w:left="660" w:hanging="4"/>
        <w:spacing w:after="0" w:line="248" w:lineRule="auto"/>
        <w:tabs>
          <w:tab w:leader="none" w:pos="1176"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 xml:space="preserve">Forfeiture. </w:t>
      </w:r>
      <w:r>
        <w:rPr>
          <w:rFonts w:ascii="Arial" w:cs="Arial" w:eastAsia="Arial" w:hAnsi="Arial"/>
          <w:sz w:val="20"/>
          <w:szCs w:val="20"/>
          <w:color w:val="auto"/>
        </w:rPr>
        <w:t>Except as otherwise determined by the Committee, upon termination of service or employment during</w:t>
      </w:r>
      <w:r>
        <w:rPr>
          <w:rFonts w:ascii="Arial" w:cs="Arial" w:eastAsia="Arial" w:hAnsi="Arial"/>
          <w:sz w:val="20"/>
          <w:szCs w:val="20"/>
          <w:i w:val="1"/>
          <w:iCs w:val="1"/>
          <w:color w:val="auto"/>
        </w:rPr>
        <w:t xml:space="preserve"> </w:t>
      </w:r>
      <w:r>
        <w:rPr>
          <w:rFonts w:ascii="Arial" w:cs="Arial" w:eastAsia="Arial" w:hAnsi="Arial"/>
          <w:sz w:val="20"/>
          <w:szCs w:val="20"/>
          <w:color w:val="auto"/>
        </w:rPr>
        <w:t>the Restriction Period, all shares of Restricted Stock still subject to forfeiture shall be forfeited by the Participant and any purchase price paid by the Participant shall be returned to such Participant.</w:t>
      </w:r>
    </w:p>
    <w:p>
      <w:pPr>
        <w:spacing w:after="0" w:line="191" w:lineRule="exact"/>
        <w:rPr>
          <w:rFonts w:ascii="Arial" w:cs="Arial" w:eastAsia="Arial" w:hAnsi="Arial"/>
          <w:sz w:val="20"/>
          <w:szCs w:val="20"/>
          <w:color w:val="auto"/>
        </w:rPr>
      </w:pPr>
    </w:p>
    <w:p>
      <w:pPr>
        <w:jc w:val="both"/>
        <w:ind w:left="660" w:hanging="4"/>
        <w:spacing w:after="0"/>
        <w:tabs>
          <w:tab w:leader="none" w:pos="1165" w:val="left"/>
        </w:tabs>
        <w:numPr>
          <w:ilvl w:val="0"/>
          <w:numId w:val="92"/>
        </w:numPr>
        <w:rPr>
          <w:rFonts w:ascii="Arial" w:cs="Arial" w:eastAsia="Arial" w:hAnsi="Arial"/>
          <w:sz w:val="20"/>
          <w:szCs w:val="20"/>
          <w:color w:val="auto"/>
        </w:rPr>
      </w:pPr>
      <w:r>
        <w:rPr>
          <w:rFonts w:ascii="Arial" w:cs="Arial" w:eastAsia="Arial" w:hAnsi="Arial"/>
          <w:sz w:val="20"/>
          <w:szCs w:val="20"/>
          <w:i w:val="1"/>
          <w:iCs w:val="1"/>
          <w:color w:val="auto"/>
        </w:rPr>
        <w:t xml:space="preserve">Shareholder Rights. </w:t>
      </w:r>
      <w:r>
        <w:rPr>
          <w:rFonts w:ascii="Arial" w:cs="Arial" w:eastAsia="Arial" w:hAnsi="Arial"/>
          <w:sz w:val="20"/>
          <w:szCs w:val="20"/>
          <w:color w:val="auto"/>
        </w:rPr>
        <w:t>During any Restriction Period, the Committee may, in its discretion, grant to or withhold from</w:t>
      </w:r>
      <w:r>
        <w:rPr>
          <w:rFonts w:ascii="Arial" w:cs="Arial" w:eastAsia="Arial" w:hAnsi="Arial"/>
          <w:sz w:val="20"/>
          <w:szCs w:val="20"/>
          <w:i w:val="1"/>
          <w:iCs w:val="1"/>
          <w:color w:val="auto"/>
        </w:rPr>
        <w:t xml:space="preserve"> </w:t>
      </w:r>
      <w:r>
        <w:rPr>
          <w:rFonts w:ascii="Arial" w:cs="Arial" w:eastAsia="Arial" w:hAnsi="Arial"/>
          <w:sz w:val="20"/>
          <w:szCs w:val="20"/>
          <w:color w:val="auto"/>
        </w:rPr>
        <w:t>the holder of Restricted Stock all or any of the rights of a shareholder with respect to the shares, including, but not by way of limitation, the right to vote such shares or to receive dividends. If any dividends or other distributions are paid in shares of Common Stock and distributed to the holder of Restricted Stock, all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8</w:t>
      </w:r>
    </w:p>
    <w:p>
      <w:pPr>
        <w:sectPr>
          <w:pgSz w:w="11900" w:h="16838" w:orient="portrait"/>
          <w:cols w:equalWidth="0" w:num="1">
            <w:col w:w="11240"/>
          </w:cols>
          <w:pgMar w:left="320" w:top="1171" w:right="339" w:bottom="1440" w:gutter="0" w:footer="0" w:header="0"/>
        </w:sectPr>
      </w:pPr>
    </w:p>
    <w:bookmarkStart w:id="155" w:name="page156"/>
    <w:bookmarkEnd w:id="155"/>
    <w:p>
      <w:pPr>
        <w:ind w:left="660" w:right="20"/>
        <w:spacing w:after="0" w:line="257" w:lineRule="auto"/>
        <w:rPr>
          <w:sz w:val="20"/>
          <w:szCs w:val="20"/>
          <w:color w:val="auto"/>
        </w:rPr>
      </w:pPr>
      <w:r>
        <w:rPr>
          <w:rFonts w:ascii="Arial" w:cs="Arial" w:eastAsia="Arial" w:hAnsi="Arial"/>
          <w:sz w:val="20"/>
          <w:szCs w:val="20"/>
          <w:color w:val="auto"/>
        </w:rPr>
        <w:t>such shares shall be subject to the same restrictions on transferability as the shares of Common Stock subject to the Award with respect to which they were paid.</w:t>
      </w:r>
    </w:p>
    <w:p>
      <w:pPr>
        <w:spacing w:after="0" w:line="196" w:lineRule="exact"/>
        <w:rPr>
          <w:sz w:val="20"/>
          <w:szCs w:val="20"/>
          <w:color w:val="auto"/>
        </w:rPr>
      </w:pPr>
    </w:p>
    <w:p>
      <w:pPr>
        <w:jc w:val="both"/>
        <w:ind w:left="660" w:hanging="4"/>
        <w:spacing w:after="0" w:line="248" w:lineRule="auto"/>
        <w:tabs>
          <w:tab w:leader="none" w:pos="1230" w:val="left"/>
        </w:tabs>
        <w:numPr>
          <w:ilvl w:val="1"/>
          <w:numId w:val="93"/>
        </w:numPr>
        <w:rPr>
          <w:rFonts w:ascii="Arial" w:cs="Arial" w:eastAsia="Arial" w:hAnsi="Arial"/>
          <w:sz w:val="20"/>
          <w:szCs w:val="20"/>
          <w:color w:val="auto"/>
        </w:rPr>
      </w:pPr>
      <w:r>
        <w:rPr>
          <w:rFonts w:ascii="Arial" w:cs="Arial" w:eastAsia="Arial" w:hAnsi="Arial"/>
          <w:sz w:val="20"/>
          <w:szCs w:val="20"/>
          <w:i w:val="1"/>
          <w:iCs w:val="1"/>
          <w:color w:val="auto"/>
        </w:rPr>
        <w:t xml:space="preserve">Minimum Vesting Condition. </w:t>
      </w:r>
      <w:r>
        <w:rPr>
          <w:rFonts w:ascii="Arial" w:cs="Arial" w:eastAsia="Arial" w:hAnsi="Arial"/>
          <w:sz w:val="20"/>
          <w:szCs w:val="20"/>
          <w:color w:val="auto"/>
        </w:rPr>
        <w:t>The minimum Restriction Period applicable to any Restricted Stock granted to an</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that is not subject to performance criteria restricting the vesting of the Award shall be one year from the Date of Grant (subject to the provisions of Article 9).</w:t>
      </w:r>
    </w:p>
    <w:p>
      <w:pPr>
        <w:spacing w:after="0" w:line="203" w:lineRule="exact"/>
        <w:rPr>
          <w:rFonts w:ascii="Arial" w:cs="Arial" w:eastAsia="Arial" w:hAnsi="Arial"/>
          <w:sz w:val="20"/>
          <w:szCs w:val="20"/>
          <w:color w:val="auto"/>
        </w:rPr>
      </w:pPr>
    </w:p>
    <w:p>
      <w:pPr>
        <w:ind w:left="240" w:hanging="232"/>
        <w:spacing w:after="0"/>
        <w:tabs>
          <w:tab w:leader="none" w:pos="24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RESTRICTED STOCK UNITS</w:t>
      </w:r>
    </w:p>
    <w:p>
      <w:pPr>
        <w:spacing w:after="0" w:line="2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0"/>
          <w:szCs w:val="20"/>
          <w:b w:val="1"/>
          <w:bCs w:val="1"/>
          <w:color w:val="auto"/>
        </w:rPr>
        <w:t xml:space="preserve">Section 6.1 </w:t>
      </w:r>
      <w:r>
        <w:rPr>
          <w:rFonts w:ascii="Arial" w:cs="Arial" w:eastAsia="Arial" w:hAnsi="Arial"/>
          <w:sz w:val="20"/>
          <w:szCs w:val="20"/>
          <w:i w:val="1"/>
          <w:iCs w:val="1"/>
          <w:color w:val="auto"/>
        </w:rPr>
        <w:t>Grant of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from time to time, subject to the provisions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 such other terms and conditions as it may determine, grant Restricted Stock Units to any Eligible Person. Restricted Stock Units shall be awarded in such number and at such times during the term of the Plan as the Committee shall determine. Each grant of Restricted Stock Units shall be evidenced by an Award Agreement and shall contain such terms and conditions and be in such form as the Committee may from time to time approve, subject to the requirements of Section 6.2.</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b w:val="1"/>
          <w:bCs w:val="1"/>
          <w:color w:val="auto"/>
        </w:rPr>
        <w:t xml:space="preserve">Section 6.2 </w:t>
      </w:r>
      <w:r>
        <w:rPr>
          <w:rFonts w:ascii="Arial" w:cs="Arial" w:eastAsia="Arial" w:hAnsi="Arial"/>
          <w:sz w:val="20"/>
          <w:szCs w:val="20"/>
          <w:i w:val="1"/>
          <w:iCs w:val="1"/>
          <w:color w:val="auto"/>
        </w:rPr>
        <w:t>Conditions of Restricted Stock Unit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Restricted Stock Units shall be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following:</w:t>
      </w:r>
    </w:p>
    <w:p>
      <w:pPr>
        <w:spacing w:after="0" w:line="181" w:lineRule="exact"/>
        <w:rPr>
          <w:sz w:val="20"/>
          <w:szCs w:val="20"/>
          <w:color w:val="auto"/>
        </w:rPr>
      </w:pPr>
    </w:p>
    <w:p>
      <w:pPr>
        <w:jc w:val="both"/>
        <w:ind w:left="660" w:hanging="4"/>
        <w:spacing w:after="0" w:line="243" w:lineRule="auto"/>
        <w:tabs>
          <w:tab w:leader="none" w:pos="1243"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Restriction Period. </w:t>
      </w:r>
      <w:r>
        <w:rPr>
          <w:rFonts w:ascii="Arial" w:cs="Arial" w:eastAsia="Arial" w:hAnsi="Arial"/>
          <w:sz w:val="20"/>
          <w:szCs w:val="20"/>
          <w:color w:val="auto"/>
        </w:rPr>
        <w:t>Each Restricted Stock Unit Award shall require the holder to remain in the employment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be classified as an Eligible Person (or in the case of a Non-Employee Director, remain a director of the Company, a Subsidiary, or an Affiliated Entity) for the Restriction Period. The Committee shall determine the Restriction Period or Periods that shall apply to each Award. In addition to any time vesting conditions determined by the Committee, Restricted Stock Units may be subject to the achievement by the Company of specified performance measures or other individual criteria as determined by the Committee.</w:t>
      </w:r>
    </w:p>
    <w:p>
      <w:pPr>
        <w:spacing w:after="0" w:line="195" w:lineRule="exact"/>
        <w:rPr>
          <w:rFonts w:ascii="Arial" w:cs="Arial" w:eastAsia="Arial" w:hAnsi="Arial"/>
          <w:sz w:val="20"/>
          <w:szCs w:val="20"/>
          <w:color w:val="auto"/>
        </w:rPr>
      </w:pPr>
    </w:p>
    <w:p>
      <w:pPr>
        <w:ind w:left="660" w:hanging="4"/>
        <w:spacing w:after="0" w:line="271" w:lineRule="auto"/>
        <w:tabs>
          <w:tab w:leader="none" w:pos="1176"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Forfeiture. </w:t>
      </w:r>
      <w:r>
        <w:rPr>
          <w:rFonts w:ascii="Arial" w:cs="Arial" w:eastAsia="Arial" w:hAnsi="Arial"/>
          <w:sz w:val="20"/>
          <w:szCs w:val="20"/>
          <w:color w:val="auto"/>
        </w:rPr>
        <w:t>Except as otherwise determined by the Committee, upon termination of service or employment during</w:t>
      </w:r>
      <w:r>
        <w:rPr>
          <w:rFonts w:ascii="Arial" w:cs="Arial" w:eastAsia="Arial" w:hAnsi="Arial"/>
          <w:sz w:val="20"/>
          <w:szCs w:val="20"/>
          <w:i w:val="1"/>
          <w:iCs w:val="1"/>
          <w:color w:val="auto"/>
        </w:rPr>
        <w:t xml:space="preserve"> </w:t>
      </w:r>
      <w:r>
        <w:rPr>
          <w:rFonts w:ascii="Arial" w:cs="Arial" w:eastAsia="Arial" w:hAnsi="Arial"/>
          <w:sz w:val="20"/>
          <w:szCs w:val="20"/>
          <w:color w:val="auto"/>
        </w:rPr>
        <w:t>the Restriction Period, all Restricted Stock Units still subject to forfeiture shall be forfeited by the Participant.</w:t>
      </w:r>
    </w:p>
    <w:p>
      <w:pPr>
        <w:spacing w:after="0" w:line="182" w:lineRule="exact"/>
        <w:rPr>
          <w:rFonts w:ascii="Arial" w:cs="Arial" w:eastAsia="Arial" w:hAnsi="Arial"/>
          <w:sz w:val="20"/>
          <w:szCs w:val="20"/>
          <w:color w:val="auto"/>
        </w:rPr>
      </w:pPr>
    </w:p>
    <w:p>
      <w:pPr>
        <w:jc w:val="both"/>
        <w:ind w:left="660" w:hanging="4"/>
        <w:spacing w:after="0" w:line="262" w:lineRule="auto"/>
        <w:tabs>
          <w:tab w:leader="none" w:pos="1151"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Shareholder Rights. </w:t>
      </w:r>
      <w:r>
        <w:rPr>
          <w:rFonts w:ascii="Arial" w:cs="Arial" w:eastAsia="Arial" w:hAnsi="Arial"/>
          <w:sz w:val="20"/>
          <w:szCs w:val="20"/>
          <w:color w:val="auto"/>
        </w:rPr>
        <w:t>Restricted Stock Units shall not entitle a Participant to any of the rights of a shareholder with</w:t>
      </w:r>
      <w:r>
        <w:rPr>
          <w:rFonts w:ascii="Arial" w:cs="Arial" w:eastAsia="Arial" w:hAnsi="Arial"/>
          <w:sz w:val="20"/>
          <w:szCs w:val="20"/>
          <w:i w:val="1"/>
          <w:iCs w:val="1"/>
          <w:color w:val="auto"/>
        </w:rPr>
        <w:t xml:space="preserve"> </w:t>
      </w:r>
      <w:r>
        <w:rPr>
          <w:rFonts w:ascii="Arial" w:cs="Arial" w:eastAsia="Arial" w:hAnsi="Arial"/>
          <w:sz w:val="20"/>
          <w:szCs w:val="20"/>
          <w:color w:val="auto"/>
        </w:rPr>
        <w:t>respect to the shares. Provided, however, the Committee may grant dividend equivalents with respect to Restricted Stock Units granted hereunder.</w:t>
      </w:r>
    </w:p>
    <w:p>
      <w:pPr>
        <w:spacing w:after="0" w:line="191" w:lineRule="exact"/>
        <w:rPr>
          <w:rFonts w:ascii="Arial" w:cs="Arial" w:eastAsia="Arial" w:hAnsi="Arial"/>
          <w:sz w:val="20"/>
          <w:szCs w:val="20"/>
          <w:color w:val="auto"/>
        </w:rPr>
      </w:pPr>
    </w:p>
    <w:p>
      <w:pPr>
        <w:jc w:val="both"/>
        <w:ind w:left="660" w:hanging="4"/>
        <w:spacing w:after="0" w:line="241" w:lineRule="auto"/>
        <w:tabs>
          <w:tab w:leader="none" w:pos="1122" w:val="left"/>
        </w:tabs>
        <w:numPr>
          <w:ilvl w:val="0"/>
          <w:numId w:val="95"/>
        </w:numPr>
        <w:rPr>
          <w:rFonts w:ascii="Arial" w:cs="Arial" w:eastAsia="Arial" w:hAnsi="Arial"/>
          <w:sz w:val="20"/>
          <w:szCs w:val="20"/>
          <w:color w:val="auto"/>
        </w:rPr>
      </w:pPr>
      <w:r>
        <w:rPr>
          <w:rFonts w:ascii="Arial" w:cs="Arial" w:eastAsia="Arial" w:hAnsi="Arial"/>
          <w:sz w:val="20"/>
          <w:szCs w:val="20"/>
          <w:i w:val="1"/>
          <w:iCs w:val="1"/>
          <w:color w:val="auto"/>
        </w:rPr>
        <w:t xml:space="preserve">Minimum Vesting Condition. </w:t>
      </w:r>
      <w:r>
        <w:rPr>
          <w:rFonts w:ascii="Arial" w:cs="Arial" w:eastAsia="Arial" w:hAnsi="Arial"/>
          <w:sz w:val="20"/>
          <w:szCs w:val="20"/>
          <w:color w:val="auto"/>
        </w:rPr>
        <w:t>The minimum Restriction Period applicable to any Restricted Stock Units granted to an</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that is not subject to performance criteria restricting the vesting of the Award shall be one year from the Date of Grant (subject to the provisions of Article 9).</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PERFORMANCE AWARDS</w:t>
      </w:r>
    </w:p>
    <w:p>
      <w:pPr>
        <w:spacing w:after="0" w:line="2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b w:val="1"/>
          <w:bCs w:val="1"/>
          <w:color w:val="auto"/>
        </w:rPr>
        <w:t xml:space="preserve">Section 7.1 </w:t>
      </w:r>
      <w:r>
        <w:rPr>
          <w:rFonts w:ascii="Arial" w:cs="Arial" w:eastAsia="Arial" w:hAnsi="Arial"/>
          <w:sz w:val="20"/>
          <w:szCs w:val="20"/>
          <w:i w:val="1"/>
          <w:iCs w:val="1"/>
          <w:color w:val="auto"/>
        </w:rPr>
        <w:t>Grant of Performance Shares.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from time to time, subject to the provisions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 such other terms and conditions as it may determine, grant Performance Shares to any Eligible Person. Performance Shares shall be awarded in such number and at such times during the term of the Plan as the Committee shall determine. Each Performance Award shall be evidenced by an Award Agreement and shall contain such terms and conditions and be in such form as the Committee may from time to time approve, subject to the requirements of Section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9</w:t>
      </w:r>
    </w:p>
    <w:p>
      <w:pPr>
        <w:sectPr>
          <w:pgSz w:w="11900" w:h="16838" w:orient="portrait"/>
          <w:cols w:equalWidth="0" w:num="1">
            <w:col w:w="11240"/>
          </w:cols>
          <w:pgMar w:left="320" w:top="928" w:right="339" w:bottom="1440" w:gutter="0" w:footer="0" w:header="0"/>
        </w:sectPr>
      </w:pPr>
    </w:p>
    <w:bookmarkStart w:id="156" w:name="page157"/>
    <w:bookmarkEnd w:id="156"/>
    <w:p>
      <w:pPr>
        <w:ind w:left="660"/>
        <w:spacing w:after="0"/>
        <w:rPr>
          <w:sz w:val="20"/>
          <w:szCs w:val="20"/>
          <w:color w:val="auto"/>
        </w:rPr>
      </w:pPr>
      <w:r>
        <w:rPr>
          <w:rFonts w:ascii="Arial" w:cs="Arial" w:eastAsia="Arial" w:hAnsi="Arial"/>
          <w:sz w:val="20"/>
          <w:szCs w:val="20"/>
          <w:b w:val="1"/>
          <w:bCs w:val="1"/>
          <w:color w:val="auto"/>
        </w:rPr>
        <w:t xml:space="preserve">Section 7.2 </w:t>
      </w:r>
      <w:r>
        <w:rPr>
          <w:rFonts w:ascii="Arial" w:cs="Arial" w:eastAsia="Arial" w:hAnsi="Arial"/>
          <w:sz w:val="20"/>
          <w:szCs w:val="20"/>
          <w:i w:val="1"/>
          <w:iCs w:val="1"/>
          <w:color w:val="auto"/>
        </w:rPr>
        <w:t>Conditions of Performance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Performance Shares shall be subject to the following:</w:t>
      </w:r>
    </w:p>
    <w:p>
      <w:pPr>
        <w:spacing w:after="0" w:line="231" w:lineRule="exact"/>
        <w:rPr>
          <w:sz w:val="20"/>
          <w:szCs w:val="20"/>
          <w:color w:val="auto"/>
        </w:rPr>
      </w:pPr>
    </w:p>
    <w:p>
      <w:pPr>
        <w:jc w:val="both"/>
        <w:ind w:left="660" w:hanging="4"/>
        <w:spacing w:after="0" w:line="245" w:lineRule="auto"/>
        <w:tabs>
          <w:tab w:leader="none" w:pos="1135" w:val="left"/>
        </w:tabs>
        <w:numPr>
          <w:ilvl w:val="1"/>
          <w:numId w:val="96"/>
        </w:numPr>
        <w:rPr>
          <w:rFonts w:ascii="Arial" w:cs="Arial" w:eastAsia="Arial" w:hAnsi="Arial"/>
          <w:sz w:val="20"/>
          <w:szCs w:val="20"/>
          <w:color w:val="auto"/>
        </w:rPr>
      </w:pPr>
      <w:r>
        <w:rPr>
          <w:rFonts w:ascii="Arial" w:cs="Arial" w:eastAsia="Arial" w:hAnsi="Arial"/>
          <w:sz w:val="20"/>
          <w:szCs w:val="20"/>
          <w:i w:val="1"/>
          <w:iCs w:val="1"/>
          <w:color w:val="auto"/>
        </w:rPr>
        <w:t xml:space="preserve">Performance Period. </w:t>
      </w:r>
      <w:r>
        <w:rPr>
          <w:rFonts w:ascii="Arial" w:cs="Arial" w:eastAsia="Arial" w:hAnsi="Arial"/>
          <w:sz w:val="20"/>
          <w:szCs w:val="20"/>
          <w:color w:val="auto"/>
        </w:rPr>
        <w:t>Performance Shares will be subject to the achievement of one or more performance goals by</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or the Participant individually, measured for a prescribed period (the “Performance Period”), as specified by the Committee, such Performance Period to be not less than one year in duration. Such performance goals may be based upon the Company’s achievement of performance measures or other individual criteria.</w:t>
      </w:r>
    </w:p>
    <w:p>
      <w:pPr>
        <w:spacing w:after="0" w:line="194" w:lineRule="exact"/>
        <w:rPr>
          <w:rFonts w:ascii="Arial" w:cs="Arial" w:eastAsia="Arial" w:hAnsi="Arial"/>
          <w:sz w:val="20"/>
          <w:szCs w:val="20"/>
          <w:color w:val="auto"/>
        </w:rPr>
      </w:pPr>
    </w:p>
    <w:p>
      <w:pPr>
        <w:jc w:val="both"/>
        <w:ind w:left="660" w:hanging="4"/>
        <w:spacing w:after="0" w:line="248" w:lineRule="auto"/>
        <w:tabs>
          <w:tab w:leader="none" w:pos="1149" w:val="left"/>
        </w:tabs>
        <w:numPr>
          <w:ilvl w:val="1"/>
          <w:numId w:val="96"/>
        </w:numPr>
        <w:rPr>
          <w:rFonts w:ascii="Arial" w:cs="Arial" w:eastAsia="Arial" w:hAnsi="Arial"/>
          <w:sz w:val="20"/>
          <w:szCs w:val="20"/>
          <w:color w:val="auto"/>
        </w:rPr>
      </w:pPr>
      <w:r>
        <w:rPr>
          <w:rFonts w:ascii="Arial" w:cs="Arial" w:eastAsia="Arial" w:hAnsi="Arial"/>
          <w:sz w:val="20"/>
          <w:szCs w:val="20"/>
          <w:i w:val="1"/>
          <w:iCs w:val="1"/>
          <w:color w:val="auto"/>
        </w:rPr>
        <w:t xml:space="preserve">Payment Respecting Performance Shares. </w:t>
      </w:r>
      <w:r>
        <w:rPr>
          <w:rFonts w:ascii="Arial" w:cs="Arial" w:eastAsia="Arial" w:hAnsi="Arial"/>
          <w:sz w:val="20"/>
          <w:szCs w:val="20"/>
          <w:color w:val="auto"/>
        </w:rPr>
        <w:t>Performance Shares shall be earned to the extent that their terms and</w:t>
      </w:r>
      <w:r>
        <w:rPr>
          <w:rFonts w:ascii="Arial" w:cs="Arial" w:eastAsia="Arial" w:hAnsi="Arial"/>
          <w:sz w:val="20"/>
          <w:szCs w:val="20"/>
          <w:i w:val="1"/>
          <w:iCs w:val="1"/>
          <w:color w:val="auto"/>
        </w:rPr>
        <w:t xml:space="preserve"> </w:t>
      </w:r>
      <w:r>
        <w:rPr>
          <w:rFonts w:ascii="Arial" w:cs="Arial" w:eastAsia="Arial" w:hAnsi="Arial"/>
          <w:sz w:val="20"/>
          <w:szCs w:val="20"/>
          <w:color w:val="auto"/>
        </w:rPr>
        <w:t>conditions are met, as certified by the Committee. The form and timing of payment for Performance Shares earned shall be determined by the Committee and specified in the Award Agreement.</w:t>
      </w:r>
    </w:p>
    <w:p>
      <w:pPr>
        <w:spacing w:after="0" w:line="191" w:lineRule="exact"/>
        <w:rPr>
          <w:rFonts w:ascii="Arial" w:cs="Arial" w:eastAsia="Arial" w:hAnsi="Arial"/>
          <w:sz w:val="20"/>
          <w:szCs w:val="20"/>
          <w:color w:val="auto"/>
        </w:rPr>
      </w:pPr>
    </w:p>
    <w:p>
      <w:pPr>
        <w:jc w:val="both"/>
        <w:ind w:left="660" w:hanging="4"/>
        <w:spacing w:after="0" w:line="252" w:lineRule="auto"/>
        <w:tabs>
          <w:tab w:leader="none" w:pos="1124" w:val="left"/>
        </w:tabs>
        <w:numPr>
          <w:ilvl w:val="1"/>
          <w:numId w:val="96"/>
        </w:numPr>
        <w:rPr>
          <w:rFonts w:ascii="Arial" w:cs="Arial" w:eastAsia="Arial" w:hAnsi="Arial"/>
          <w:sz w:val="19"/>
          <w:szCs w:val="19"/>
          <w:color w:val="auto"/>
        </w:rPr>
      </w:pPr>
      <w:r>
        <w:rPr>
          <w:rFonts w:ascii="Arial" w:cs="Arial" w:eastAsia="Arial" w:hAnsi="Arial"/>
          <w:sz w:val="19"/>
          <w:szCs w:val="19"/>
          <w:i w:val="1"/>
          <w:iCs w:val="1"/>
          <w:color w:val="auto"/>
        </w:rPr>
        <w:t xml:space="preserve">Termination of Employment. </w:t>
      </w:r>
      <w:r>
        <w:rPr>
          <w:rFonts w:ascii="Arial" w:cs="Arial" w:eastAsia="Arial" w:hAnsi="Arial"/>
          <w:sz w:val="19"/>
          <w:szCs w:val="19"/>
          <w:color w:val="auto"/>
        </w:rPr>
        <w:t>The Committee, in its sole discretion, may (i) permit a Participant who ceases to be an</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Person before the end of any Performance Period, or the personal representative of a deceased Participant, to continue to be subject to a Performance Award relative to the current Performance Period until such Awards are forfeited or earned pursuant to their terms and conditions or (ii) authorize the payment to such Participant, or the personal representative of a deceased Participant, of the Performance Shares which would have been paid to the Participant had the Participant remained an Eligible Person to the end of the Performance Period. In the absence of such permission by the Committee, any unvested Performance Shares shall be forfeited when a Participant ceases to be an Eligible Person.</w:t>
      </w:r>
    </w:p>
    <w:p>
      <w:pPr>
        <w:spacing w:after="0" w:line="201" w:lineRule="exact"/>
        <w:rPr>
          <w:rFonts w:ascii="Arial" w:cs="Arial" w:eastAsia="Arial" w:hAnsi="Arial"/>
          <w:sz w:val="19"/>
          <w:szCs w:val="19"/>
          <w:color w:val="auto"/>
        </w:rPr>
      </w:pPr>
    </w:p>
    <w:p>
      <w:pPr>
        <w:ind w:left="240" w:hanging="232"/>
        <w:spacing w:after="0"/>
        <w:tabs>
          <w:tab w:leader="none" w:pos="24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OTHER STOCK AWARDS</w:t>
      </w:r>
    </w:p>
    <w:p>
      <w:pPr>
        <w:spacing w:after="0" w:line="2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b w:val="1"/>
          <w:bCs w:val="1"/>
          <w:color w:val="auto"/>
        </w:rPr>
        <w:t xml:space="preserve">Section 8.1 </w:t>
      </w:r>
      <w:r>
        <w:rPr>
          <w:rFonts w:ascii="Arial" w:cs="Arial" w:eastAsia="Arial" w:hAnsi="Arial"/>
          <w:sz w:val="20"/>
          <w:szCs w:val="20"/>
          <w:i w:val="1"/>
          <w:iCs w:val="1"/>
          <w:color w:val="auto"/>
        </w:rPr>
        <w:t>Grant of Other Stock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from time to time, subject to the provisions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and such other terms and conditions as it may determine, specify the terms and provisions of other forms of equity-based or equity-related awards not described above which the Committee determines to be consistent with the purpose of the Plan and the interests of the Company, which awards may provide for cash payments based in whole or in part on the value or future value of Common Stock, for the acquisition or future acquisition of Common Stock, or any combination thereof. Each Other Stock Award shall be evidenced by an Award Agreement and shall contain such terms and conditions and be in such form as the Committee may from time to time approve.</w:t>
      </w:r>
    </w:p>
    <w:p>
      <w:pPr>
        <w:spacing w:after="0" w:line="19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8.2 </w:t>
      </w:r>
      <w:r>
        <w:rPr>
          <w:rFonts w:ascii="Arial" w:cs="Arial" w:eastAsia="Arial" w:hAnsi="Arial"/>
          <w:sz w:val="20"/>
          <w:szCs w:val="20"/>
          <w:i w:val="1"/>
          <w:iCs w:val="1"/>
          <w:color w:val="auto"/>
        </w:rPr>
        <w:t>Minimum Vesting Condition.</w:t>
      </w:r>
      <w:r>
        <w:rPr>
          <w:rFonts w:ascii="Arial" w:cs="Arial" w:eastAsia="Arial" w:hAnsi="Arial"/>
          <w:sz w:val="20"/>
          <w:szCs w:val="20"/>
          <w:b w:val="1"/>
          <w:bCs w:val="1"/>
          <w:color w:val="auto"/>
        </w:rPr>
        <w:t xml:space="preserve"> </w:t>
      </w:r>
      <w:r>
        <w:rPr>
          <w:rFonts w:ascii="Arial" w:cs="Arial" w:eastAsia="Arial" w:hAnsi="Arial"/>
          <w:sz w:val="20"/>
          <w:szCs w:val="20"/>
          <w:color w:val="auto"/>
        </w:rPr>
        <w:t>Other Stock Awards subject to performance criteria shall not vest in less than</w:t>
      </w:r>
      <w:r>
        <w:rPr>
          <w:rFonts w:ascii="Arial" w:cs="Arial" w:eastAsia="Arial" w:hAnsi="Arial"/>
          <w:sz w:val="20"/>
          <w:szCs w:val="20"/>
          <w:b w:val="1"/>
          <w:bCs w:val="1"/>
          <w:color w:val="auto"/>
        </w:rPr>
        <w:t xml:space="preserve"> </w:t>
      </w:r>
      <w:r>
        <w:rPr>
          <w:rFonts w:ascii="Arial" w:cs="Arial" w:eastAsia="Arial" w:hAnsi="Arial"/>
          <w:sz w:val="20"/>
          <w:szCs w:val="20"/>
          <w:color w:val="auto"/>
        </w:rPr>
        <w:t>one year and Other Stock Awards which are subject to time vesting shall not be fully vest in less than one year from the Date of Grant (subject to the provisions of Article 9).</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TREATMENT OF AWARDS UPON CERTAIN EVENTS</w:t>
      </w:r>
    </w:p>
    <w:p>
      <w:pPr>
        <w:spacing w:after="0" w:line="24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b w:val="1"/>
          <w:bCs w:val="1"/>
          <w:color w:val="auto"/>
        </w:rPr>
        <w:t xml:space="preserve">Section 9.1 </w:t>
      </w:r>
      <w:r>
        <w:rPr>
          <w:rFonts w:ascii="Arial" w:cs="Arial" w:eastAsia="Arial" w:hAnsi="Arial"/>
          <w:sz w:val="19"/>
          <w:szCs w:val="19"/>
          <w:i w:val="1"/>
          <w:iCs w:val="1"/>
          <w:color w:val="auto"/>
        </w:rPr>
        <w:t>Changes in Capital Structure and Similar Events.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event of any dividend or other distribution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form of cash, shares of Common Stock, other securities or other property), recapitalization, stock split, reverse stock split, reorganization, merger, consolidation, split-up, split-off, combination, repurchase or exchange of shares of Common Stock or other securities of the Company, issuance of warrants or other rights to acquire shares of Common Stock or other securities of the Company, or other similar corporate transaction or event that affects the shares of Common Stock, in each case, that would</w:t>
      </w:r>
    </w:p>
    <w:p>
      <w:pPr>
        <w:spacing w:after="0" w:line="3" w:lineRule="exact"/>
        <w:rPr>
          <w:sz w:val="20"/>
          <w:szCs w:val="20"/>
          <w:color w:val="auto"/>
        </w:rPr>
      </w:pPr>
    </w:p>
    <w:p>
      <w:pPr>
        <w:jc w:val="both"/>
        <w:ind w:firstLine="8"/>
        <w:spacing w:after="0" w:line="239" w:lineRule="auto"/>
        <w:tabs>
          <w:tab w:leader="none" w:pos="33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be considered an “equity restructuring” (within the meaning of FASB ASC Topic 718, as amended) and (b) result in an additional compensation expense to the Company pursuant to the provisions of FASB ASC Topic 718, as amended, if adjustments to Awards with respect to such event were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10</w:t>
      </w:r>
    </w:p>
    <w:p>
      <w:pPr>
        <w:sectPr>
          <w:pgSz w:w="11900" w:h="16838" w:orient="portrait"/>
          <w:cols w:equalWidth="0" w:num="1">
            <w:col w:w="11240"/>
          </w:cols>
          <w:pgMar w:left="320" w:top="926" w:right="339" w:bottom="1440" w:gutter="0" w:footer="0" w:header="0"/>
        </w:sectPr>
      </w:pPr>
    </w:p>
    <w:bookmarkStart w:id="157" w:name="page158"/>
    <w:bookmarkEnd w:id="157"/>
    <w:p>
      <w:pPr>
        <w:jc w:val="both"/>
        <w:spacing w:after="0" w:line="234" w:lineRule="auto"/>
        <w:rPr>
          <w:sz w:val="20"/>
          <w:szCs w:val="20"/>
          <w:color w:val="auto"/>
        </w:rPr>
      </w:pPr>
      <w:r>
        <w:rPr>
          <w:rFonts w:ascii="Arial" w:cs="Arial" w:eastAsia="Arial" w:hAnsi="Arial"/>
          <w:sz w:val="20"/>
          <w:szCs w:val="20"/>
          <w:color w:val="auto"/>
        </w:rPr>
        <w:t>discretionary or otherwise not required (each such event, an “Adjustment Event”), then there shall be substituted for or added to each share available under and subject to the Plan as provided herein, the number and kind of shares of stock or other securities into which each outstanding share of Common Stock shall be so changed or for which each such share shall be exchanged or to which each such share shall be entitled, as the case may be, to reflect any increase or decrease in the number of, or change in the kind or value of, issued shares of Common Stock to preclude, to the extent practicable, the enlargement or dilution of rights under such Awards. In the event there shall be any other change in the number or kind of the outstanding shares of Common Stock, or any stock or other securities into which the Common Stock shall have been changed or for which it shall have been exchanged, in each case, that does not constitute an Adjustment Event, then if the Committee shall, in its sole discretion, determine that such change equitably requires an adjustment in the shares available under and subject to the Plan, or in any Award theretofore granted or which may be granted under the Plan, such adjustments shall be made in accordance with such determination. No fractional shares of Common Stock or units of other securities shall be issued pursuant to any such adjustment, and any fractions resulting from any such adjustment shall be eliminated in each case by rounding downward to the nearest whole share.</w:t>
      </w:r>
    </w:p>
    <w:p>
      <w:pPr>
        <w:spacing w:after="0" w:line="20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9.2 </w:t>
      </w:r>
      <w:r>
        <w:rPr>
          <w:rFonts w:ascii="Arial" w:cs="Arial" w:eastAsia="Arial" w:hAnsi="Arial"/>
          <w:sz w:val="20"/>
          <w:szCs w:val="20"/>
          <w:i w:val="1"/>
          <w:iCs w:val="1"/>
          <w:color w:val="auto"/>
        </w:rPr>
        <w:t>Change of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 Change of Control, and except as otherwise provided by the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in an Award Agreement, outstanding Awards shall be treated in accordance with one or more of the following methods determined by the Committee in its sole discretion without the consent or approval of any holder, which may vary among individual holders and which may vary among Awards held by any individual holder:</w:t>
      </w:r>
    </w:p>
    <w:p>
      <w:pPr>
        <w:spacing w:after="0" w:line="193" w:lineRule="exact"/>
        <w:rPr>
          <w:sz w:val="20"/>
          <w:szCs w:val="20"/>
          <w:color w:val="auto"/>
        </w:rPr>
      </w:pPr>
    </w:p>
    <w:p>
      <w:pPr>
        <w:jc w:val="both"/>
        <w:ind w:left="660" w:hanging="4"/>
        <w:spacing w:after="0" w:line="247" w:lineRule="auto"/>
        <w:tabs>
          <w:tab w:leader="none" w:pos="11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adjusting any or all of (A) the number of shares of Common Stock or other securities of the Company (or number and kind of other securities or other property) that may be delivered in respect of Awards or with respect to which Awards may be granted under the Plan and (B)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with respect to any Award or</w:t>
      </w:r>
    </w:p>
    <w:p>
      <w:pPr>
        <w:ind w:left="660"/>
        <w:spacing w:after="0"/>
        <w:rPr>
          <w:rFonts w:ascii="Arial" w:cs="Arial" w:eastAsia="Arial" w:hAnsi="Arial"/>
          <w:sz w:val="19"/>
          <w:szCs w:val="19"/>
          <w:color w:val="auto"/>
        </w:rPr>
      </w:pPr>
      <w:r>
        <w:rPr>
          <w:rFonts w:ascii="Arial" w:cs="Arial" w:eastAsia="Arial" w:hAnsi="Arial"/>
          <w:sz w:val="20"/>
          <w:szCs w:val="20"/>
          <w:color w:val="auto"/>
        </w:rPr>
        <w:t>(3) any applicable performance measures;</w:t>
      </w:r>
    </w:p>
    <w:p>
      <w:pPr>
        <w:spacing w:after="0" w:line="224" w:lineRule="exact"/>
        <w:rPr>
          <w:rFonts w:ascii="Arial" w:cs="Arial" w:eastAsia="Arial" w:hAnsi="Arial"/>
          <w:sz w:val="19"/>
          <w:szCs w:val="19"/>
          <w:color w:val="auto"/>
        </w:rPr>
      </w:pPr>
    </w:p>
    <w:p>
      <w:pPr>
        <w:ind w:left="660" w:hanging="4"/>
        <w:spacing w:after="0" w:line="257" w:lineRule="auto"/>
        <w:tabs>
          <w:tab w:leader="none" w:pos="1309" w:val="left"/>
        </w:tabs>
        <w:numPr>
          <w:ilvl w:val="0"/>
          <w:numId w:val="99"/>
        </w:numPr>
        <w:rPr>
          <w:rFonts w:ascii="Arial" w:cs="Arial" w:eastAsia="Arial" w:hAnsi="Arial"/>
          <w:sz w:val="20"/>
          <w:szCs w:val="20"/>
          <w:color w:val="auto"/>
        </w:rPr>
      </w:pPr>
      <w:r>
        <w:rPr>
          <w:rFonts w:ascii="Arial" w:cs="Arial" w:eastAsia="Arial" w:hAnsi="Arial"/>
          <w:sz w:val="20"/>
          <w:szCs w:val="20"/>
          <w:color w:val="auto"/>
        </w:rPr>
        <w:t>providing for a substitution or assumption of Awards, accelerating the exercisability of, vesting, or lapse of restrictions on, Awards or providing for a period of time for exercise prior to the occurrence of such event; or</w:t>
      </w:r>
    </w:p>
    <w:p>
      <w:pPr>
        <w:spacing w:after="0" w:line="195" w:lineRule="exact"/>
        <w:rPr>
          <w:rFonts w:ascii="Arial" w:cs="Arial" w:eastAsia="Arial" w:hAnsi="Arial"/>
          <w:sz w:val="20"/>
          <w:szCs w:val="20"/>
          <w:color w:val="auto"/>
        </w:rPr>
      </w:pPr>
    </w:p>
    <w:p>
      <w:pPr>
        <w:jc w:val="both"/>
        <w:ind w:left="660" w:hanging="4"/>
        <w:spacing w:after="0" w:line="233" w:lineRule="auto"/>
        <w:tabs>
          <w:tab w:leader="none" w:pos="1167" w:val="left"/>
        </w:tabs>
        <w:numPr>
          <w:ilvl w:val="0"/>
          <w:numId w:val="99"/>
        </w:numPr>
        <w:rPr>
          <w:rFonts w:ascii="Arial" w:cs="Arial" w:eastAsia="Arial" w:hAnsi="Arial"/>
          <w:sz w:val="20"/>
          <w:szCs w:val="20"/>
          <w:color w:val="auto"/>
        </w:rPr>
      </w:pPr>
      <w:r>
        <w:rPr>
          <w:rFonts w:ascii="Arial" w:cs="Arial" w:eastAsia="Arial" w:hAnsi="Arial"/>
          <w:sz w:val="20"/>
          <w:szCs w:val="20"/>
          <w:color w:val="auto"/>
        </w:rPr>
        <w:t>cancelling any one or more outstanding Awards and causing to be paid to the holders thereof, in cash, shares of Common Stock, other securities or other property, or any combination thereof, the value of such Awards, if any, as determined by the Committee (which if applicable may be based upon the price per share of Common Stock received or to be received by other stockholders of the Company in such event), including without limitation, in the case of an outstanding Option or SAR, a cash payment in an amount equal to the excess, if any, of the Fair Market Value (as of a date specified by the Committee) of the shares of Common Stock subject to such Option or SAR over the aggregate exercise price of such Option or SAR, respectively (it being understood that, in such event, any Option or SAR having a per share exercise price equal to, or in excess of, the Fair Market Value of a share of Common Stock subject thereto may be canceled and terminated without any payment or consideration therefor); provided, however, that, with respect to each of subsections (a), (b) and (c), in the case of any “equity restructuring” (within the meaning of FASB ASC Topic 718, as amended), the Committee shall make an equitable or proportionate adjustment to outstanding Awards to reflect such equity restructuring. Any such adjustments shall be made in accordance with Section 409A of the Code, to the extent applicable. Any adjustment in Incentive Stock Options under this Section 9.1 (other than any cancellation of Incentive Stock Options) shall be made only to the extent not constituting a “modification” within the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11</w:t>
      </w:r>
    </w:p>
    <w:p>
      <w:pPr>
        <w:sectPr>
          <w:pgSz w:w="11900" w:h="16838" w:orient="portrait"/>
          <w:cols w:equalWidth="0" w:num="1">
            <w:col w:w="11240"/>
          </w:cols>
          <w:pgMar w:left="320" w:top="928" w:right="339" w:bottom="1440" w:gutter="0" w:footer="0" w:header="0"/>
        </w:sectPr>
      </w:pPr>
    </w:p>
    <w:bookmarkStart w:id="158" w:name="page159"/>
    <w:bookmarkEnd w:id="158"/>
    <w:p>
      <w:pPr>
        <w:ind w:left="660"/>
        <w:spacing w:after="0" w:line="248" w:lineRule="auto"/>
        <w:rPr>
          <w:sz w:val="20"/>
          <w:szCs w:val="20"/>
          <w:color w:val="auto"/>
        </w:rPr>
      </w:pPr>
      <w:r>
        <w:rPr>
          <w:rFonts w:ascii="Arial" w:cs="Arial" w:eastAsia="Arial" w:hAnsi="Arial"/>
          <w:sz w:val="20"/>
          <w:szCs w:val="20"/>
          <w:color w:val="auto"/>
        </w:rPr>
        <w:t>meaning of Section 424(h)(3) of the Code, and any adjustments under this Section 9.1 shall be made in a manner that does not adversely affect the exemption provided pursuant to Rule 16b-3 under the Exchange Act, to the extent</w:t>
      </w:r>
    </w:p>
    <w:p>
      <w:pPr>
        <w:spacing w:after="0" w:line="2"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auto"/>
        </w:rPr>
        <w:t>applicable. The Company shall give each Participant notice of an adjustment hereunder and, upon notice, such adjustment shall be conclusive and binding for all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Section 9.3 </w:t>
      </w:r>
      <w:r>
        <w:rPr>
          <w:rFonts w:ascii="Arial" w:cs="Arial" w:eastAsia="Arial" w:hAnsi="Arial"/>
          <w:sz w:val="20"/>
          <w:szCs w:val="20"/>
          <w:i w:val="1"/>
          <w:iCs w:val="1"/>
          <w:color w:val="auto"/>
        </w:rPr>
        <w:t>Disability, Death, Retirement or Involuntary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(i) a Participant who ceases to be</w:t>
      </w:r>
    </w:p>
    <w:p>
      <w:pPr>
        <w:spacing w:after="0" w:line="2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an Eligible Person due to a Disability, (ii) the personal representative of a deceased Participant, or (iii) any other Participant who ceases to be an Eligible Person due to the Participant’s retirement or involuntary termination (as defined by the Committee), the Committee, in its sole discretion and subject to applicable law (including Section 409A of the Code), may permit the purchase of all or any part of the shares subject to any unvested Option or waive the vesting requirements or permit the continued vesting of any Award on the date the Participant ceases to be an Eligible Person due to Disability or death, or retirement or involuntary termination. With respect to Options which have already vested at such date or the vesting of which is accelerated by the Committee in accordance with the foregoing provision, the Participant or the personal representative of a deceased Participant shall have the right to exercise such vested Options within such period(s) as the Committee shall determine.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GENERAL</w:t>
      </w:r>
    </w:p>
    <w:p>
      <w:pPr>
        <w:spacing w:after="0" w:line="24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b w:val="1"/>
          <w:bCs w:val="1"/>
          <w:color w:val="auto"/>
        </w:rPr>
        <w:t xml:space="preserve">Section 10.1 </w:t>
      </w:r>
      <w:r>
        <w:rPr>
          <w:rFonts w:ascii="Arial" w:cs="Arial" w:eastAsia="Arial" w:hAnsi="Arial"/>
          <w:sz w:val="20"/>
          <w:szCs w:val="20"/>
          <w:i w:val="1"/>
          <w:iCs w:val="1"/>
          <w:color w:val="auto"/>
        </w:rPr>
        <w:t>Amendment or Termination of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suspend or terminate the Plan at any time. In addition,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Board may, from time to time, amend the Plan in any manner, but may not adopt any amendment without Shareholder Approval if (i) Shareholder Approval is necessary or desirable to qualify or comply with any tax or regulatory requirement for which or with which the Board deems it necessary or desirable to qualify or comply, or (ii) in the opinion of counsel to the Company, Shareholder Approval is required by any federal or state laws or regulations or the rules of any stock exchange on which the common stock may be listed.</w:t>
      </w:r>
    </w:p>
    <w:p>
      <w:pPr>
        <w:spacing w:after="0" w:line="198" w:lineRule="exact"/>
        <w:rPr>
          <w:sz w:val="20"/>
          <w:szCs w:val="20"/>
          <w:color w:val="auto"/>
        </w:rPr>
      </w:pPr>
    </w:p>
    <w:p>
      <w:pPr>
        <w:jc w:val="both"/>
        <w:ind w:firstLine="648"/>
        <w:spacing w:after="0"/>
        <w:rPr>
          <w:sz w:val="20"/>
          <w:szCs w:val="20"/>
          <w:color w:val="auto"/>
        </w:rPr>
      </w:pPr>
      <w:r>
        <w:rPr>
          <w:rFonts w:ascii="Arial" w:cs="Arial" w:eastAsia="Arial" w:hAnsi="Arial"/>
          <w:sz w:val="20"/>
          <w:szCs w:val="20"/>
          <w:b w:val="1"/>
          <w:bCs w:val="1"/>
          <w:color w:val="auto"/>
        </w:rPr>
        <w:t xml:space="preserve">Section 10.2 </w:t>
      </w:r>
      <w:r>
        <w:rPr>
          <w:rFonts w:ascii="Arial" w:cs="Arial" w:eastAsia="Arial" w:hAnsi="Arial"/>
          <w:sz w:val="20"/>
          <w:szCs w:val="20"/>
          <w:i w:val="1"/>
          <w:iCs w:val="1"/>
          <w:color w:val="auto"/>
        </w:rPr>
        <w:t>Withholding Taxes.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prohibited by the terms of an Award Agreement, the Company may, in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or (v) by such other method as may be set forth in the Award Agreement.</w:t>
      </w:r>
    </w:p>
    <w:p>
      <w:pPr>
        <w:spacing w:after="0" w:line="20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10.3 </w:t>
      </w:r>
      <w:r>
        <w:rPr>
          <w:rFonts w:ascii="Arial" w:cs="Arial" w:eastAsia="Arial" w:hAnsi="Arial"/>
          <w:sz w:val="20"/>
          <w:szCs w:val="20"/>
          <w:i w:val="1"/>
          <w:iCs w:val="1"/>
          <w:color w:val="auto"/>
        </w:rPr>
        <w:t>Code Section 83(b) Elections.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its Subsidiaries and Affiliated Entities have no responsibility</w:t>
      </w:r>
      <w:r>
        <w:rPr>
          <w:rFonts w:ascii="Arial" w:cs="Arial" w:eastAsia="Arial" w:hAnsi="Arial"/>
          <w:sz w:val="20"/>
          <w:szCs w:val="20"/>
          <w:b w:val="1"/>
          <w:bCs w:val="1"/>
          <w:color w:val="auto"/>
        </w:rPr>
        <w:t xml:space="preserve"> </w:t>
      </w:r>
      <w:r>
        <w:rPr>
          <w:rFonts w:ascii="Arial" w:cs="Arial" w:eastAsia="Arial" w:hAnsi="Arial"/>
          <w:sz w:val="20"/>
          <w:szCs w:val="20"/>
          <w:color w:val="auto"/>
        </w:rPr>
        <w:t>for a Participant’s election, attempt to elect or failure to elect to include the value of an Award subject to Section 83 in the Participant’s gross income for the year of grant pursuant to Section 83(b) of the Code. Any Participant who makes an election pursuant to Section 83(b) will promptly provide the Committee with a copy of the election form.</w:t>
      </w:r>
    </w:p>
    <w:p>
      <w:pPr>
        <w:spacing w:after="0" w:line="21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b w:val="1"/>
          <w:bCs w:val="1"/>
          <w:color w:val="auto"/>
        </w:rPr>
        <w:t xml:space="preserve">Section 10.4 </w:t>
      </w:r>
      <w:r>
        <w:rPr>
          <w:rFonts w:ascii="Arial" w:cs="Arial" w:eastAsia="Arial" w:hAnsi="Arial"/>
          <w:sz w:val="20"/>
          <w:szCs w:val="20"/>
          <w:i w:val="1"/>
          <w:iCs w:val="1"/>
          <w:color w:val="auto"/>
        </w:rPr>
        <w:t>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and all Awards shall be administered, interpreted, and construed in a</w:t>
      </w:r>
      <w:r>
        <w:rPr>
          <w:rFonts w:ascii="Arial" w:cs="Arial" w:eastAsia="Arial" w:hAnsi="Arial"/>
          <w:sz w:val="20"/>
          <w:szCs w:val="20"/>
          <w:b w:val="1"/>
          <w:bCs w:val="1"/>
          <w:color w:val="auto"/>
        </w:rPr>
        <w:t xml:space="preserve"> </w:t>
      </w:r>
      <w:r>
        <w:rPr>
          <w:rFonts w:ascii="Arial" w:cs="Arial" w:eastAsia="Arial" w:hAnsi="Arial"/>
          <w:sz w:val="20"/>
          <w:szCs w:val="20"/>
          <w:color w:val="auto"/>
        </w:rPr>
        <w:t>manner consistent with Code Section 409A or an exemption therefrom. Should any provision of the Plan, any Award hereunder, or any other agreement or arrangement contemplated by the Plan be found not to comply with, or otherwise be exempt from, the provisions of the Code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Code Section 409A. Without limiting the foregoing and notwithstanding anything contained herein to the contrary, to the extent required in order to avoid accelerated taxation or tax penalties under Code Section 409A, amounts that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12</w:t>
      </w:r>
    </w:p>
    <w:p>
      <w:pPr>
        <w:sectPr>
          <w:pgSz w:w="11900" w:h="16838" w:orient="portrait"/>
          <w:cols w:equalWidth="0" w:num="1">
            <w:col w:w="11240"/>
          </w:cols>
          <w:pgMar w:left="320" w:top="928" w:right="339" w:bottom="1440" w:gutter="0" w:footer="0" w:header="0"/>
        </w:sectPr>
      </w:pPr>
    </w:p>
    <w:bookmarkStart w:id="159" w:name="page160"/>
    <w:bookmarkEnd w:id="159"/>
    <w:p>
      <w:pPr>
        <w:jc w:val="both"/>
        <w:spacing w:after="0" w:line="233" w:lineRule="auto"/>
        <w:rPr>
          <w:sz w:val="20"/>
          <w:szCs w:val="20"/>
          <w:color w:val="auto"/>
        </w:rPr>
      </w:pPr>
      <w:r>
        <w:rPr>
          <w:rFonts w:ascii="Arial" w:cs="Arial" w:eastAsia="Arial" w:hAnsi="Arial"/>
          <w:sz w:val="20"/>
          <w:szCs w:val="20"/>
          <w:color w:val="auto"/>
        </w:rPr>
        <w:t>would otherwise be payable and benefits that would otherwise be provided pursuant to this Plan during the six-month period immediately following the Participant’s separation from service shall 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an additional rate of tax on the Participant under Code Section 409A. In the event an Award is subject to Code Section 409A, any payments to be made under this Plan upon a termination of employment or service shall only be made if such termination of employment or service constitutes a “separation from service” under Code Section 409A. In no event may the Participant, directly or indirectly, designate the calendar year of any payment to be made under the Plan or any Award Agreement or otherwise. Each payment in a series of payments hereunder shall be deemed to be a separate payment for purposes of Code Section 409A. Notwithstanding the foregoing, the Company makes no representations that the payments and benefits provided under this Plan comply with Code Section 409A and in no event shall the Company be liable for all or any portion of any taxes, penalties, interest or other expenses that may be incurred by the Employee on account of non-compliance with Code Section 409A.</w:t>
      </w:r>
    </w:p>
    <w:p>
      <w:pPr>
        <w:spacing w:after="0" w:line="22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b w:val="1"/>
          <w:bCs w:val="1"/>
          <w:color w:val="auto"/>
        </w:rPr>
        <w:t xml:space="preserve">Section 10.5 </w:t>
      </w:r>
      <w:r>
        <w:rPr>
          <w:rFonts w:ascii="Arial" w:cs="Arial" w:eastAsia="Arial" w:hAnsi="Arial"/>
          <w:sz w:val="20"/>
          <w:szCs w:val="20"/>
          <w:i w:val="1"/>
          <w:iCs w:val="1"/>
          <w:color w:val="auto"/>
        </w:rPr>
        <w:t>Non-Transferability.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other provisions of the Plan and any applicable Award Agreement, Awards</w:t>
      </w:r>
      <w:r>
        <w:rPr>
          <w:rFonts w:ascii="Arial" w:cs="Arial" w:eastAsia="Arial" w:hAnsi="Arial"/>
          <w:sz w:val="20"/>
          <w:szCs w:val="20"/>
          <w:b w:val="1"/>
          <w:bCs w:val="1"/>
          <w:color w:val="auto"/>
        </w:rPr>
        <w:t xml:space="preserve"> </w:t>
      </w:r>
      <w:r>
        <w:rPr>
          <w:rFonts w:ascii="Arial" w:cs="Arial" w:eastAsia="Arial" w:hAnsi="Arial"/>
          <w:sz w:val="20"/>
          <w:szCs w:val="20"/>
          <w:color w:val="auto"/>
        </w:rPr>
        <w:t>are not transferable other than by will or the laws of descent and distribution. Any attempted sale, transfer, assignment, pledge, hypothecation or other disposition of, or the levy of execution, attachment or similar process upon, any Award contrary to the provisions hereof shall be void and ineffective, shall give no right to any purported transferee, any may, at the sole discretion of the Committee, result in forfeiture of the Award involved in such attempt. The Committee shall impose such other restrictions and conditions on any shares of Common Stock covered by an Award as it may deem advisable including, without limitation, restrictions under applicable Federal or state securities laws, and may legend the certificates representing the shares of Common Stock subject to the Award to give appropriate notice of such restrictions.</w:t>
      </w:r>
    </w:p>
    <w:p>
      <w:pPr>
        <w:spacing w:after="0" w:line="2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10.6 </w:t>
      </w:r>
      <w:r>
        <w:rPr>
          <w:rFonts w:ascii="Arial" w:cs="Arial" w:eastAsia="Arial" w:hAnsi="Arial"/>
          <w:sz w:val="20"/>
          <w:szCs w:val="20"/>
          <w:i w:val="1"/>
          <w:iCs w:val="1"/>
          <w:color w:val="auto"/>
        </w:rPr>
        <w:t>Committee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Committee’s determinations under the Plan, including without limitation, (i) the</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of the Eligible Persons to receive Awards, (ii) the form, amount and timing of such Awards, (iii) the terms and provisions of such Awards, (iv) minimum employment or service periods, and (v) agreements evidencing the same, need not be uniform and, subject to any restrictions set forth in the Plan, may be made by the Committee selectively among Participants who receive, or who are eligible to receive, Awards under the Plan, whether or not such Participants are similarly situated.</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0"/>
          <w:szCs w:val="20"/>
          <w:b w:val="1"/>
          <w:bCs w:val="1"/>
          <w:color w:val="auto"/>
        </w:rPr>
        <w:t xml:space="preserve">Section 10.7 </w:t>
      </w:r>
      <w:r>
        <w:rPr>
          <w:rFonts w:ascii="Arial" w:cs="Arial" w:eastAsia="Arial" w:hAnsi="Arial"/>
          <w:sz w:val="20"/>
          <w:szCs w:val="20"/>
          <w:i w:val="1"/>
          <w:iCs w:val="1"/>
          <w:color w:val="auto"/>
        </w:rPr>
        <w:t>Leaves of Absence, Suspensions.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shall be entitled to make such rules, regulations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determinations as it deems appropriate under the Plan in respect of any suspension of employment or leave of absence from the Company granted to a Participant whether such suspension or leave is paid or unpaid and whether due to a Disability or otherwise. Without limiting the generality of the foregoing, the Committee shall be entitled to determine (i) whether or not any such suspension or leave of absence shall be treated as if the Participant ceased to be an employee of the Company and (ii) the impact, if any, of any such suspension or leave of absence on Awards under the Plan.</w:t>
      </w:r>
    </w:p>
    <w:p>
      <w:pPr>
        <w:spacing w:after="0" w:line="20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b w:val="1"/>
          <w:bCs w:val="1"/>
          <w:color w:val="auto"/>
        </w:rPr>
        <w:t xml:space="preserve">Section 10.8 </w:t>
      </w:r>
      <w:r>
        <w:rPr>
          <w:rFonts w:ascii="Arial" w:cs="Arial" w:eastAsia="Arial" w:hAnsi="Arial"/>
          <w:sz w:val="20"/>
          <w:szCs w:val="20"/>
          <w:i w:val="1"/>
          <w:iCs w:val="1"/>
          <w:color w:val="auto"/>
        </w:rPr>
        <w:t>Participant Misconduct.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in the Plan to the contrary, the Committee shall have the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authority under the Plan to determine that in the event of serious misconduct by the Participant (including violations of employment agreements, confidentiality or other proprietary matters) or any activity of a Participant in competition with the business of the Company or any Subsidiary or Affiliated Entity, any outstanding Award granted to such Participant may be cancelled, in whole or in part, whether or not vested. The determination of whether a Participant has engaged in a serious breach of conduct or 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420"/>
        <w:spacing w:after="0"/>
        <w:rPr>
          <w:sz w:val="20"/>
          <w:szCs w:val="20"/>
          <w:color w:val="auto"/>
        </w:rPr>
      </w:pPr>
      <w:r>
        <w:rPr>
          <w:rFonts w:ascii="Arial" w:cs="Arial" w:eastAsia="Arial" w:hAnsi="Arial"/>
          <w:sz w:val="21"/>
          <w:szCs w:val="21"/>
          <w:b w:val="1"/>
          <w:bCs w:val="1"/>
          <w:color w:val="auto"/>
        </w:rPr>
        <w:t xml:space="preserve">EXPAND ENERGY CORPORATION </w:t>
      </w:r>
      <w:r>
        <w:rPr>
          <w:rFonts w:ascii="Arial" w:cs="Arial" w:eastAsia="Arial" w:hAnsi="Arial"/>
          <w:sz w:val="21"/>
          <w:szCs w:val="21"/>
          <w:color w:val="auto"/>
        </w:rPr>
        <w:t>13</w:t>
      </w:r>
    </w:p>
    <w:p>
      <w:pPr>
        <w:sectPr>
          <w:pgSz w:w="11900" w:h="16838" w:orient="portrait"/>
          <w:cols w:equalWidth="0" w:num="1">
            <w:col w:w="11240"/>
          </w:cols>
          <w:pgMar w:left="320" w:top="928" w:right="339" w:bottom="1440" w:gutter="0" w:footer="0" w:header="0"/>
        </w:sectPr>
      </w:pPr>
    </w:p>
    <w:bookmarkStart w:id="160" w:name="page161"/>
    <w:bookmarkEnd w:id="160"/>
    <w:p>
      <w:pPr>
        <w:jc w:val="both"/>
        <w:spacing w:after="0" w:line="257" w:lineRule="auto"/>
        <w:rPr>
          <w:sz w:val="20"/>
          <w:szCs w:val="20"/>
          <w:color w:val="auto"/>
        </w:rPr>
      </w:pPr>
      <w:r>
        <w:rPr>
          <w:rFonts w:ascii="Arial" w:cs="Arial" w:eastAsia="Arial" w:hAnsi="Arial"/>
          <w:sz w:val="20"/>
          <w:szCs w:val="20"/>
          <w:color w:val="auto"/>
        </w:rPr>
        <w:t>activity in competition with the business of the Company or any Subsidiary or Affiliated Entity shall be determined by the Committee in good faith and in its sole discretion.</w:t>
      </w:r>
    </w:p>
    <w:p>
      <w:pPr>
        <w:spacing w:after="0" w:line="19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10.9 </w:t>
      </w:r>
      <w:r>
        <w:rPr>
          <w:rFonts w:ascii="Arial" w:cs="Arial" w:eastAsia="Arial" w:hAnsi="Arial"/>
          <w:sz w:val="20"/>
          <w:szCs w:val="20"/>
          <w:i w:val="1"/>
          <w:iCs w:val="1"/>
          <w:color w:val="auto"/>
        </w:rPr>
        <w:t>Regulatory Approval and Listings.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shall use its best efforts to file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as soon as practicable following the date this Plan is effective, and keep continuously effective and usable, a Registration Statement on Form S-8 with respect to shares of Common Stock subject to Awards hereunder. Notwithstanding anything contained in this Plan to the contrary, the Company shall have no obligation to issue or deliver certificates representing shares of Common Stock evidencing Awards prior to:</w:t>
      </w:r>
    </w:p>
    <w:p>
      <w:pPr>
        <w:spacing w:after="0" w:line="197" w:lineRule="exact"/>
        <w:rPr>
          <w:sz w:val="20"/>
          <w:szCs w:val="20"/>
          <w:color w:val="auto"/>
        </w:rPr>
      </w:pPr>
    </w:p>
    <w:p>
      <w:pPr>
        <w:ind w:left="660" w:hanging="4"/>
        <w:spacing w:after="0" w:line="257" w:lineRule="auto"/>
        <w:tabs>
          <w:tab w:leader="none" w:pos="128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obtaining of any approval from, or satisfaction of any waiting period or other condition imposed by, any governmental agency which the Committee shall, in its sole discretion, determine to be necessary or advisable;</w:t>
      </w:r>
    </w:p>
    <w:p>
      <w:pPr>
        <w:spacing w:after="0" w:line="195" w:lineRule="exact"/>
        <w:rPr>
          <w:rFonts w:ascii="Arial" w:cs="Arial" w:eastAsia="Arial" w:hAnsi="Arial"/>
          <w:sz w:val="20"/>
          <w:szCs w:val="20"/>
          <w:color w:val="auto"/>
        </w:rPr>
      </w:pPr>
    </w:p>
    <w:p>
      <w:pPr>
        <w:ind w:left="1120" w:hanging="464"/>
        <w:spacing w:after="0"/>
        <w:tabs>
          <w:tab w:leader="none" w:pos="112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listing of such shares on any exchange on which the Common Stock may be listed; and</w:t>
      </w:r>
    </w:p>
    <w:p>
      <w:pPr>
        <w:spacing w:after="0" w:line="229" w:lineRule="exact"/>
        <w:rPr>
          <w:rFonts w:ascii="Arial" w:cs="Arial" w:eastAsia="Arial" w:hAnsi="Arial"/>
          <w:sz w:val="20"/>
          <w:szCs w:val="20"/>
          <w:color w:val="auto"/>
        </w:rPr>
      </w:pPr>
    </w:p>
    <w:p>
      <w:pPr>
        <w:ind w:left="660" w:hanging="4"/>
        <w:spacing w:after="0" w:line="271" w:lineRule="auto"/>
        <w:tabs>
          <w:tab w:leader="none" w:pos="1111"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completion of any registration or other qualification of such shares under any state or federal law or regulation of any governmental body which the Committee shall, in its sole discretion, determine to be necessary or advisable.</w:t>
      </w:r>
    </w:p>
    <w:p>
      <w:pPr>
        <w:spacing w:after="0" w:line="1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b w:val="1"/>
          <w:bCs w:val="1"/>
          <w:color w:val="auto"/>
        </w:rPr>
        <w:t xml:space="preserve">Section 10.10 </w:t>
      </w:r>
      <w:r>
        <w:rPr>
          <w:rFonts w:ascii="Arial" w:cs="Arial" w:eastAsia="Arial" w:hAnsi="Arial"/>
          <w:sz w:val="20"/>
          <w:szCs w:val="20"/>
          <w:i w:val="1"/>
          <w:iCs w:val="1"/>
          <w:color w:val="auto"/>
        </w:rPr>
        <w:t>Right to Continued Employment or Board Membership.</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shall not give any</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any right to remain in the employ of the Company, a Subsidiary or an Affiliated Entity or any right to remain on the Board of the Company. Further, the adoption of this Plan shall not be deemed to give any Employee or Non-Employee Director or any other individual any right to be granted an Award.</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0"/>
          <w:szCs w:val="20"/>
          <w:b w:val="1"/>
          <w:bCs w:val="1"/>
          <w:color w:val="auto"/>
        </w:rPr>
        <w:t xml:space="preserve">Section 10.11 </w:t>
      </w:r>
      <w:r>
        <w:rPr>
          <w:rFonts w:ascii="Arial" w:cs="Arial" w:eastAsia="Arial" w:hAnsi="Arial"/>
          <w:sz w:val="20"/>
          <w:szCs w:val="20"/>
          <w:i w:val="1"/>
          <w:iCs w:val="1"/>
          <w:color w:val="auto"/>
        </w:rPr>
        <w:t>Other Compensation Programs.</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and terms of the Plan shall not limit the authority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Board in compensating Employees and Non-Employee Directors in such other forms and amounts, including compensation pursuant to any other plans as may be currently in effect or adopted in the future, as it may determine from time to time.</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b w:val="1"/>
          <w:bCs w:val="1"/>
          <w:color w:val="auto"/>
        </w:rPr>
        <w:t xml:space="preserve">Section 10.12 </w:t>
      </w:r>
      <w:r>
        <w:rPr>
          <w:rFonts w:ascii="Arial" w:cs="Arial" w:eastAsia="Arial" w:hAnsi="Arial"/>
          <w:sz w:val="20"/>
          <w:szCs w:val="20"/>
          <w:i w:val="1"/>
          <w:iCs w:val="1"/>
          <w:color w:val="auto"/>
        </w:rPr>
        <w:t>Reliance on Reports.</w:t>
      </w:r>
      <w:r>
        <w:rPr>
          <w:rFonts w:ascii="Arial" w:cs="Arial" w:eastAsia="Arial" w:hAnsi="Arial"/>
          <w:sz w:val="20"/>
          <w:szCs w:val="20"/>
          <w:b w:val="1"/>
          <w:bCs w:val="1"/>
          <w:color w:val="auto"/>
        </w:rPr>
        <w:t xml:space="preserve"> </w:t>
      </w:r>
      <w:r>
        <w:rPr>
          <w:rFonts w:ascii="Arial" w:cs="Arial" w:eastAsia="Arial" w:hAnsi="Arial"/>
          <w:sz w:val="20"/>
          <w:szCs w:val="20"/>
          <w:color w:val="auto"/>
        </w:rPr>
        <w:t>Each member of the Committee and each member of the Board shall be fully</w:t>
      </w:r>
      <w:r>
        <w:rPr>
          <w:rFonts w:ascii="Arial" w:cs="Arial" w:eastAsia="Arial" w:hAnsi="Arial"/>
          <w:sz w:val="20"/>
          <w:szCs w:val="20"/>
          <w:b w:val="1"/>
          <w:bCs w:val="1"/>
          <w:color w:val="auto"/>
        </w:rPr>
        <w:t xml:space="preserve"> </w:t>
      </w:r>
      <w:r>
        <w:rPr>
          <w:rFonts w:ascii="Arial" w:cs="Arial" w:eastAsia="Arial" w:hAnsi="Arial"/>
          <w:sz w:val="20"/>
          <w:szCs w:val="20"/>
          <w:color w:val="auto"/>
        </w:rPr>
        <w:t>justified in relying or acting in good faith upon any report made by the independent public accountants of the Company and its Subsidiaries and upon any other information furnished in connection with the Plan by any person or persons other than the Committee or Board member. In no event shall any person who is or shall have been a member of the Committee or the Board be liable for any determination made or other action taken or any omission to act in reliance upon any such report or information, including the furnishing of information, or failure to act, if in good faith.</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b w:val="1"/>
          <w:bCs w:val="1"/>
          <w:color w:val="auto"/>
        </w:rPr>
        <w:t xml:space="preserve">Section 10.13 </w:t>
      </w:r>
      <w:r>
        <w:rPr>
          <w:rFonts w:ascii="Arial" w:cs="Arial" w:eastAsia="Arial" w:hAnsi="Arial"/>
          <w:sz w:val="20"/>
          <w:szCs w:val="20"/>
          <w:i w:val="1"/>
          <w:iCs w:val="1"/>
          <w:color w:val="auto"/>
        </w:rPr>
        <w:t>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titles and headings of the sections in the Plan are for the convenience of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only, and in the event of any conflict, the text of the Plan, rather than such titles or headings, shall control.</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Section 10.14 </w:t>
      </w:r>
      <w:r>
        <w:rPr>
          <w:rFonts w:ascii="Arial" w:cs="Arial" w:eastAsia="Arial" w:hAnsi="Arial"/>
          <w:sz w:val="20"/>
          <w:szCs w:val="20"/>
          <w:i w:val="1"/>
          <w:iCs w:val="1"/>
          <w:color w:val="auto"/>
        </w:rPr>
        <w:t>Governing Law,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 governed by and construed in accordance with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Oklahoma except as superseded by applicable federal law. If any provision of the Plan is held unlawful or otherwise invalid or unenforceable in whole or in part, the unlawfulness, invalidity or unenforceability will not affect any other parts of the Plan, which will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 xml:space="preserve">EXPAND ENERGY CORPORATION </w:t>
      </w:r>
      <w:r>
        <w:rPr>
          <w:rFonts w:ascii="Arial" w:cs="Arial" w:eastAsia="Arial" w:hAnsi="Arial"/>
          <w:sz w:val="22"/>
          <w:szCs w:val="22"/>
          <w:color w:val="auto"/>
        </w:rPr>
        <w:t>14</w:t>
      </w:r>
    </w:p>
    <w:p>
      <w:pPr>
        <w:sectPr>
          <w:pgSz w:w="11900" w:h="16838" w:orient="portrait"/>
          <w:cols w:equalWidth="0" w:num="1">
            <w:col w:w="11240"/>
          </w:cols>
          <w:pgMar w:left="320" w:top="928"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10.13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 EXPAND ENERGY CORPORATION 2021</w:t>
      </w:r>
    </w:p>
    <w:p>
      <w:pPr>
        <w:jc w:val="center"/>
        <w:spacing w:after="0"/>
        <w:rPr>
          <w:sz w:val="20"/>
          <w:szCs w:val="20"/>
          <w:color w:val="auto"/>
        </w:rPr>
      </w:pPr>
      <w:r>
        <w:rPr>
          <w:rFonts w:ascii="Arial" w:cs="Arial" w:eastAsia="Arial" w:hAnsi="Arial"/>
          <w:sz w:val="22"/>
          <w:szCs w:val="22"/>
          <w:b w:val="1"/>
          <w:bCs w:val="1"/>
          <w:color w:val="auto"/>
        </w:rPr>
        <w:t>LONG TERM INCENTIVE PLAN</w:t>
      </w:r>
    </w:p>
    <w:p>
      <w:pPr>
        <w:spacing w:after="0" w:line="200" w:lineRule="exact"/>
        <w:rPr>
          <w:sz w:val="20"/>
          <w:szCs w:val="20"/>
          <w:color w:val="auto"/>
        </w:rPr>
      </w:pP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22"/>
          <w:szCs w:val="22"/>
          <w:color w:val="auto"/>
        </w:rPr>
        <w:t>Effective as of April 26, 2021, pursuant to action taken by the Board of Directors of Expand Energy Corporation, the Expand Energy Corporation 2021 Long Term Incentive Plan is hereby amended by deleting Section 3.3(a) its entirety and replacing it with the following:</w:t>
      </w:r>
    </w:p>
    <w:p>
      <w:pPr>
        <w:spacing w:after="0" w:line="213" w:lineRule="exact"/>
        <w:rPr>
          <w:sz w:val="20"/>
          <w:szCs w:val="20"/>
          <w:color w:val="auto"/>
        </w:rPr>
      </w:pPr>
    </w:p>
    <w:p>
      <w:pPr>
        <w:jc w:val="both"/>
        <w:ind w:left="420" w:right="400"/>
        <w:spacing w:after="0" w:line="239" w:lineRule="auto"/>
        <w:rPr>
          <w:sz w:val="20"/>
          <w:szCs w:val="20"/>
          <w:color w:val="auto"/>
        </w:rPr>
      </w:pPr>
      <w:r>
        <w:rPr>
          <w:rFonts w:ascii="Arial" w:cs="Arial" w:eastAsia="Arial" w:hAnsi="Arial"/>
          <w:sz w:val="22"/>
          <w:szCs w:val="22"/>
          <w:color w:val="auto"/>
        </w:rPr>
        <w:t xml:space="preserve">“Subject to adjustment as provided in Section 9.1, the aggregate number of shares of Common Stock pursuant to Awards granted to any Non-Employee Director </w:t>
      </w:r>
      <w:r>
        <w:rPr>
          <w:rFonts w:ascii="Arial" w:cs="Arial" w:eastAsia="Arial" w:hAnsi="Arial"/>
          <w:sz w:val="22"/>
          <w:szCs w:val="22"/>
          <w:b w:val="1"/>
          <w:bCs w:val="1"/>
          <w:u w:val="single" w:color="auto"/>
          <w:color w:val="auto"/>
        </w:rPr>
        <w:t>for such individual’s service on the Board</w:t>
      </w:r>
      <w:r>
        <w:rPr>
          <w:rFonts w:ascii="Arial" w:cs="Arial" w:eastAsia="Arial" w:hAnsi="Arial"/>
          <w:sz w:val="28"/>
          <w:szCs w:val="28"/>
          <w:b w:val="1"/>
          <w:bCs w:val="1"/>
          <w:color w:val="auto"/>
          <w:vertAlign w:val="superscript"/>
        </w:rPr>
        <w:t>1</w:t>
      </w:r>
      <w:r>
        <w:rPr>
          <w:rFonts w:ascii="Arial" w:cs="Arial" w:eastAsia="Arial" w:hAnsi="Arial"/>
          <w:sz w:val="22"/>
          <w:szCs w:val="22"/>
          <w:color w:val="auto"/>
        </w:rPr>
        <w:t xml:space="preserve"> in any calendar year under this Plan may not exceed a number of shares of Common Stock with a total value in excess of $500,000 (calculating the value of any Awards based on the grant date fair value for financial reporting purposes), provided that, for any calendar year in which a Non-Employee Director (i) first commences service on the Board, (ii) serves on a special committee of the Board, or (iii) serves as lead director or chairman of the Board, such limit shall be $750,000.”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ind w:firstLine="8"/>
        <w:spacing w:after="0" w:line="216" w:lineRule="auto"/>
        <w:tabs>
          <w:tab w:leader="none" w:pos="146" w:val="left"/>
        </w:tabs>
        <w:numPr>
          <w:ilvl w:val="0"/>
          <w:numId w:val="101"/>
        </w:numPr>
        <w:rPr>
          <w:rFonts w:ascii="Arial" w:cs="Arial" w:eastAsia="Arial" w:hAnsi="Arial"/>
          <w:sz w:val="28"/>
          <w:szCs w:val="28"/>
          <w:color w:val="auto"/>
          <w:vertAlign w:val="superscript"/>
        </w:rPr>
      </w:pPr>
      <w:r>
        <w:rPr>
          <w:rFonts w:ascii="Arial" w:cs="Arial" w:eastAsia="Arial" w:hAnsi="Arial"/>
          <w:sz w:val="22"/>
          <w:szCs w:val="22"/>
          <w:color w:val="auto"/>
        </w:rPr>
        <w:t>This bolded and underlined language is the new language that the amendment is adding to the current provision in the LTIP.</w:t>
      </w:r>
    </w:p>
    <w:p>
      <w:pPr>
        <w:sectPr>
          <w:pgSz w:w="11900" w:h="16838" w:orient="portrait"/>
          <w:cols w:equalWidth="0" w:num="1">
            <w:col w:w="11240"/>
          </w:cols>
          <w:pgMar w:left="320" w:top="931"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10.14</w:t>
      </w:r>
    </w:p>
    <w:p>
      <w:pPr>
        <w:spacing w:after="0" w:line="21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RESTRICTED STOCK UNIT AWARD AGREEMENT FOR</w:t>
      </w:r>
    </w:p>
    <w:p>
      <w:pPr>
        <w:jc w:val="center"/>
        <w:spacing w:after="0" w:line="204" w:lineRule="auto"/>
        <w:rPr>
          <w:sz w:val="20"/>
          <w:szCs w:val="20"/>
          <w:color w:val="auto"/>
        </w:rPr>
      </w:pPr>
      <w:r>
        <w:rPr>
          <w:rFonts w:ascii="Arial" w:cs="Arial" w:eastAsia="Arial" w:hAnsi="Arial"/>
          <w:sz w:val="22"/>
          <w:szCs w:val="22"/>
          <w:b w:val="1"/>
          <w:bCs w:val="1"/>
          <w:color w:val="auto"/>
        </w:rPr>
        <w:t>EXPAND ENERGY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LONG TERM INCENTIVE PLAN</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THIS RESTRICTED STOCK UNIT AWARD AGREEMENT (the “Agreement”) entered into as of the grant date set forth on the attached Notice of Grant of Restricted Stock Units and Award Agreement (the “Notice”), by and between Expand Energy Corporation, an Oklahoma corporation (the “Company”), and the participant named on the Notice (the “Participant”);</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 I T N E S S E T H:</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Participant is an Employee, and it is important to the Company that the Participant be encouraged to remain an Employee;</w:t>
      </w:r>
    </w:p>
    <w:p>
      <w:pPr>
        <w:spacing w:after="0" w:line="183"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21"/>
          <w:szCs w:val="21"/>
          <w:color w:val="auto"/>
        </w:rPr>
        <w:t>WHEREAS, the Company has previously adopted the Expand Energy Corporation 2021 Long Term Incentive Plan effective as of February 9, 2021, as amended, restated or otherwise modified from time to time (the “Plan”); and</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WHEREAS, the Company has awarded the Participant Restricted Stock Units under the Plan, as set forth on the Notice, subject to the terms and conditions of this Agreement.</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96" w:lineRule="exact"/>
        <w:rPr>
          <w:sz w:val="20"/>
          <w:szCs w:val="20"/>
          <w:color w:val="auto"/>
        </w:rPr>
      </w:pPr>
    </w:p>
    <w:p>
      <w:pPr>
        <w:jc w:val="both"/>
        <w:ind w:firstLine="656"/>
        <w:spacing w:after="0" w:line="253" w:lineRule="auto"/>
        <w:tabs>
          <w:tab w:leader="none" w:pos="1068"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202" w:lineRule="exact"/>
        <w:rPr>
          <w:rFonts w:ascii="Arial" w:cs="Arial" w:eastAsia="Arial" w:hAnsi="Arial"/>
          <w:sz w:val="22"/>
          <w:szCs w:val="22"/>
          <w:color w:val="auto"/>
        </w:rPr>
      </w:pPr>
    </w:p>
    <w:p>
      <w:pPr>
        <w:jc w:val="both"/>
        <w:ind w:firstLine="656"/>
        <w:spacing w:after="0" w:line="253" w:lineRule="auto"/>
        <w:tabs>
          <w:tab w:leader="none" w:pos="1095"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Restricted Stock Units set forth in the Notice, on the terms and conditions set forth herein and in the Plan (the “Award”). Each Restricted Stock Unit granted pursuant to this Award gives the Participant the right to receive payment, upon satisfaction of the vesting conditions set forth in the Notice and this Agreement, of one share of Common Stock in the manner set forth in Section 5 below.</w:t>
      </w:r>
    </w:p>
    <w:p>
      <w:pPr>
        <w:spacing w:after="0" w:line="205" w:lineRule="exact"/>
        <w:rPr>
          <w:rFonts w:ascii="Arial" w:cs="Arial" w:eastAsia="Arial" w:hAnsi="Arial"/>
          <w:sz w:val="22"/>
          <w:szCs w:val="22"/>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ind w:firstLine="1304"/>
        <w:spacing w:after="0" w:line="285" w:lineRule="auto"/>
        <w:tabs>
          <w:tab w:leader="none" w:pos="1962"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Sections 3(c)-(d), Restricted Stock Units will vest in accordance with the vesting schedule set forth in the Notice based on the</w:t>
      </w:r>
    </w:p>
    <w:p>
      <w:pPr>
        <w:sectPr>
          <w:pgSz w:w="11900" w:h="16838" w:orient="portrait"/>
          <w:cols w:equalWidth="0" w:num="1">
            <w:col w:w="11240"/>
          </w:cols>
          <w:pgMar w:left="320" w:top="931"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Participant’s continuous employment with or service to the Company, a Subsidiary or an Affiliated Entity.</w:t>
      </w:r>
    </w:p>
    <w:p>
      <w:pPr>
        <w:spacing w:after="0" w:line="247" w:lineRule="exact"/>
        <w:rPr>
          <w:sz w:val="20"/>
          <w:szCs w:val="20"/>
          <w:color w:val="auto"/>
        </w:rPr>
      </w:pPr>
    </w:p>
    <w:p>
      <w:pPr>
        <w:jc w:val="both"/>
        <w:ind w:firstLine="1304"/>
        <w:spacing w:after="0" w:line="257" w:lineRule="auto"/>
        <w:tabs>
          <w:tab w:leader="none" w:pos="1800"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In the event the Participant ceases to be an Employee prior to all Restricted Stock Units becoming vested, then any unvested Restricted Stock Units, and any dividends related thereto, shall be absolutely forfeited on the date of termination of service and the Participant shall have no further interest therein of any kind whatsoever.</w:t>
      </w:r>
    </w:p>
    <w:p>
      <w:pPr>
        <w:spacing w:after="0" w:line="198" w:lineRule="exact"/>
        <w:rPr>
          <w:rFonts w:ascii="Arial" w:cs="Arial" w:eastAsia="Arial" w:hAnsi="Arial"/>
          <w:sz w:val="22"/>
          <w:szCs w:val="22"/>
          <w:color w:val="auto"/>
        </w:rPr>
      </w:pPr>
    </w:p>
    <w:p>
      <w:pPr>
        <w:jc w:val="both"/>
        <w:ind w:firstLine="1304"/>
        <w:spacing w:after="0" w:line="253" w:lineRule="auto"/>
        <w:tabs>
          <w:tab w:leader="none" w:pos="1801"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fully vested upon the Participant’s date of termination if the Participant’s termination occurs by reason of the Participant’s death. The Committee may also, in its discretion, waive the vesting requirements or permit continued vesting of the Restricted Stock Units in the event of the Participant’s Disability or termination of service due to retirement or involuntary termination (as determined by the Committee in its sole discretion).</w:t>
      </w:r>
    </w:p>
    <w:p>
      <w:pPr>
        <w:spacing w:after="0" w:line="205" w:lineRule="exact"/>
        <w:rPr>
          <w:rFonts w:ascii="Arial" w:cs="Arial" w:eastAsia="Arial" w:hAnsi="Arial"/>
          <w:sz w:val="22"/>
          <w:szCs w:val="22"/>
          <w:color w:val="auto"/>
        </w:rPr>
      </w:pPr>
    </w:p>
    <w:p>
      <w:pPr>
        <w:jc w:val="both"/>
        <w:ind w:firstLine="1304"/>
        <w:spacing w:after="0" w:line="257" w:lineRule="auto"/>
        <w:tabs>
          <w:tab w:leader="none" w:pos="1948" w:val="left"/>
        </w:tabs>
        <w:numPr>
          <w:ilvl w:val="1"/>
          <w:numId w:val="103"/>
        </w:numPr>
        <w:rPr>
          <w:rFonts w:ascii="Arial" w:cs="Arial" w:eastAsia="Arial" w:hAnsi="Arial"/>
          <w:sz w:val="22"/>
          <w:szCs w:val="22"/>
          <w:color w:val="auto"/>
        </w:rPr>
      </w:pPr>
      <w:r>
        <w:rPr>
          <w:rFonts w:ascii="Arial" w:cs="Arial" w:eastAsia="Arial" w:hAnsi="Arial"/>
          <w:sz w:val="22"/>
          <w:szCs w:val="22"/>
          <w:u w:val="single" w:color="auto"/>
          <w:color w:val="auto"/>
        </w:rPr>
        <w:t>Acceleration on Termination Without Cause Following a Change of Control</w:t>
      </w:r>
      <w:r>
        <w:rPr>
          <w:rFonts w:ascii="Arial" w:cs="Arial" w:eastAsia="Arial" w:hAnsi="Arial"/>
          <w:sz w:val="22"/>
          <w:szCs w:val="22"/>
          <w:color w:val="auto"/>
        </w:rPr>
        <w:t>. This Award shall become fully vested if the Participant’s service is terminated by the Company without Cause within the 12-month period following the effective date of a Change of Control.</w:t>
      </w:r>
    </w:p>
    <w:p>
      <w:pPr>
        <w:spacing w:after="0" w:line="199" w:lineRule="exact"/>
        <w:rPr>
          <w:rFonts w:ascii="Arial" w:cs="Arial" w:eastAsia="Arial" w:hAnsi="Arial"/>
          <w:sz w:val="22"/>
          <w:szCs w:val="22"/>
          <w:color w:val="auto"/>
        </w:rPr>
      </w:pPr>
    </w:p>
    <w:p>
      <w:pPr>
        <w:jc w:val="both"/>
        <w:ind w:firstLine="656"/>
        <w:spacing w:after="0" w:line="253" w:lineRule="auto"/>
        <w:tabs>
          <w:tab w:leader="none" w:pos="1149"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Restricted Stock Unit is not transferable other than by will or the laws of descent and distribution. Any attempted sale, assignment, transfer, pledge, hypothecation or other disposition of, or the levy of execution, attachment or similar process upon, a Restricted Stock Unit contrary to the provisions hereof shall be void and ineffective, shall give no right to any purported transferee, and may, at the sole discretion of the Committee, result in forfeiture of the Restricted Stock Unit(s) involved in such attempt.</w:t>
      </w:r>
    </w:p>
    <w:p>
      <w:pPr>
        <w:spacing w:after="0" w:line="205" w:lineRule="exact"/>
        <w:rPr>
          <w:rFonts w:ascii="Arial" w:cs="Arial" w:eastAsia="Arial" w:hAnsi="Arial"/>
          <w:sz w:val="22"/>
          <w:szCs w:val="22"/>
          <w:color w:val="auto"/>
        </w:rPr>
      </w:pPr>
    </w:p>
    <w:p>
      <w:pPr>
        <w:jc w:val="both"/>
        <w:ind w:firstLine="656"/>
        <w:spacing w:after="0" w:line="253" w:lineRule="auto"/>
        <w:tabs>
          <w:tab w:leader="none" w:pos="117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Restricted Stock Units. Such issuance shall be made to the Participant with respect to a Restricted Stock Unit within sixty (60) days following the vesting date of such Restricted Stock Unit as set forth in the Notice. Provided, that, with respect to non-409A RSUs only, in the event of accelerated vesting in accordance with Section 3, distribution shall be made within sixty (60) days following such accelerated vesting date.</w:t>
      </w:r>
    </w:p>
    <w:p>
      <w:pPr>
        <w:spacing w:after="0" w:line="205" w:lineRule="exact"/>
        <w:rPr>
          <w:rFonts w:ascii="Arial" w:cs="Arial" w:eastAsia="Arial" w:hAnsi="Arial"/>
          <w:sz w:val="22"/>
          <w:szCs w:val="22"/>
          <w:color w:val="auto"/>
        </w:rPr>
      </w:pPr>
    </w:p>
    <w:p>
      <w:pPr>
        <w:jc w:val="both"/>
        <w:ind w:firstLine="656"/>
        <w:spacing w:after="0" w:line="251" w:lineRule="auto"/>
        <w:tabs>
          <w:tab w:leader="none" w:pos="119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Dividends Equivalents</w:t>
      </w:r>
      <w:r>
        <w:rPr>
          <w:rFonts w:ascii="Arial" w:cs="Arial" w:eastAsia="Arial" w:hAnsi="Arial"/>
          <w:sz w:val="22"/>
          <w:szCs w:val="22"/>
          <w:color w:val="auto"/>
        </w:rPr>
        <w:t>. In the event that the Company declares and pays a dividend in respect of its outstanding shares of Common Stock and, on the record date for such dividend, the Participant holds Restricted Stock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Restricted Stock Units held by the Participant that have not been settled as of such record date, such payment to be made on the date that shares of Common Stock are issued to the Participant in respect of the Restricted Stock Units 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7" w:right="339" w:bottom="1440" w:gutter="0" w:footer="0" w:header="0"/>
        </w:sectPr>
      </w:pPr>
    </w:p>
    <w:bookmarkStart w:id="164" w:name="page165"/>
    <w:bookmarkEnd w:id="164"/>
    <w:p>
      <w:pPr>
        <w:jc w:val="both"/>
        <w:spacing w:after="0" w:line="253" w:lineRule="auto"/>
        <w:rPr>
          <w:sz w:val="20"/>
          <w:szCs w:val="20"/>
          <w:color w:val="auto"/>
        </w:rPr>
      </w:pPr>
      <w:r>
        <w:rPr>
          <w:rFonts w:ascii="Arial" w:cs="Arial" w:eastAsia="Arial" w:hAnsi="Arial"/>
          <w:sz w:val="22"/>
          <w:szCs w:val="22"/>
          <w:color w:val="auto"/>
        </w:rPr>
        <w:t>accordance with Section 5 (the “Dividend Equivalents”). For purposes of clarity, if the Restricted Stock Units (or any portion thereof) are forfeited by the Participant pursuant to the terms of this Agreement, then the Participant shall also forfeit the Dividend Equivalents, if any, accrued with respect to such forfeited Restricted Stock Units. No interest will accrue on the Dividend Equivalents between the declaration and payment of the applicable dividends and the settlement of the Dividend Equivalents.</w:t>
      </w:r>
    </w:p>
    <w:p>
      <w:pPr>
        <w:spacing w:after="0" w:line="206" w:lineRule="exact"/>
        <w:rPr>
          <w:sz w:val="20"/>
          <w:szCs w:val="20"/>
          <w:color w:val="auto"/>
        </w:rPr>
      </w:pPr>
    </w:p>
    <w:p>
      <w:pPr>
        <w:jc w:val="both"/>
        <w:ind w:firstLine="656"/>
        <w:spacing w:after="0" w:line="250" w:lineRule="auto"/>
        <w:tabs>
          <w:tab w:leader="none" w:pos="1136"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Restricted Stock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 sole discretion may also withhold any required taxes from Dividend Equivalents paid on the Restricted Stock Units.</w:t>
      </w:r>
    </w:p>
    <w:p>
      <w:pPr>
        <w:spacing w:after="0" w:line="207" w:lineRule="exact"/>
        <w:rPr>
          <w:rFonts w:ascii="Arial" w:cs="Arial" w:eastAsia="Arial" w:hAnsi="Arial"/>
          <w:sz w:val="22"/>
          <w:szCs w:val="22"/>
          <w:color w:val="auto"/>
        </w:rPr>
      </w:pPr>
    </w:p>
    <w:p>
      <w:pPr>
        <w:jc w:val="both"/>
        <w:ind w:firstLine="656"/>
        <w:spacing w:after="0" w:line="264" w:lineRule="auto"/>
        <w:tabs>
          <w:tab w:leader="none" w:pos="112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91" w:lineRule="exact"/>
        <w:rPr>
          <w:rFonts w:ascii="Arial" w:cs="Arial" w:eastAsia="Arial" w:hAnsi="Arial"/>
          <w:sz w:val="22"/>
          <w:szCs w:val="22"/>
          <w:color w:val="auto"/>
        </w:rPr>
      </w:pPr>
    </w:p>
    <w:p>
      <w:pPr>
        <w:jc w:val="both"/>
        <w:ind w:firstLine="656"/>
        <w:spacing w:after="0" w:line="248" w:lineRule="auto"/>
        <w:tabs>
          <w:tab w:leader="none" w:pos="1082"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225" w:lineRule="exact"/>
        <w:rPr>
          <w:rFonts w:ascii="Arial" w:cs="Arial" w:eastAsia="Arial" w:hAnsi="Arial"/>
          <w:sz w:val="22"/>
          <w:szCs w:val="22"/>
          <w:color w:val="auto"/>
        </w:rPr>
      </w:pPr>
    </w:p>
    <w:p>
      <w:pPr>
        <w:ind w:left="1200" w:hanging="544"/>
        <w:spacing w:after="0"/>
        <w:tabs>
          <w:tab w:leader="none" w:pos="120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Protection of Business</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firstLine="1304"/>
        <w:spacing w:after="0" w:line="249" w:lineRule="auto"/>
        <w:tabs>
          <w:tab w:leader="none" w:pos="1827" w:val="left"/>
        </w:tabs>
        <w:numPr>
          <w:ilvl w:val="1"/>
          <w:numId w:val="105"/>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 The Participant covenants that during the term of his/her employment and for an eighteen (18) month period immediately following the termination of his/her employment for whatever reason, The Participant will neither directly nor indirectly induce or attempt to induce any employee of the Company to terminate his or her employment to go to work for any other entity or third party. The Participant further agrees that during his/her employment hereunder, and for a period of one (1) year thereafter, the Participant shall not directly solicit or contact any established client or customer of the Company with a view to inducing or encouraging such established client or customer to discontinue or curtail any business relationship with the Company. The Participant further agrees that he/she will not directly request or advise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37" w:right="339" w:bottom="1440" w:gutter="0" w:footer="0" w:header="0"/>
        </w:sectPr>
      </w:pPr>
    </w:p>
    <w:bookmarkStart w:id="165" w:name="page166"/>
    <w:bookmarkEnd w:id="165"/>
    <w:p>
      <w:pPr>
        <w:spacing w:after="0" w:line="272" w:lineRule="auto"/>
        <w:rPr>
          <w:sz w:val="20"/>
          <w:szCs w:val="20"/>
          <w:color w:val="auto"/>
        </w:rPr>
      </w:pPr>
      <w:r>
        <w:rPr>
          <w:rFonts w:ascii="Arial" w:cs="Arial" w:eastAsia="Arial" w:hAnsi="Arial"/>
          <w:sz w:val="22"/>
          <w:szCs w:val="22"/>
          <w:color w:val="auto"/>
        </w:rPr>
        <w:t>any established clients, customers or suppliers of the Company to withdraw, curtail or cancel their business with the Company.</w:t>
      </w:r>
    </w:p>
    <w:p>
      <w:pPr>
        <w:spacing w:after="0" w:line="183" w:lineRule="exact"/>
        <w:rPr>
          <w:sz w:val="20"/>
          <w:szCs w:val="20"/>
          <w:color w:val="auto"/>
        </w:rPr>
      </w:pPr>
    </w:p>
    <w:p>
      <w:pPr>
        <w:jc w:val="both"/>
        <w:ind w:firstLine="1304"/>
        <w:spacing w:after="0" w:line="259" w:lineRule="auto"/>
        <w:tabs>
          <w:tab w:leader="none" w:pos="1854" w:val="left"/>
        </w:tabs>
        <w:numPr>
          <w:ilvl w:val="0"/>
          <w:numId w:val="106"/>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and Proprietary Information</w:t>
      </w:r>
      <w:r>
        <w:rPr>
          <w:rFonts w:ascii="Arial" w:cs="Arial" w:eastAsia="Arial" w:hAnsi="Arial"/>
          <w:sz w:val="21"/>
          <w:szCs w:val="21"/>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 risk characteristics, likely receptivity to solicitation for participation in various transactions, as well as any other business information obtained by the Participant, during the course of employment.</w:t>
      </w:r>
    </w:p>
    <w:p>
      <w:pPr>
        <w:spacing w:after="0" w:line="21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2"/>
          <w:szCs w:val="22"/>
          <w:color w:val="auto"/>
        </w:rPr>
        <w:t>Notwithstanding the foregoing, nothing in this Agreement shall prohibit or restrict the Participant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37" w:right="339" w:bottom="1440" w:gutter="0" w:footer="0" w:header="0"/>
        </w:sectPr>
      </w:pPr>
    </w:p>
    <w:bookmarkStart w:id="166" w:name="page167"/>
    <w:bookmarkEnd w:id="166"/>
    <w:p>
      <w:pPr>
        <w:spacing w:after="0" w:line="272" w:lineRule="auto"/>
        <w:rPr>
          <w:sz w:val="20"/>
          <w:szCs w:val="20"/>
          <w:color w:val="auto"/>
        </w:rPr>
      </w:pPr>
      <w:r>
        <w:rPr>
          <w:rFonts w:ascii="Arial" w:cs="Arial" w:eastAsia="Arial" w:hAnsi="Arial"/>
          <w:sz w:val="22"/>
          <w:szCs w:val="22"/>
          <w:color w:val="auto"/>
        </w:rPr>
        <w:t>requires the Participant to obtain prior authorization before engaging in any conduct described in this paragraph, or to notify the Company that the Participant has engaged in any such conduct.</w:t>
      </w:r>
    </w:p>
    <w:p>
      <w:pPr>
        <w:spacing w:after="0" w:line="183" w:lineRule="exact"/>
        <w:rPr>
          <w:sz w:val="20"/>
          <w:szCs w:val="20"/>
          <w:color w:val="auto"/>
        </w:rPr>
      </w:pPr>
    </w:p>
    <w:p>
      <w:pPr>
        <w:ind w:left="1180" w:hanging="524"/>
        <w:spacing w:after="0"/>
        <w:tabs>
          <w:tab w:leader="none" w:pos="1180"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4"/>
        <w:spacing w:after="0" w:line="250" w:lineRule="auto"/>
        <w:tabs>
          <w:tab w:leader="none" w:pos="1842" w:val="left"/>
        </w:tabs>
        <w:numPr>
          <w:ilvl w:val="2"/>
          <w:numId w:val="107"/>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207" w:lineRule="exact"/>
        <w:rPr>
          <w:rFonts w:ascii="Arial" w:cs="Arial" w:eastAsia="Arial" w:hAnsi="Arial"/>
          <w:sz w:val="22"/>
          <w:szCs w:val="22"/>
          <w:color w:val="auto"/>
        </w:rPr>
      </w:pPr>
    </w:p>
    <w:p>
      <w:pPr>
        <w:jc w:val="both"/>
        <w:ind w:firstLine="1304"/>
        <w:spacing w:after="0" w:line="253" w:lineRule="auto"/>
        <w:tabs>
          <w:tab w:leader="none" w:pos="1886" w:val="left"/>
        </w:tabs>
        <w:numPr>
          <w:ilvl w:val="2"/>
          <w:numId w:val="107"/>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205" w:lineRule="exact"/>
        <w:rPr>
          <w:rFonts w:ascii="Arial" w:cs="Arial" w:eastAsia="Arial" w:hAnsi="Arial"/>
          <w:sz w:val="22"/>
          <w:szCs w:val="22"/>
          <w:color w:val="auto"/>
        </w:rPr>
      </w:pPr>
    </w:p>
    <w:p>
      <w:pPr>
        <w:jc w:val="both"/>
        <w:ind w:right="120" w:firstLine="656"/>
        <w:spacing w:after="0" w:line="250" w:lineRule="auto"/>
        <w:tabs>
          <w:tab w:leader="none" w:pos="1202"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relating to the Plan and this Agreement as it relates to the Participant shall be in electronic or written form. If in writing, such notices shall be deemed to have been made (a) 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7" w:lineRule="exact"/>
        <w:rPr>
          <w:rFonts w:ascii="Arial" w:cs="Arial" w:eastAsia="Arial" w:hAnsi="Arial"/>
          <w:sz w:val="22"/>
          <w:szCs w:val="22"/>
          <w:color w:val="auto"/>
        </w:rPr>
      </w:pPr>
    </w:p>
    <w:p>
      <w:pPr>
        <w:jc w:val="both"/>
        <w:ind w:right="120" w:firstLine="656"/>
        <w:spacing w:after="0" w:line="256" w:lineRule="auto"/>
        <w:tabs>
          <w:tab w:leader="none" w:pos="1215"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w:t>
      </w:r>
    </w:p>
    <w:p>
      <w:pPr>
        <w:ind w:left="300" w:hanging="292"/>
        <w:spacing w:after="0"/>
        <w:tabs>
          <w:tab w:leader="none" w:pos="3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governed and construed under the laws of the State of Oklahoma.</w:t>
      </w:r>
    </w:p>
    <w:p>
      <w:pPr>
        <w:spacing w:after="0" w:line="233" w:lineRule="exact"/>
        <w:rPr>
          <w:rFonts w:ascii="Arial" w:cs="Arial" w:eastAsia="Arial" w:hAnsi="Arial"/>
          <w:sz w:val="22"/>
          <w:szCs w:val="22"/>
          <w:color w:val="auto"/>
        </w:rPr>
      </w:pPr>
    </w:p>
    <w:p>
      <w:pPr>
        <w:ind w:right="120" w:firstLine="656"/>
        <w:spacing w:after="0" w:line="296" w:lineRule="auto"/>
        <w:tabs>
          <w:tab w:leader="none" w:pos="1188" w:val="left"/>
        </w:tabs>
        <w:numPr>
          <w:ilvl w:val="1"/>
          <w:numId w:val="108"/>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60" w:lineRule="exact"/>
        <w:rPr>
          <w:rFonts w:ascii="Arial" w:cs="Arial" w:eastAsia="Arial" w:hAnsi="Arial"/>
          <w:sz w:val="21"/>
          <w:szCs w:val="21"/>
          <w:color w:val="auto"/>
        </w:rPr>
      </w:pPr>
    </w:p>
    <w:p>
      <w:pPr>
        <w:ind w:right="120" w:firstLine="656"/>
        <w:spacing w:after="0" w:line="272" w:lineRule="auto"/>
        <w:tabs>
          <w:tab w:leader="none" w:pos="1202"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37" w:right="339" w:bottom="1440" w:gutter="0" w:footer="0" w:header="0"/>
        </w:sectPr>
      </w:pPr>
    </w:p>
    <w:bookmarkStart w:id="167" w:name="page168"/>
    <w:bookmarkEnd w:id="167"/>
    <w:p>
      <w:pPr>
        <w:ind w:left="1200" w:hanging="544"/>
        <w:spacing w:after="0"/>
        <w:tabs>
          <w:tab w:leader="none" w:pos="1200"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Code Section 409A.</w:t>
      </w:r>
    </w:p>
    <w:p>
      <w:pPr>
        <w:spacing w:after="0" w:line="246" w:lineRule="exact"/>
        <w:rPr>
          <w:rFonts w:ascii="Arial" w:cs="Arial" w:eastAsia="Arial" w:hAnsi="Arial"/>
          <w:sz w:val="22"/>
          <w:szCs w:val="22"/>
          <w:color w:val="auto"/>
        </w:rPr>
      </w:pPr>
    </w:p>
    <w:p>
      <w:pPr>
        <w:jc w:val="both"/>
        <w:ind w:firstLine="1304"/>
        <w:spacing w:after="0" w:line="248" w:lineRule="auto"/>
        <w:tabs>
          <w:tab w:leader="none" w:pos="1975"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Agreement and the Restricted Stock Units granted hereunder are intended to comply with, or otherwise be exempt from, Code Section 409A. The Agreement and the Restricted Stock Units shall be administered, interpreted, and construed in a manner consistent with Code Section 409A or an exemption therefrom. Should any provision of the Plan or the Agreement be found not to comply with, or otherwise be exempt from, the provisions of Code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Code Section 409A. Notwithstanding the foregoing, the Company makes no representations that the payments and benefits provided under the Plan or this Agreement comply with Code Section 409A and in no event shall the Company be liable for all or any portion of any taxes, penalties, interest or other expenses that may be incurred by the Participant on account of non-compliance with Code Section 409A. The Participant acknowledges that there may be adverse tax consequences upon the vesting or settlement of the Restricted Stock Units or the disposition of the underlying shares of Common Stock and that the Participant has been advised, and hereby is advised, to consult a tax advisor prior to such vesting, settlement or disposition.</w:t>
      </w:r>
    </w:p>
    <w:p>
      <w:pPr>
        <w:spacing w:after="0" w:line="214" w:lineRule="exact"/>
        <w:rPr>
          <w:rFonts w:ascii="Arial" w:cs="Arial" w:eastAsia="Arial" w:hAnsi="Arial"/>
          <w:sz w:val="22"/>
          <w:szCs w:val="22"/>
          <w:color w:val="auto"/>
        </w:rPr>
      </w:pPr>
    </w:p>
    <w:p>
      <w:pPr>
        <w:jc w:val="both"/>
        <w:ind w:firstLine="1304"/>
        <w:spacing w:after="0" w:line="257" w:lineRule="auto"/>
        <w:tabs>
          <w:tab w:leader="none" w:pos="1894" w:val="left"/>
        </w:tabs>
        <w:numPr>
          <w:ilvl w:val="1"/>
          <w:numId w:val="109"/>
        </w:numPr>
        <w:rPr>
          <w:rFonts w:ascii="Arial" w:cs="Arial" w:eastAsia="Arial" w:hAnsi="Arial"/>
          <w:sz w:val="22"/>
          <w:szCs w:val="22"/>
          <w:color w:val="auto"/>
        </w:rPr>
      </w:pPr>
      <w:r>
        <w:rPr>
          <w:rFonts w:ascii="Arial" w:cs="Arial" w:eastAsia="Arial" w:hAnsi="Arial"/>
          <w:sz w:val="22"/>
          <w:szCs w:val="22"/>
          <w:u w:val="single" w:color="auto"/>
          <w:color w:val="auto"/>
        </w:rPr>
        <w:t>Restrictions on 409A RSUs</w:t>
      </w:r>
      <w:r>
        <w:rPr>
          <w:rFonts w:ascii="Arial" w:cs="Arial" w:eastAsia="Arial" w:hAnsi="Arial"/>
          <w:sz w:val="22"/>
          <w:szCs w:val="22"/>
          <w:color w:val="auto"/>
        </w:rPr>
        <w:t>. Other provisions of this Agreement notwithstanding, in the case of any Restricted Stock Units that constitute a “deferral of compensation” under Code Section 409A (“409A RSUs”), the following restrictions shall apply:</w:t>
      </w:r>
    </w:p>
    <w:p>
      <w:pPr>
        <w:spacing w:after="0" w:line="199" w:lineRule="exact"/>
        <w:rPr>
          <w:rFonts w:ascii="Arial" w:cs="Arial" w:eastAsia="Arial" w:hAnsi="Arial"/>
          <w:sz w:val="22"/>
          <w:szCs w:val="22"/>
          <w:color w:val="auto"/>
        </w:rPr>
      </w:pPr>
    </w:p>
    <w:p>
      <w:pPr>
        <w:jc w:val="both"/>
        <w:ind w:left="1300" w:firstLine="328"/>
        <w:spacing w:after="0" w:line="264" w:lineRule="auto"/>
        <w:tabs>
          <w:tab w:leader="none" w:pos="2137" w:val="left"/>
        </w:tabs>
        <w:numPr>
          <w:ilvl w:val="2"/>
          <w:numId w:val="109"/>
        </w:numPr>
        <w:rPr>
          <w:rFonts w:ascii="Arial" w:cs="Arial" w:eastAsia="Arial" w:hAnsi="Arial"/>
          <w:sz w:val="22"/>
          <w:szCs w:val="22"/>
          <w:color w:val="auto"/>
        </w:rPr>
      </w:pPr>
      <w:r>
        <w:rPr>
          <w:rFonts w:ascii="Arial" w:cs="Arial" w:eastAsia="Arial" w:hAnsi="Arial"/>
          <w:sz w:val="22"/>
          <w:szCs w:val="22"/>
          <w:i w:val="1"/>
          <w:iCs w:val="1"/>
          <w:color w:val="auto"/>
        </w:rPr>
        <w:t>Separation from Service</w:t>
      </w:r>
      <w:r>
        <w:rPr>
          <w:rFonts w:ascii="Arial" w:cs="Arial" w:eastAsia="Arial" w:hAnsi="Arial"/>
          <w:sz w:val="22"/>
          <w:szCs w:val="22"/>
          <w:color w:val="auto"/>
        </w:rPr>
        <w:t>. Any payment in settlement of the 409A RSUs that is triggered by a</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termination of employment hereunder will occur only at such time as the Participant has had a “separation from service” within the meaning of Treasury Regulation Section 1.409A-1(h).</w:t>
      </w:r>
    </w:p>
    <w:p>
      <w:pPr>
        <w:spacing w:after="0" w:line="191" w:lineRule="exact"/>
        <w:rPr>
          <w:rFonts w:ascii="Arial" w:cs="Arial" w:eastAsia="Arial" w:hAnsi="Arial"/>
          <w:sz w:val="22"/>
          <w:szCs w:val="22"/>
          <w:color w:val="auto"/>
        </w:rPr>
      </w:pPr>
    </w:p>
    <w:p>
      <w:pPr>
        <w:ind w:left="1300" w:right="20" w:firstLine="328"/>
        <w:spacing w:after="0" w:line="272" w:lineRule="auto"/>
        <w:tabs>
          <w:tab w:leader="none" w:pos="2131" w:val="left"/>
        </w:tabs>
        <w:numPr>
          <w:ilvl w:val="2"/>
          <w:numId w:val="109"/>
        </w:numPr>
        <w:rPr>
          <w:rFonts w:ascii="Arial" w:cs="Arial" w:eastAsia="Arial" w:hAnsi="Arial"/>
          <w:sz w:val="22"/>
          <w:szCs w:val="22"/>
          <w:color w:val="auto"/>
        </w:rPr>
      </w:pPr>
      <w:r>
        <w:rPr>
          <w:rFonts w:ascii="Arial" w:cs="Arial" w:eastAsia="Arial" w:hAnsi="Arial"/>
          <w:sz w:val="22"/>
          <w:szCs w:val="22"/>
          <w:i w:val="1"/>
          <w:iCs w:val="1"/>
          <w:color w:val="auto"/>
        </w:rPr>
        <w:t>Six-Month Delay Rule</w:t>
      </w:r>
      <w:r>
        <w:rPr>
          <w:rFonts w:ascii="Arial" w:cs="Arial" w:eastAsia="Arial" w:hAnsi="Arial"/>
          <w:sz w:val="22"/>
          <w:szCs w:val="22"/>
          <w:color w:val="auto"/>
        </w:rPr>
        <w:t>. The “six-month delay rule” will apply to 409A RSUs if the following four</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exist:</w:t>
      </w:r>
    </w:p>
    <w:p>
      <w:pPr>
        <w:spacing w:after="0" w:line="182" w:lineRule="exact"/>
        <w:rPr>
          <w:rFonts w:ascii="Arial" w:cs="Arial" w:eastAsia="Arial" w:hAnsi="Arial"/>
          <w:sz w:val="22"/>
          <w:szCs w:val="22"/>
          <w:color w:val="auto"/>
        </w:rPr>
      </w:pPr>
    </w:p>
    <w:p>
      <w:pPr>
        <w:ind w:left="1960" w:hanging="8"/>
        <w:spacing w:after="0" w:line="285" w:lineRule="auto"/>
        <w:tabs>
          <w:tab w:leader="none" w:pos="2464" w:val="left"/>
        </w:tabs>
        <w:numPr>
          <w:ilvl w:val="3"/>
          <w:numId w:val="109"/>
        </w:numPr>
        <w:rPr>
          <w:rFonts w:ascii="Arial" w:cs="Arial" w:eastAsia="Arial" w:hAnsi="Arial"/>
          <w:sz w:val="22"/>
          <w:szCs w:val="22"/>
          <w:color w:val="auto"/>
        </w:rPr>
      </w:pPr>
      <w:r>
        <w:rPr>
          <w:rFonts w:ascii="Arial" w:cs="Arial" w:eastAsia="Arial" w:hAnsi="Arial"/>
          <w:sz w:val="22"/>
          <w:szCs w:val="22"/>
          <w:color w:val="auto"/>
        </w:rPr>
        <w:t>The Participant has a separation from service (within the meaning of Treasury Regulation Section 1.409A-1(h));</w:t>
      </w:r>
    </w:p>
    <w:p>
      <w:pPr>
        <w:spacing w:after="0" w:line="168" w:lineRule="exact"/>
        <w:rPr>
          <w:rFonts w:ascii="Arial" w:cs="Arial" w:eastAsia="Arial" w:hAnsi="Arial"/>
          <w:sz w:val="22"/>
          <w:szCs w:val="22"/>
          <w:color w:val="auto"/>
        </w:rPr>
      </w:pPr>
    </w:p>
    <w:p>
      <w:pPr>
        <w:ind w:left="2360" w:hanging="408"/>
        <w:spacing w:after="0"/>
        <w:tabs>
          <w:tab w:leader="none" w:pos="2360" w:val="left"/>
        </w:tabs>
        <w:numPr>
          <w:ilvl w:val="3"/>
          <w:numId w:val="109"/>
        </w:numPr>
        <w:rPr>
          <w:rFonts w:ascii="Arial" w:cs="Arial" w:eastAsia="Arial" w:hAnsi="Arial"/>
          <w:sz w:val="22"/>
          <w:szCs w:val="22"/>
          <w:color w:val="auto"/>
        </w:rPr>
      </w:pPr>
      <w:r>
        <w:rPr>
          <w:rFonts w:ascii="Arial" w:cs="Arial" w:eastAsia="Arial" w:hAnsi="Arial"/>
          <w:sz w:val="22"/>
          <w:szCs w:val="22"/>
          <w:color w:val="auto"/>
        </w:rPr>
        <w:t>A payment is triggered by the separation from service (but not due to death);</w:t>
      </w:r>
    </w:p>
    <w:p>
      <w:pPr>
        <w:spacing w:after="0" w:line="246" w:lineRule="exact"/>
        <w:rPr>
          <w:rFonts w:ascii="Arial" w:cs="Arial" w:eastAsia="Arial" w:hAnsi="Arial"/>
          <w:sz w:val="22"/>
          <w:szCs w:val="22"/>
          <w:color w:val="auto"/>
        </w:rPr>
      </w:pPr>
    </w:p>
    <w:p>
      <w:pPr>
        <w:ind w:left="2360" w:hanging="408"/>
        <w:spacing w:after="0"/>
        <w:tabs>
          <w:tab w:leader="none" w:pos="2360" w:val="left"/>
        </w:tabs>
        <w:numPr>
          <w:ilvl w:val="3"/>
          <w:numId w:val="109"/>
        </w:numPr>
        <w:rPr>
          <w:rFonts w:ascii="Arial" w:cs="Arial" w:eastAsia="Arial" w:hAnsi="Arial"/>
          <w:sz w:val="22"/>
          <w:szCs w:val="22"/>
          <w:color w:val="auto"/>
        </w:rPr>
      </w:pPr>
      <w:r>
        <w:rPr>
          <w:rFonts w:ascii="Arial" w:cs="Arial" w:eastAsia="Arial" w:hAnsi="Arial"/>
          <w:sz w:val="22"/>
          <w:szCs w:val="22"/>
          <w:color w:val="auto"/>
        </w:rPr>
        <w:t>The Participant is a “specified employee” under Code Section 409A; and</w:t>
      </w:r>
    </w:p>
    <w:p>
      <w:pPr>
        <w:spacing w:after="0" w:line="246" w:lineRule="exact"/>
        <w:rPr>
          <w:rFonts w:ascii="Arial" w:cs="Arial" w:eastAsia="Arial" w:hAnsi="Arial"/>
          <w:sz w:val="22"/>
          <w:szCs w:val="22"/>
          <w:color w:val="auto"/>
        </w:rPr>
      </w:pPr>
    </w:p>
    <w:p>
      <w:pPr>
        <w:ind w:left="1960" w:hanging="8"/>
        <w:spacing w:after="0" w:line="272" w:lineRule="auto"/>
        <w:tabs>
          <w:tab w:leader="none" w:pos="2406" w:val="left"/>
        </w:tabs>
        <w:numPr>
          <w:ilvl w:val="3"/>
          <w:numId w:val="109"/>
        </w:numPr>
        <w:rPr>
          <w:rFonts w:ascii="Arial" w:cs="Arial" w:eastAsia="Arial" w:hAnsi="Arial"/>
          <w:sz w:val="22"/>
          <w:szCs w:val="22"/>
          <w:color w:val="auto"/>
        </w:rPr>
      </w:pPr>
      <w:r>
        <w:rPr>
          <w:rFonts w:ascii="Arial" w:cs="Arial" w:eastAsia="Arial" w:hAnsi="Arial"/>
          <w:sz w:val="22"/>
          <w:szCs w:val="22"/>
          <w:color w:val="auto"/>
        </w:rPr>
        <w:t>The payment in settlement of the 409A RSUs would otherwise occur within six months after the separation from service.</w:t>
      </w:r>
    </w:p>
    <w:p>
      <w:pPr>
        <w:spacing w:after="0" w:line="183" w:lineRule="exact"/>
        <w:rPr>
          <w:sz w:val="20"/>
          <w:szCs w:val="20"/>
          <w:color w:val="auto"/>
        </w:rPr>
      </w:pPr>
    </w:p>
    <w:p>
      <w:pPr>
        <w:ind w:left="1960"/>
        <w:spacing w:after="0" w:line="285" w:lineRule="auto"/>
        <w:rPr>
          <w:sz w:val="20"/>
          <w:szCs w:val="20"/>
          <w:color w:val="auto"/>
        </w:rPr>
      </w:pPr>
      <w:r>
        <w:rPr>
          <w:rFonts w:ascii="Arial" w:cs="Arial" w:eastAsia="Arial" w:hAnsi="Arial"/>
          <w:sz w:val="22"/>
          <w:szCs w:val="22"/>
          <w:color w:val="auto"/>
        </w:rPr>
        <w:t>If the six-month delay rule applies, payment in settlement of 409A RSUs shall instead occur on the first business day after the date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37" w:right="339" w:bottom="1440" w:gutter="0" w:footer="0" w:header="0"/>
        </w:sectPr>
      </w:pPr>
    </w:p>
    <w:bookmarkStart w:id="168" w:name="page169"/>
    <w:bookmarkEnd w:id="168"/>
    <w:p>
      <w:pPr>
        <w:jc w:val="both"/>
        <w:ind w:left="1960"/>
        <w:spacing w:after="0" w:line="250" w:lineRule="auto"/>
        <w:rPr>
          <w:sz w:val="20"/>
          <w:szCs w:val="20"/>
          <w:color w:val="auto"/>
        </w:rPr>
      </w:pPr>
      <w:r>
        <w:rPr>
          <w:rFonts w:ascii="Arial" w:cs="Arial" w:eastAsia="Arial" w:hAnsi="Arial"/>
          <w:sz w:val="22"/>
          <w:szCs w:val="22"/>
          <w:color w:val="auto"/>
        </w:rPr>
        <w:t>that is six months following the Participant’s separation from service (or death, if earlier), with interest from the date such payment would otherwise have been made at the short-term applicable federal rate, compounded semi-annually, as determined under Section 1274 of the Code, for the month in which payment would have been made but for the delay in payment. During the six-month delay period, accelerated payment will be permitted in the event of the Participant’s death and for no other reason (including no acceleration upon a Change of Control) except to the extent permitted under Code Section 409A.</w:t>
      </w:r>
    </w:p>
    <w:p>
      <w:pPr>
        <w:spacing w:after="0" w:line="207" w:lineRule="exact"/>
        <w:rPr>
          <w:sz w:val="20"/>
          <w:szCs w:val="20"/>
          <w:color w:val="auto"/>
        </w:rPr>
      </w:pPr>
    </w:p>
    <w:p>
      <w:pPr>
        <w:jc w:val="both"/>
        <w:ind w:left="1300" w:firstLine="328"/>
        <w:spacing w:after="0" w:line="249" w:lineRule="auto"/>
        <w:tabs>
          <w:tab w:leader="none" w:pos="2206" w:val="left"/>
        </w:tabs>
        <w:numPr>
          <w:ilvl w:val="1"/>
          <w:numId w:val="110"/>
        </w:numPr>
        <w:rPr>
          <w:rFonts w:ascii="Arial" w:cs="Arial" w:eastAsia="Arial" w:hAnsi="Arial"/>
          <w:sz w:val="22"/>
          <w:szCs w:val="22"/>
          <w:color w:val="auto"/>
        </w:rPr>
      </w:pPr>
      <w:r>
        <w:rPr>
          <w:rFonts w:ascii="Arial" w:cs="Arial" w:eastAsia="Arial" w:hAnsi="Arial"/>
          <w:sz w:val="22"/>
          <w:szCs w:val="22"/>
          <w:i w:val="1"/>
          <w:iCs w:val="1"/>
          <w:color w:val="auto"/>
        </w:rPr>
        <w:t>Change of Control Rule</w:t>
      </w:r>
      <w:r>
        <w:rPr>
          <w:rFonts w:ascii="Arial" w:cs="Arial" w:eastAsia="Arial" w:hAnsi="Arial"/>
          <w:sz w:val="22"/>
          <w:szCs w:val="22"/>
          <w:color w:val="auto"/>
        </w:rPr>
        <w:t>. Any payment in settlement of 409A RSUs triggered by a Change of</w:t>
      </w:r>
      <w:r>
        <w:rPr>
          <w:rFonts w:ascii="Arial" w:cs="Arial" w:eastAsia="Arial" w:hAnsi="Arial"/>
          <w:sz w:val="22"/>
          <w:szCs w:val="22"/>
          <w:i w:val="1"/>
          <w:iCs w:val="1"/>
          <w:color w:val="auto"/>
        </w:rPr>
        <w:t xml:space="preserve"> </w:t>
      </w:r>
      <w:r>
        <w:rPr>
          <w:rFonts w:ascii="Arial" w:cs="Arial" w:eastAsia="Arial" w:hAnsi="Arial"/>
          <w:sz w:val="22"/>
          <w:szCs w:val="22"/>
          <w:color w:val="auto"/>
        </w:rPr>
        <w:t>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in settlement of 409A RSUs is not allowed by operation of this subparagraph (iii), the payment in settlement of the 409A RSUs will be made within sixty (60) days of the earlier to occur of (A) the applicable vesting date set forth in the Notice regardless of the fact that vesting has been accelerated under the Agreement as a result of the Change of Control, or (B) the occurrence of a permissible time or event that could trigger a payment without violating Code Section 409A.</w:t>
      </w:r>
    </w:p>
    <w:p>
      <w:pPr>
        <w:spacing w:after="0" w:line="210" w:lineRule="exact"/>
        <w:rPr>
          <w:rFonts w:ascii="Arial" w:cs="Arial" w:eastAsia="Arial" w:hAnsi="Arial"/>
          <w:sz w:val="22"/>
          <w:szCs w:val="22"/>
          <w:color w:val="auto"/>
        </w:rPr>
      </w:pPr>
    </w:p>
    <w:p>
      <w:pPr>
        <w:ind w:firstLine="1304"/>
        <w:spacing w:after="0" w:line="272" w:lineRule="auto"/>
        <w:tabs>
          <w:tab w:leader="none" w:pos="1788"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Other Compliance Provisions</w:t>
      </w:r>
      <w:r>
        <w:rPr>
          <w:rFonts w:ascii="Arial" w:cs="Arial" w:eastAsia="Arial" w:hAnsi="Arial"/>
          <w:sz w:val="22"/>
          <w:szCs w:val="22"/>
          <w:color w:val="auto"/>
        </w:rPr>
        <w:t>. The following provisions apply to Restricted Stock Units (including, if so specified, non-409A RSUs):</w:t>
      </w:r>
    </w:p>
    <w:p>
      <w:pPr>
        <w:spacing w:after="0" w:line="196" w:lineRule="exact"/>
        <w:rPr>
          <w:rFonts w:ascii="Arial" w:cs="Arial" w:eastAsia="Arial" w:hAnsi="Arial"/>
          <w:sz w:val="22"/>
          <w:szCs w:val="22"/>
          <w:color w:val="auto"/>
        </w:rPr>
      </w:pPr>
    </w:p>
    <w:p>
      <w:pPr>
        <w:ind w:left="1300" w:right="20" w:firstLine="328"/>
        <w:spacing w:after="0" w:line="272" w:lineRule="auto"/>
        <w:tabs>
          <w:tab w:leader="none" w:pos="2143"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settlement of 409A RSUs may not be accelerated by the Company except to the extent permitted under Code Section 409A.</w:t>
      </w:r>
    </w:p>
    <w:p>
      <w:pPr>
        <w:spacing w:after="0" w:line="183" w:lineRule="exact"/>
        <w:rPr>
          <w:sz w:val="20"/>
          <w:szCs w:val="20"/>
          <w:color w:val="auto"/>
        </w:rPr>
      </w:pPr>
    </w:p>
    <w:p>
      <w:pPr>
        <w:jc w:val="both"/>
        <w:ind w:left="1300" w:firstLine="328"/>
        <w:spacing w:after="0" w:line="257" w:lineRule="auto"/>
        <w:tabs>
          <w:tab w:leader="none" w:pos="2095"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restriction imposed on 409A RSUs hereunder or under the terms of other documents solely to ensure compliance with Code Section 409A shall not be applied to a Restricted Stock Unit that is not a “deferral of compensation” under Code Section 409A.</w:t>
      </w:r>
    </w:p>
    <w:p>
      <w:pPr>
        <w:spacing w:after="0" w:line="186" w:lineRule="exact"/>
        <w:rPr>
          <w:rFonts w:ascii="Arial" w:cs="Arial" w:eastAsia="Arial" w:hAnsi="Arial"/>
          <w:sz w:val="22"/>
          <w:szCs w:val="22"/>
          <w:color w:val="auto"/>
        </w:rPr>
      </w:pPr>
    </w:p>
    <w:p>
      <w:pPr>
        <w:jc w:val="both"/>
        <w:ind w:left="1300" w:firstLine="328"/>
        <w:spacing w:after="0" w:line="220" w:lineRule="auto"/>
        <w:tabs>
          <w:tab w:leader="none" w:pos="22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If any mandatory term required for 409A RSUs or non- 409A RSUs to avoid tax penalties under Code Section 409A is not otherwise explicitly provided under this document or other applicable documents, such term is hereby incorporated by reference and fully applicable as though set forth at length herein.</w:t>
      </w:r>
    </w:p>
    <w:p>
      <w:pPr>
        <w:spacing w:after="0" w:line="179" w:lineRule="exact"/>
        <w:rPr>
          <w:rFonts w:ascii="Arial" w:cs="Arial" w:eastAsia="Arial" w:hAnsi="Arial"/>
          <w:sz w:val="22"/>
          <w:szCs w:val="22"/>
          <w:color w:val="auto"/>
        </w:rPr>
      </w:pPr>
    </w:p>
    <w:p>
      <w:pPr>
        <w:ind w:left="1300" w:firstLine="328"/>
        <w:spacing w:after="0" w:line="236" w:lineRule="auto"/>
        <w:tabs>
          <w:tab w:leader="none" w:pos="2312" w:val="left"/>
        </w:tabs>
        <w:numPr>
          <w:ilvl w:val="0"/>
          <w:numId w:val="112"/>
        </w:numPr>
        <w:rPr>
          <w:rFonts w:ascii="Arial" w:cs="Arial" w:eastAsia="Arial" w:hAnsi="Arial"/>
          <w:sz w:val="22"/>
          <w:szCs w:val="22"/>
          <w:color w:val="auto"/>
        </w:rPr>
      </w:pPr>
      <w:r>
        <w:rPr>
          <w:rFonts w:ascii="Arial" w:cs="Arial" w:eastAsia="Arial" w:hAnsi="Arial"/>
          <w:sz w:val="22"/>
          <w:szCs w:val="22"/>
          <w:color w:val="auto"/>
        </w:rPr>
        <w:t>Each vesting tranche of Restricted Stock Units set forth in the Notice shall be deemed a separate payment for purposes of Code Section 409A.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37" w:right="3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b w:val="1"/>
          <w:bCs w:val="1"/>
          <w:color w:val="auto"/>
        </w:rPr>
        <w:t>Notice of Grant of Restricted Stock Units and Award Agreement</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Expand Energy Corporation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color w:val="auto"/>
        </w:rPr>
        <w:t>6100 North Western Avenue</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color w:val="auto"/>
        </w:rPr>
        <w:t>Oklahoma City, OK 73118</w:t>
      </w:r>
    </w:p>
    <w:p>
      <w:pPr>
        <w:ind w:left="20"/>
        <w:spacing w:after="0"/>
        <w:rPr>
          <w:sz w:val="20"/>
          <w:szCs w:val="20"/>
          <w:color w:val="auto"/>
        </w:rPr>
      </w:pPr>
      <w:r>
        <w:rPr>
          <w:rFonts w:ascii="Arial" w:cs="Arial" w:eastAsia="Arial" w:hAnsi="Arial"/>
          <w:sz w:val="20"/>
          <w:szCs w:val="20"/>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10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3200" w:type="dxa"/>
            <w:vAlign w:val="bottom"/>
            <w:gridSpan w:val="2"/>
          </w:tcPr>
          <w:p>
            <w:pPr>
              <w:jc w:val="right"/>
              <w:ind w:right="1221"/>
              <w:spacing w:after="0"/>
              <w:rPr>
                <w:sz w:val="20"/>
                <w:szCs w:val="20"/>
                <w:color w:val="auto"/>
              </w:rPr>
            </w:pPr>
            <w:r>
              <w:rPr>
                <w:rFonts w:ascii="Arial" w:cs="Arial" w:eastAsia="Arial" w:hAnsi="Arial"/>
                <w:sz w:val="20"/>
                <w:szCs w:val="20"/>
                <w:b w:val="1"/>
                <w:bCs w:val="1"/>
                <w:color w:val="auto"/>
              </w:rPr>
              <w:t>Award Number:</w:t>
            </w:r>
          </w:p>
        </w:tc>
      </w:tr>
      <w:tr>
        <w:trPr>
          <w:trHeight w:val="242"/>
        </w:trPr>
        <w:tc>
          <w:tcPr>
            <w:tcW w:w="10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Plan:</w:t>
            </w:r>
          </w:p>
        </w:tc>
        <w:tc>
          <w:tcPr>
            <w:tcW w:w="13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2021 LTIP</w:t>
            </w:r>
          </w:p>
        </w:tc>
      </w:tr>
      <w:tr>
        <w:trPr>
          <w:trHeight w:val="261"/>
        </w:trPr>
        <w:tc>
          <w:tcPr>
            <w:tcW w:w="1020" w:type="dxa"/>
            <w:vAlign w:val="bottom"/>
          </w:tcPr>
          <w:p>
            <w:pPr>
              <w:spacing w:after="0"/>
              <w:rPr>
                <w:sz w:val="22"/>
                <w:szCs w:val="22"/>
                <w:color w:val="auto"/>
              </w:rPr>
            </w:pPr>
          </w:p>
        </w:tc>
        <w:tc>
          <w:tcPr>
            <w:tcW w:w="3200" w:type="dxa"/>
            <w:vAlign w:val="bottom"/>
            <w:gridSpan w:val="2"/>
          </w:tcPr>
          <w:p>
            <w:pPr>
              <w:jc w:val="right"/>
              <w:ind w:right="1221"/>
              <w:spacing w:after="0"/>
              <w:rPr>
                <w:sz w:val="20"/>
                <w:szCs w:val="20"/>
                <w:color w:val="auto"/>
              </w:rPr>
            </w:pPr>
            <w:r>
              <w:rPr>
                <w:rFonts w:ascii="Arial" w:cs="Arial" w:eastAsia="Arial" w:hAnsi="Arial"/>
                <w:sz w:val="20"/>
                <w:szCs w:val="20"/>
                <w:color w:val="auto"/>
              </w:rPr>
              <w:t>ID:</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Effective [__________, 20__] (the “Effective Date”), you have been granted an award of _________ Restricted Stock Units.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These Restricted Stock Units will vest on the date(s) shown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80" w:type="dxa"/>
            <w:vAlign w:val="bottom"/>
          </w:tcPr>
          <w:p>
            <w:pPr>
              <w:spacing w:after="0"/>
              <w:rPr>
                <w:sz w:val="20"/>
                <w:szCs w:val="20"/>
                <w:color w:val="auto"/>
              </w:rPr>
            </w:pPr>
            <w:r>
              <w:rPr>
                <w:rFonts w:ascii="Arial" w:cs="Arial" w:eastAsia="Arial" w:hAnsi="Arial"/>
                <w:sz w:val="20"/>
                <w:szCs w:val="20"/>
                <w:color w:val="auto"/>
              </w:rPr>
              <w:t>The Award will vest in increments on the vesting date(s) shown.</w:t>
            </w:r>
          </w:p>
        </w:tc>
        <w:tc>
          <w:tcPr>
            <w:tcW w:w="2380" w:type="dxa"/>
            <w:vAlign w:val="bottom"/>
          </w:tcPr>
          <w:p>
            <w:pPr>
              <w:spacing w:after="0"/>
              <w:rPr>
                <w:sz w:val="22"/>
                <w:szCs w:val="22"/>
                <w:color w:val="auto"/>
              </w:rPr>
            </w:pPr>
          </w:p>
        </w:tc>
      </w:tr>
      <w:tr>
        <w:trPr>
          <w:trHeight w:val="535"/>
        </w:trPr>
        <w:tc>
          <w:tcPr>
            <w:tcW w:w="5880" w:type="dxa"/>
            <w:vAlign w:val="bottom"/>
          </w:tcPr>
          <w:p>
            <w:pPr>
              <w:jc w:val="center"/>
              <w:ind w:left="2041"/>
              <w:spacing w:after="0"/>
              <w:rPr>
                <w:sz w:val="20"/>
                <w:szCs w:val="20"/>
                <w:color w:val="auto"/>
              </w:rPr>
            </w:pPr>
            <w:r>
              <w:rPr>
                <w:rFonts w:ascii="Arial" w:cs="Arial" w:eastAsia="Arial" w:hAnsi="Arial"/>
                <w:sz w:val="20"/>
                <w:szCs w:val="20"/>
                <w:color w:val="auto"/>
                <w:w w:val="98"/>
              </w:rPr>
              <w:t>Restricted Stock Units</w:t>
            </w:r>
          </w:p>
        </w:tc>
        <w:tc>
          <w:tcPr>
            <w:tcW w:w="2380" w:type="dxa"/>
            <w:vAlign w:val="bottom"/>
          </w:tcPr>
          <w:p>
            <w:pPr>
              <w:jc w:val="center"/>
              <w:ind w:left="181"/>
              <w:spacing w:after="0"/>
              <w:rPr>
                <w:sz w:val="20"/>
                <w:szCs w:val="20"/>
                <w:color w:val="auto"/>
              </w:rPr>
            </w:pPr>
            <w:r>
              <w:rPr>
                <w:rFonts w:ascii="Arial" w:cs="Arial" w:eastAsia="Arial" w:hAnsi="Arial"/>
                <w:sz w:val="20"/>
                <w:szCs w:val="20"/>
                <w:color w:val="auto"/>
                <w:w w:val="99"/>
              </w:rPr>
              <w:t>Vesting Date</w:t>
            </w:r>
          </w:p>
        </w:tc>
      </w:tr>
      <w:tr>
        <w:trPr>
          <w:trHeight w:val="270"/>
        </w:trPr>
        <w:tc>
          <w:tcPr>
            <w:tcW w:w="5880" w:type="dxa"/>
            <w:vAlign w:val="bottom"/>
          </w:tcPr>
          <w:p>
            <w:pPr>
              <w:jc w:val="center"/>
              <w:ind w:left="2021"/>
              <w:spacing w:after="0"/>
              <w:rPr>
                <w:sz w:val="20"/>
                <w:szCs w:val="20"/>
                <w:color w:val="auto"/>
              </w:rPr>
            </w:pPr>
            <w:r>
              <w:rPr>
                <w:rFonts w:ascii="Arial" w:cs="Arial" w:eastAsia="Arial" w:hAnsi="Arial"/>
                <w:sz w:val="20"/>
                <w:szCs w:val="20"/>
                <w:color w:val="auto"/>
                <w:w w:val="98"/>
              </w:rPr>
              <w:t>_______________</w:t>
            </w:r>
          </w:p>
        </w:tc>
        <w:tc>
          <w:tcPr>
            <w:tcW w:w="2380" w:type="dxa"/>
            <w:vAlign w:val="bottom"/>
          </w:tcPr>
          <w:p>
            <w:pPr>
              <w:jc w:val="center"/>
              <w:ind w:left="181"/>
              <w:spacing w:after="0"/>
              <w:rPr>
                <w:sz w:val="20"/>
                <w:szCs w:val="20"/>
                <w:color w:val="auto"/>
              </w:rPr>
            </w:pPr>
            <w:r>
              <w:rPr>
                <w:rFonts w:ascii="Arial" w:cs="Arial" w:eastAsia="Arial" w:hAnsi="Arial"/>
                <w:sz w:val="20"/>
                <w:szCs w:val="20"/>
                <w:color w:val="auto"/>
                <w:w w:val="99"/>
              </w:rPr>
              <w:t>[_____________, 20__]</w:t>
            </w:r>
          </w:p>
        </w:tc>
      </w:tr>
      <w:tr>
        <w:trPr>
          <w:trHeight w:val="270"/>
        </w:trPr>
        <w:tc>
          <w:tcPr>
            <w:tcW w:w="5880" w:type="dxa"/>
            <w:vAlign w:val="bottom"/>
          </w:tcPr>
          <w:p>
            <w:pPr>
              <w:jc w:val="center"/>
              <w:ind w:left="2021"/>
              <w:spacing w:after="0"/>
              <w:rPr>
                <w:sz w:val="20"/>
                <w:szCs w:val="20"/>
                <w:color w:val="auto"/>
              </w:rPr>
            </w:pPr>
            <w:r>
              <w:rPr>
                <w:rFonts w:ascii="Arial" w:cs="Arial" w:eastAsia="Arial" w:hAnsi="Arial"/>
                <w:sz w:val="20"/>
                <w:szCs w:val="20"/>
                <w:color w:val="auto"/>
                <w:w w:val="98"/>
              </w:rPr>
              <w:t>_______________</w:t>
            </w:r>
          </w:p>
        </w:tc>
        <w:tc>
          <w:tcPr>
            <w:tcW w:w="2380" w:type="dxa"/>
            <w:vAlign w:val="bottom"/>
          </w:tcPr>
          <w:p>
            <w:pPr>
              <w:jc w:val="center"/>
              <w:ind w:left="181"/>
              <w:spacing w:after="0"/>
              <w:rPr>
                <w:sz w:val="20"/>
                <w:szCs w:val="20"/>
                <w:color w:val="auto"/>
              </w:rPr>
            </w:pPr>
            <w:r>
              <w:rPr>
                <w:rFonts w:ascii="Arial" w:cs="Arial" w:eastAsia="Arial" w:hAnsi="Arial"/>
                <w:sz w:val="20"/>
                <w:szCs w:val="20"/>
                <w:color w:val="auto"/>
                <w:w w:val="99"/>
              </w:rPr>
              <w:t>[_____________, 20__]</w:t>
            </w:r>
          </w:p>
        </w:tc>
      </w:tr>
      <w:tr>
        <w:trPr>
          <w:trHeight w:val="275"/>
        </w:trPr>
        <w:tc>
          <w:tcPr>
            <w:tcW w:w="5880" w:type="dxa"/>
            <w:vAlign w:val="bottom"/>
          </w:tcPr>
          <w:p>
            <w:pPr>
              <w:jc w:val="center"/>
              <w:ind w:left="2021"/>
              <w:spacing w:after="0"/>
              <w:rPr>
                <w:sz w:val="20"/>
                <w:szCs w:val="20"/>
                <w:color w:val="auto"/>
              </w:rPr>
            </w:pPr>
            <w:r>
              <w:rPr>
                <w:rFonts w:ascii="Arial" w:cs="Arial" w:eastAsia="Arial" w:hAnsi="Arial"/>
                <w:sz w:val="20"/>
                <w:szCs w:val="20"/>
                <w:color w:val="auto"/>
                <w:w w:val="98"/>
              </w:rPr>
              <w:t>_______________</w:t>
            </w:r>
          </w:p>
        </w:tc>
        <w:tc>
          <w:tcPr>
            <w:tcW w:w="2380" w:type="dxa"/>
            <w:vAlign w:val="bottom"/>
          </w:tcPr>
          <w:p>
            <w:pPr>
              <w:jc w:val="center"/>
              <w:ind w:left="181"/>
              <w:spacing w:after="0"/>
              <w:rPr>
                <w:sz w:val="20"/>
                <w:szCs w:val="20"/>
                <w:color w:val="auto"/>
              </w:rPr>
            </w:pPr>
            <w:r>
              <w:rPr>
                <w:rFonts w:ascii="Arial" w:cs="Arial" w:eastAsia="Arial" w:hAnsi="Arial"/>
                <w:sz w:val="20"/>
                <w:szCs w:val="20"/>
                <w:color w:val="auto"/>
                <w:w w:val="99"/>
              </w:rPr>
              <w:t>[_____________, 20__]</w:t>
            </w:r>
          </w:p>
        </w:tc>
      </w:tr>
    </w:tbl>
    <w:p>
      <w:pPr>
        <w:spacing w:after="0" w:line="304"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Acceptance</w:t>
      </w:r>
      <w:r>
        <w:rPr>
          <w:rFonts w:ascii="Arial" w:cs="Arial" w:eastAsia="Arial" w:hAnsi="Arial"/>
          <w:sz w:val="20"/>
          <w:szCs w:val="20"/>
          <w:color w:val="auto"/>
        </w:rPr>
        <w:t>. You are required to accept the terms and conditions set forth in this Notice, the Agreement and the Plan, all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line="343" w:lineRule="auto"/>
        <w:rPr>
          <w:sz w:val="20"/>
          <w:szCs w:val="20"/>
          <w:color w:val="auto"/>
        </w:rPr>
      </w:pPr>
      <w:r>
        <w:rPr>
          <w:rFonts w:ascii="Arial" w:cs="Arial" w:eastAsia="Arial" w:hAnsi="Arial"/>
          <w:sz w:val="19"/>
          <w:szCs w:val="19"/>
          <w:color w:val="auto"/>
        </w:rPr>
        <w:t>_____________________________________ Expand Energy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309" w:lineRule="exact"/>
        <w:rPr>
          <w:sz w:val="20"/>
          <w:szCs w:val="20"/>
          <w:color w:val="auto"/>
        </w:rPr>
      </w:pPr>
    </w:p>
    <w:p>
      <w:pPr>
        <w:sectPr>
          <w:pgSz w:w="11900" w:h="16838" w:orient="portrait"/>
          <w:cols w:equalWidth="0" w:num="2">
            <w:col w:w="4100" w:space="460"/>
            <w:col w:w="6680"/>
          </w:cols>
          <w:pgMar w:left="320" w:top="1399" w:right="339" w:bottom="1440" w:gutter="0" w:footer="0" w:header="0"/>
          <w:type w:val="continuous"/>
        </w:sectPr>
      </w:pPr>
    </w:p>
    <w:p>
      <w:pPr>
        <w:ind w:left="20"/>
        <w:spacing w:after="0" w:line="343" w:lineRule="auto"/>
        <w:rPr>
          <w:sz w:val="20"/>
          <w:szCs w:val="20"/>
          <w:color w:val="auto"/>
        </w:rPr>
      </w:pPr>
      <w:r>
        <w:rPr>
          <w:rFonts w:ascii="Arial" w:cs="Arial" w:eastAsia="Arial" w:hAnsi="Arial"/>
          <w:sz w:val="19"/>
          <w:szCs w:val="19"/>
          <w:color w:val="auto"/>
        </w:rPr>
        <w:t>_____________________________________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_____________________________</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ectPr>
          <w:pgSz w:w="11900" w:h="16838" w:orient="portrait"/>
          <w:cols w:equalWidth="0" w:num="2">
            <w:col w:w="4100" w:space="460"/>
            <w:col w:w="6680"/>
          </w:cols>
          <w:pgMar w:left="320" w:top="1399" w:right="33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 ENERGY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3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RESTRICTED STOCK UNIT AWARD AGREEMENT (the “Agreement”) entered into as of the grant date (the “Grant Date”) set forth on the attached Notice of Grant of Restricted Stock Units and Award Agreement (the “Notice”), by and between Expand Energy Corporation, an Oklahoma corporation (the “Company”), and the participant named on the Notice (the “Participant”);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WHEREAS, the Participant is a Non-Employee Director, and it is important to the Company that the Participant be encouraged to remain a director;</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WHEREAS, the Company has previously adopted the Expand Energy Corporation 2021 Long Term Incentive Plan effective as of February 9, 2021, as amended, restated or otherwise modified from time to time (the “Plan”); and</w:t>
      </w:r>
    </w:p>
    <w:p>
      <w:pPr>
        <w:spacing w:after="0" w:line="18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WHEREAS, the Company has awarded the Participant Restricted Stock Units under the Plan, as set forth on the Notice, subject to the terms and conditions of this Agreement.</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NOW, THEREFORE, in consideration of the premises and the mutual promises and covenants herein contained, the Participant and the Company agree as follows:</w:t>
      </w:r>
    </w:p>
    <w:p>
      <w:pPr>
        <w:spacing w:after="0" w:line="180" w:lineRule="exact"/>
        <w:rPr>
          <w:sz w:val="20"/>
          <w:szCs w:val="20"/>
          <w:color w:val="auto"/>
        </w:rPr>
      </w:pPr>
    </w:p>
    <w:p>
      <w:pPr>
        <w:jc w:val="both"/>
        <w:ind w:firstLine="656"/>
        <w:spacing w:after="0" w:line="262" w:lineRule="auto"/>
        <w:tabs>
          <w:tab w:leader="none" w:pos="998"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The Plan</w:t>
      </w:r>
      <w:r>
        <w:rPr>
          <w:rFonts w:ascii="Arial" w:cs="Arial" w:eastAsia="Arial" w:hAnsi="Arial"/>
          <w:sz w:val="18"/>
          <w:szCs w:val="18"/>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203" w:lineRule="exact"/>
        <w:rPr>
          <w:rFonts w:ascii="Arial" w:cs="Arial" w:eastAsia="Arial" w:hAnsi="Arial"/>
          <w:sz w:val="18"/>
          <w:szCs w:val="18"/>
          <w:color w:val="auto"/>
        </w:rPr>
      </w:pPr>
    </w:p>
    <w:p>
      <w:pPr>
        <w:jc w:val="both"/>
        <w:ind w:firstLine="656"/>
        <w:spacing w:after="0" w:line="262" w:lineRule="auto"/>
        <w:tabs>
          <w:tab w:leader="none" w:pos="101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The Company hereby awards to the Participant the number of Restricted Stock Units set forth in the Notice, on the terms and conditions set forth herein and in the Plan (the “Award”). Each Restricted Stock Unit granted pursuant to this Award gives the Participant the right to receive payment of one share of Common Stock on the payment date set forth in the Notice and this Award Agreement.</w:t>
      </w:r>
    </w:p>
    <w:p>
      <w:pPr>
        <w:spacing w:after="0" w:line="203" w:lineRule="exact"/>
        <w:rPr>
          <w:rFonts w:ascii="Arial" w:cs="Arial" w:eastAsia="Arial" w:hAnsi="Arial"/>
          <w:sz w:val="18"/>
          <w:szCs w:val="18"/>
          <w:color w:val="auto"/>
        </w:rPr>
      </w:pPr>
    </w:p>
    <w:p>
      <w:pPr>
        <w:jc w:val="both"/>
        <w:ind w:firstLine="656"/>
        <w:spacing w:after="0" w:line="262" w:lineRule="auto"/>
        <w:tabs>
          <w:tab w:leader="none" w:pos="1011"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Nontransferability of Award</w:t>
      </w:r>
      <w:r>
        <w:rPr>
          <w:rFonts w:ascii="Arial" w:cs="Arial" w:eastAsia="Arial" w:hAnsi="Arial"/>
          <w:sz w:val="18"/>
          <w:szCs w:val="18"/>
          <w:color w:val="auto"/>
        </w:rPr>
        <w:t>. A Restricted Stock Unit is not transferable other than by will or the laws of descent and distribution. Any attempted sale, assignment, transfer, pledge, hypothecation or other disposition of, or the levy of execution, attachment or similar process upon, a Restricted Stock Unit contrary to the provisions hereof shall be void and ineffective, shall give no right to any purported transferee, and may, at the sole discretion of the Committee, result in forfeiture of the Restricted Stock Unit(s) involved in such attempt.</w:t>
      </w:r>
    </w:p>
    <w:p>
      <w:pPr>
        <w:spacing w:after="0" w:line="203" w:lineRule="exact"/>
        <w:rPr>
          <w:rFonts w:ascii="Arial" w:cs="Arial" w:eastAsia="Arial" w:hAnsi="Arial"/>
          <w:sz w:val="18"/>
          <w:szCs w:val="18"/>
          <w:color w:val="auto"/>
        </w:rPr>
      </w:pPr>
    </w:p>
    <w:p>
      <w:pPr>
        <w:jc w:val="both"/>
        <w:ind w:firstLine="656"/>
        <w:spacing w:after="0" w:line="255" w:lineRule="auto"/>
        <w:tabs>
          <w:tab w:leader="none" w:pos="1038" w:val="left"/>
        </w:tabs>
        <w:numPr>
          <w:ilvl w:val="1"/>
          <w:numId w:val="11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Subject to Sections 3(c)-(d), Restricted Stock Units will vest on the Vesting Date (as defined in the Notice), subject to the Participant’s continuous service with the Company, in any capacity (including as a director, consultant or an employee) through the Vesting Date. Notwithstanding the foregoing, if the Participant ceases to serve on the Board and immediately thereafter is not directly or indirectly providing services to the Company, a Subsidiary or Affiliated Entity as an employee or consultant (a “Termination Event”)</w:t>
      </w:r>
    </w:p>
    <w:p>
      <w:pPr>
        <w:spacing w:after="0" w:line="2" w:lineRule="exact"/>
        <w:rPr>
          <w:rFonts w:ascii="Arial" w:cs="Arial" w:eastAsia="Arial" w:hAnsi="Arial"/>
          <w:sz w:val="18"/>
          <w:szCs w:val="18"/>
          <w:color w:val="auto"/>
        </w:rPr>
      </w:pPr>
    </w:p>
    <w:p>
      <w:pPr>
        <w:jc w:val="both"/>
        <w:ind w:firstLine="8"/>
        <w:spacing w:after="0" w:line="255" w:lineRule="auto"/>
        <w:tabs>
          <w:tab w:leader="none" w:pos="22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following a Change of Control or (b) due to the Participant’s death or Disability, then the Participant will immediately vest in all of the Restricted Stock Units on the date of the Termination Event or (ii) for any reason not set forth in clause (i), then the Participant will vest in a pro rata portion of his or her unvested Restricted Stock Units on the date of the Termination Event, with such pro rata portion determined by dividing (a) the number of days the Participant served as a</w:t>
      </w:r>
    </w:p>
    <w:p>
      <w:pPr>
        <w:sectPr>
          <w:pgSz w:w="11900" w:h="16838" w:orient="portrait"/>
          <w:cols w:equalWidth="0" w:num="1">
            <w:col w:w="11240"/>
          </w:cols>
          <w:pgMar w:left="320" w:top="1417" w:right="339" w:bottom="1440" w:gutter="0" w:footer="0" w:header="0"/>
        </w:sectPr>
      </w:pPr>
    </w:p>
    <w:bookmarkStart w:id="171" w:name="page172"/>
    <w:bookmarkEnd w:id="171"/>
    <w:p>
      <w:pPr>
        <w:spacing w:after="0" w:line="287" w:lineRule="auto"/>
        <w:rPr>
          <w:sz w:val="20"/>
          <w:szCs w:val="20"/>
          <w:color w:val="auto"/>
        </w:rPr>
      </w:pPr>
      <w:r>
        <w:rPr>
          <w:rFonts w:ascii="Arial" w:cs="Arial" w:eastAsia="Arial" w:hAnsi="Arial"/>
          <w:sz w:val="18"/>
          <w:szCs w:val="18"/>
          <w:color w:val="auto"/>
        </w:rPr>
        <w:t>director or employee of the Company from the Grant Date to the date of the Termination Event, by (b) the number of days between the Grant Date and ________, 20___, in each case, unless subject to forfeiture or recovery pursuant to Section 9.</w:t>
      </w:r>
    </w:p>
    <w:p>
      <w:pPr>
        <w:spacing w:after="0" w:line="180" w:lineRule="exact"/>
        <w:rPr>
          <w:sz w:val="20"/>
          <w:szCs w:val="20"/>
          <w:color w:val="auto"/>
        </w:rPr>
      </w:pPr>
    </w:p>
    <w:p>
      <w:pPr>
        <w:jc w:val="both"/>
        <w:ind w:firstLine="656"/>
        <w:spacing w:after="0" w:line="262" w:lineRule="auto"/>
        <w:tabs>
          <w:tab w:leader="none" w:pos="1106"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Payment shall be made in the form of an issuance of shares of Common Stock equal to the number of vested Restricted Stock Units on the Vesting Date or the date elected by the Participant pursuant to the Restricted Stock Units Deferral Election Form attached hereto as Exhibit A (such date, the “Settlement Date”), unless such Restricted Stock Units are subject to forfeiture or recovery pursuant to Section 9 or payment is restricted due to the provisions of Section 14.</w:t>
      </w:r>
    </w:p>
    <w:p>
      <w:pPr>
        <w:spacing w:after="0" w:line="203" w:lineRule="exact"/>
        <w:rPr>
          <w:rFonts w:ascii="Arial" w:cs="Arial" w:eastAsia="Arial" w:hAnsi="Arial"/>
          <w:sz w:val="18"/>
          <w:szCs w:val="18"/>
          <w:color w:val="auto"/>
        </w:rPr>
      </w:pPr>
    </w:p>
    <w:p>
      <w:pPr>
        <w:jc w:val="both"/>
        <w:ind w:firstLine="656"/>
        <w:spacing w:after="0" w:line="254" w:lineRule="auto"/>
        <w:tabs>
          <w:tab w:leader="none" w:pos="1079"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Dividends Equivalents</w:t>
      </w:r>
      <w:r>
        <w:rPr>
          <w:rFonts w:ascii="Arial" w:cs="Arial" w:eastAsia="Arial" w:hAnsi="Arial"/>
          <w:sz w:val="18"/>
          <w:szCs w:val="18"/>
          <w:color w:val="auto"/>
        </w:rPr>
        <w:t>. In the event that the Company declares and pays a dividend in respect of its outstanding shares of Common Stock and, on the record date for such dividend, the Participant holds RSUs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RSUs held by the Participant that have not been settled as of such record date, such payment to be made on (i) the Settlement Date or (ii) if the Participant has elected a Settlement Date other than the Vesting Date pursuant to the Restricted Stock Units Deferral Election Form attached hereto as Exhibit A and the Settlement Date has not occurred, on date of the Company’s annual shareholder meeting each year prior to the Settlement Date (the “Dividend Equivalents”). For purposes of clarity, if the RSUs (or any portion thereof) are forfeited by the Participant pursuant to the terms of this Agreement, then the Participant shall also forfeit the Dividend Equivalents, if any, accrued with respect to such forfeited RSUs. No interest will accrue on the Dividend Equivalents between the declaration and payment of the applicable dividends and the settlement of the Dividend Equivalents.</w:t>
      </w:r>
    </w:p>
    <w:p>
      <w:pPr>
        <w:spacing w:after="0" w:line="209" w:lineRule="exact"/>
        <w:rPr>
          <w:rFonts w:ascii="Arial" w:cs="Arial" w:eastAsia="Arial" w:hAnsi="Arial"/>
          <w:sz w:val="18"/>
          <w:szCs w:val="18"/>
          <w:color w:val="auto"/>
        </w:rPr>
      </w:pPr>
    </w:p>
    <w:p>
      <w:pPr>
        <w:jc w:val="both"/>
        <w:ind w:firstLine="656"/>
        <w:spacing w:after="0" w:line="268" w:lineRule="auto"/>
        <w:tabs>
          <w:tab w:leader="none" w:pos="106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97" w:lineRule="exact"/>
        <w:rPr>
          <w:rFonts w:ascii="Arial" w:cs="Arial" w:eastAsia="Arial" w:hAnsi="Arial"/>
          <w:sz w:val="18"/>
          <w:szCs w:val="18"/>
          <w:color w:val="auto"/>
        </w:rPr>
      </w:pPr>
    </w:p>
    <w:p>
      <w:pPr>
        <w:jc w:val="both"/>
        <w:ind w:firstLine="656"/>
        <w:spacing w:after="0" w:line="255" w:lineRule="auto"/>
        <w:tabs>
          <w:tab w:leader="none" w:pos="1038"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Securities Law Restrictions</w:t>
      </w:r>
      <w:r>
        <w:rPr>
          <w:rFonts w:ascii="Arial" w:cs="Arial" w:eastAsia="Arial" w:hAnsi="Arial"/>
          <w:sz w:val="18"/>
          <w:szCs w:val="18"/>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211" w:lineRule="exact"/>
        <w:rPr>
          <w:rFonts w:ascii="Arial" w:cs="Arial" w:eastAsia="Arial" w:hAnsi="Arial"/>
          <w:sz w:val="18"/>
          <w:szCs w:val="18"/>
          <w:color w:val="auto"/>
        </w:rPr>
      </w:pPr>
    </w:p>
    <w:p>
      <w:pPr>
        <w:ind w:left="1000" w:hanging="344"/>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Participant Misconduct; Compensation Recovery</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980"/>
        <w:spacing w:after="0" w:line="262" w:lineRule="auto"/>
        <w:tabs>
          <w:tab w:leader="none" w:pos="139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Notwithstanding anything in the Plan or this Agreement to the contrary, the Committee shall have the authority to determine that in the event of serious breach of fiduciary duty by the Participant, the Award may be cancelled, in whole or in part, whether or not vested. The determination of whether the Participant has engaged in a serious breach of fiduciary duty shall be determined by the Committee in good faith and in its sole discretion.</w:t>
      </w:r>
    </w:p>
    <w:p>
      <w:pPr>
        <w:spacing w:after="0" w:line="203" w:lineRule="exact"/>
        <w:rPr>
          <w:rFonts w:ascii="Arial" w:cs="Arial" w:eastAsia="Arial" w:hAnsi="Arial"/>
          <w:sz w:val="18"/>
          <w:szCs w:val="18"/>
          <w:color w:val="auto"/>
        </w:rPr>
      </w:pPr>
    </w:p>
    <w:p>
      <w:pPr>
        <w:jc w:val="both"/>
        <w:ind w:firstLine="980"/>
        <w:spacing w:after="0" w:line="262" w:lineRule="auto"/>
        <w:tabs>
          <w:tab w:leader="none" w:pos="147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shares of the Common Stock paid to the Participant pursuant to this Award.</w:t>
      </w:r>
    </w:p>
    <w:p>
      <w:pPr>
        <w:spacing w:after="0" w:line="203" w:lineRule="exact"/>
        <w:rPr>
          <w:rFonts w:ascii="Arial" w:cs="Arial" w:eastAsia="Arial" w:hAnsi="Arial"/>
          <w:sz w:val="18"/>
          <w:szCs w:val="18"/>
          <w:color w:val="auto"/>
        </w:rPr>
      </w:pPr>
    </w:p>
    <w:p>
      <w:pPr>
        <w:ind w:firstLine="656"/>
        <w:spacing w:after="0" w:line="287" w:lineRule="auto"/>
        <w:tabs>
          <w:tab w:leader="none" w:pos="1125"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relating to the Plan and this Agreement as it relates to the Participant shall be in electronic or written form. If in writing, such notices shall be deemed</w:t>
      </w:r>
    </w:p>
    <w:p>
      <w:pPr>
        <w:sectPr>
          <w:pgSz w:w="11900" w:h="16838" w:orient="portrait"/>
          <w:cols w:equalWidth="0" w:num="1">
            <w:col w:w="11240"/>
          </w:cols>
          <w:pgMar w:left="320" w:top="1417" w:right="339" w:bottom="1440" w:gutter="0" w:footer="0" w:header="0"/>
        </w:sectPr>
      </w:pPr>
    </w:p>
    <w:bookmarkStart w:id="172" w:name="page173"/>
    <w:bookmarkEnd w:id="172"/>
    <w:p>
      <w:pPr>
        <w:jc w:val="both"/>
        <w:spacing w:after="0" w:line="262" w:lineRule="auto"/>
        <w:rPr>
          <w:sz w:val="20"/>
          <w:szCs w:val="20"/>
          <w:color w:val="auto"/>
        </w:rPr>
      </w:pPr>
      <w:r>
        <w:rPr>
          <w:rFonts w:ascii="Arial" w:cs="Arial" w:eastAsia="Arial" w:hAnsi="Arial"/>
          <w:sz w:val="18"/>
          <w:szCs w:val="18"/>
          <w:color w:val="auto"/>
        </w:rPr>
        <w:t>to have been made (a) if personally delivered in return for a receipt, (b) if mailed, by regular U.S. mail, postage prepaid, by the Company to the Participant at his last known address evidenced on the payroll records of the Company or (c) if provided electronically, provided to Participant at his e -mail address specified in the Company’s or its Affiliated Entity’s records or as other specified pursuant to and in accordance with the Committee’s applicable administrative procedures.</w:t>
      </w:r>
    </w:p>
    <w:p>
      <w:pPr>
        <w:spacing w:after="0" w:line="203" w:lineRule="exact"/>
        <w:rPr>
          <w:sz w:val="20"/>
          <w:szCs w:val="20"/>
          <w:color w:val="auto"/>
        </w:rPr>
      </w:pPr>
    </w:p>
    <w:p>
      <w:pPr>
        <w:jc w:val="both"/>
        <w:ind w:firstLine="656"/>
        <w:spacing w:after="0" w:line="268" w:lineRule="auto"/>
        <w:tabs>
          <w:tab w:leader="none" w:pos="111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Binding Effect and Governing Law</w:t>
      </w:r>
      <w:r>
        <w:rPr>
          <w:rFonts w:ascii="Arial" w:cs="Arial" w:eastAsia="Arial" w:hAnsi="Arial"/>
          <w:sz w:val="18"/>
          <w:szCs w:val="18"/>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97" w:lineRule="exact"/>
        <w:rPr>
          <w:rFonts w:ascii="Arial" w:cs="Arial" w:eastAsia="Arial" w:hAnsi="Arial"/>
          <w:sz w:val="18"/>
          <w:szCs w:val="18"/>
          <w:color w:val="auto"/>
        </w:rPr>
      </w:pPr>
    </w:p>
    <w:p>
      <w:pPr>
        <w:ind w:firstLine="656"/>
        <w:spacing w:after="0" w:line="287" w:lineRule="auto"/>
        <w:tabs>
          <w:tab w:leader="none" w:pos="112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Captions</w:t>
      </w:r>
      <w:r>
        <w:rPr>
          <w:rFonts w:ascii="Arial" w:cs="Arial" w:eastAsia="Arial" w:hAnsi="Arial"/>
          <w:sz w:val="18"/>
          <w:szCs w:val="18"/>
          <w:color w:val="auto"/>
        </w:rPr>
        <w:t>. The captions of specific provisions of this Agreement are for convenience and reference only, and in no way define, describe, extend or limit the scope of this Agreement or the intent of any provision hereof.</w:t>
      </w:r>
    </w:p>
    <w:p>
      <w:pPr>
        <w:spacing w:after="0" w:line="179" w:lineRule="exact"/>
        <w:rPr>
          <w:rFonts w:ascii="Arial" w:cs="Arial" w:eastAsia="Arial" w:hAnsi="Arial"/>
          <w:sz w:val="18"/>
          <w:szCs w:val="18"/>
          <w:color w:val="auto"/>
        </w:rPr>
      </w:pPr>
    </w:p>
    <w:p>
      <w:pPr>
        <w:ind w:firstLine="656"/>
        <w:spacing w:after="0" w:line="287" w:lineRule="auto"/>
        <w:tabs>
          <w:tab w:leader="none" w:pos="115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identical counterparts, each of which shall be deemed an original for all purposes, but all of which taken together shall form but one agreement.</w:t>
      </w:r>
    </w:p>
    <w:p>
      <w:pPr>
        <w:spacing w:after="0" w:line="179" w:lineRule="exact"/>
        <w:rPr>
          <w:rFonts w:ascii="Arial" w:cs="Arial" w:eastAsia="Arial" w:hAnsi="Arial"/>
          <w:sz w:val="18"/>
          <w:szCs w:val="18"/>
          <w:color w:val="auto"/>
        </w:rPr>
      </w:pPr>
    </w:p>
    <w:p>
      <w:pPr>
        <w:ind w:left="1100" w:hanging="444"/>
        <w:spacing w:after="0"/>
        <w:tabs>
          <w:tab w:leader="none" w:pos="11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980"/>
        <w:spacing w:after="0" w:line="254" w:lineRule="auto"/>
        <w:tabs>
          <w:tab w:leader="none" w:pos="1473"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Agreement and the Restricted Stock Units granted hereunder are intended to comply with Code Section 409A. The Agreement and the Restricted Stock Units shall be administered, interpreted, and construed in a manner consistent with Code Section 409A. Should any provision of the Plan or the Agreement be found not to comply with the provisions of Code Section 409A, such provision shall be modified and given effect (retroactively if necessary), in the sole discretion of the Committee, and without the consent of the Participant, in such manner as the Committee determines to be necessary or appropriate to comply with Code Section 409A. Notwithstanding the foregoing, the Company makes no representations that the payments and benefits provided under the Plan or this Agreement comply with Code Section 409A and in no event shall the Company be liable for all or any portion of any taxes, penalties, interest or other expenses that may be incurred by the Participant on account of non-compliance with Code Section 409A. The Participant acknowledges that there may be adverse tax consequences upon the vesting or settlement of the Restricted Stock Units or the disposition of the underlying shares of Common Stock and that the Participant has been advised, and hereby is advised, to consult a tax advisor prior to such vesting, settlement or disposition.</w:t>
      </w:r>
    </w:p>
    <w:p>
      <w:pPr>
        <w:spacing w:after="0" w:line="209" w:lineRule="exact"/>
        <w:rPr>
          <w:rFonts w:ascii="Arial" w:cs="Arial" w:eastAsia="Arial" w:hAnsi="Arial"/>
          <w:sz w:val="18"/>
          <w:szCs w:val="18"/>
          <w:color w:val="auto"/>
        </w:rPr>
      </w:pPr>
    </w:p>
    <w:p>
      <w:pPr>
        <w:ind w:firstLine="980"/>
        <w:spacing w:after="0" w:line="287" w:lineRule="auto"/>
        <w:tabs>
          <w:tab w:leader="none" w:pos="1405"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Payment Restrictions</w:t>
      </w:r>
      <w:r>
        <w:rPr>
          <w:rFonts w:ascii="Arial" w:cs="Arial" w:eastAsia="Arial" w:hAnsi="Arial"/>
          <w:sz w:val="18"/>
          <w:szCs w:val="18"/>
          <w:color w:val="auto"/>
        </w:rPr>
        <w:t>. Other provisions of this Agreement notwithstanding, the following payment restrictions shall apply to Restricted Stock Units:</w:t>
      </w:r>
    </w:p>
    <w:p>
      <w:pPr>
        <w:spacing w:after="0" w:line="179" w:lineRule="exact"/>
        <w:rPr>
          <w:rFonts w:ascii="Arial" w:cs="Arial" w:eastAsia="Arial" w:hAnsi="Arial"/>
          <w:sz w:val="18"/>
          <w:szCs w:val="18"/>
          <w:color w:val="auto"/>
        </w:rPr>
      </w:pPr>
    </w:p>
    <w:p>
      <w:pPr>
        <w:jc w:val="both"/>
        <w:ind w:firstLine="1304"/>
        <w:spacing w:after="0" w:line="268" w:lineRule="auto"/>
        <w:tabs>
          <w:tab w:leader="none" w:pos="1710" w:val="left"/>
        </w:tabs>
        <w:numPr>
          <w:ilvl w:val="2"/>
          <w:numId w:val="116"/>
        </w:numPr>
        <w:rPr>
          <w:rFonts w:ascii="Arial" w:cs="Arial" w:eastAsia="Arial" w:hAnsi="Arial"/>
          <w:sz w:val="18"/>
          <w:szCs w:val="18"/>
          <w:color w:val="auto"/>
        </w:rPr>
      </w:pPr>
      <w:r>
        <w:rPr>
          <w:rFonts w:ascii="Arial" w:cs="Arial" w:eastAsia="Arial" w:hAnsi="Arial"/>
          <w:sz w:val="18"/>
          <w:szCs w:val="18"/>
          <w:i w:val="1"/>
          <w:iCs w:val="1"/>
          <w:color w:val="auto"/>
        </w:rPr>
        <w:t>Separation from Service</w:t>
      </w:r>
      <w:r>
        <w:rPr>
          <w:rFonts w:ascii="Arial" w:cs="Arial" w:eastAsia="Arial" w:hAnsi="Arial"/>
          <w:sz w:val="18"/>
          <w:szCs w:val="18"/>
          <w:color w:val="auto"/>
        </w:rPr>
        <w:t>. Any payment in settlement of the Restricted Stock Units that is triggered by a separation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hereunder will occur only at such time as Participant has had a “separation from service” within the meaning of Treasury Regulation Section 1.409A-1(h).</w:t>
      </w:r>
    </w:p>
    <w:p>
      <w:pPr>
        <w:spacing w:after="0" w:line="197" w:lineRule="exact"/>
        <w:rPr>
          <w:rFonts w:ascii="Arial" w:cs="Arial" w:eastAsia="Arial" w:hAnsi="Arial"/>
          <w:sz w:val="18"/>
          <w:szCs w:val="18"/>
          <w:color w:val="auto"/>
        </w:rPr>
      </w:pPr>
    </w:p>
    <w:p>
      <w:pPr>
        <w:ind w:left="1860" w:hanging="556"/>
        <w:spacing w:after="0"/>
        <w:tabs>
          <w:tab w:leader="none" w:pos="1860" w:val="left"/>
        </w:tabs>
        <w:numPr>
          <w:ilvl w:val="2"/>
          <w:numId w:val="116"/>
        </w:numPr>
        <w:rPr>
          <w:rFonts w:ascii="Arial" w:cs="Arial" w:eastAsia="Arial" w:hAnsi="Arial"/>
          <w:sz w:val="18"/>
          <w:szCs w:val="18"/>
          <w:color w:val="auto"/>
        </w:rPr>
      </w:pPr>
      <w:r>
        <w:rPr>
          <w:rFonts w:ascii="Arial" w:cs="Arial" w:eastAsia="Arial" w:hAnsi="Arial"/>
          <w:sz w:val="18"/>
          <w:szCs w:val="18"/>
          <w:i w:val="1"/>
          <w:iCs w:val="1"/>
          <w:color w:val="auto"/>
        </w:rPr>
        <w:t>Six</w:t>
      </w:r>
      <w:r>
        <w:rPr>
          <w:rFonts w:ascii="Arial" w:cs="Arial" w:eastAsia="Arial" w:hAnsi="Arial"/>
          <w:sz w:val="18"/>
          <w:szCs w:val="18"/>
          <w:color w:val="auto"/>
        </w:rPr>
        <w:t>-</w:t>
      </w:r>
      <w:r>
        <w:rPr>
          <w:rFonts w:ascii="Arial" w:cs="Arial" w:eastAsia="Arial" w:hAnsi="Arial"/>
          <w:sz w:val="18"/>
          <w:szCs w:val="18"/>
          <w:i w:val="1"/>
          <w:iCs w:val="1"/>
          <w:color w:val="auto"/>
        </w:rPr>
        <w:t>Month Delay Rule</w:t>
      </w:r>
      <w:r>
        <w:rPr>
          <w:rFonts w:ascii="Arial" w:cs="Arial" w:eastAsia="Arial" w:hAnsi="Arial"/>
          <w:sz w:val="18"/>
          <w:szCs w:val="18"/>
          <w:color w:val="auto"/>
        </w:rPr>
        <w:t>. The “six-month delay rule” will apply to 409A Restricted Stock Units if the following four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conditions exist:</w:t>
      </w:r>
    </w:p>
    <w:p>
      <w:pPr>
        <w:spacing w:after="0" w:line="234" w:lineRule="exact"/>
        <w:rPr>
          <w:rFonts w:ascii="Arial" w:cs="Arial" w:eastAsia="Arial" w:hAnsi="Arial"/>
          <w:sz w:val="18"/>
          <w:szCs w:val="18"/>
          <w:color w:val="auto"/>
        </w:rPr>
      </w:pPr>
    </w:p>
    <w:p>
      <w:pPr>
        <w:ind w:left="1980" w:hanging="352"/>
        <w:spacing w:after="0"/>
        <w:tabs>
          <w:tab w:leader="none" w:pos="198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The Participant has a separation from service (within the meaning of Treasury Regulation Section 1.409A-1(h));</w:t>
      </w:r>
    </w:p>
    <w:p>
      <w:pPr>
        <w:spacing w:after="0" w:line="252" w:lineRule="exact"/>
        <w:rPr>
          <w:rFonts w:ascii="Arial" w:cs="Arial" w:eastAsia="Arial" w:hAnsi="Arial"/>
          <w:sz w:val="18"/>
          <w:szCs w:val="18"/>
          <w:color w:val="auto"/>
        </w:rPr>
      </w:pPr>
    </w:p>
    <w:p>
      <w:pPr>
        <w:ind w:left="1960" w:hanging="332"/>
        <w:spacing w:after="0"/>
        <w:tabs>
          <w:tab w:leader="none" w:pos="196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A payment is triggered by the separation from service (but not due to death);</w:t>
      </w:r>
    </w:p>
    <w:p>
      <w:pPr>
        <w:spacing w:after="0" w:line="252" w:lineRule="exact"/>
        <w:rPr>
          <w:rFonts w:ascii="Arial" w:cs="Arial" w:eastAsia="Arial" w:hAnsi="Arial"/>
          <w:sz w:val="18"/>
          <w:szCs w:val="18"/>
          <w:color w:val="auto"/>
        </w:rPr>
      </w:pPr>
    </w:p>
    <w:p>
      <w:pPr>
        <w:ind w:left="1980" w:hanging="352"/>
        <w:spacing w:after="0"/>
        <w:tabs>
          <w:tab w:leader="none" w:pos="1980" w:val="left"/>
        </w:tabs>
        <w:numPr>
          <w:ilvl w:val="3"/>
          <w:numId w:val="116"/>
        </w:numPr>
        <w:rPr>
          <w:rFonts w:ascii="Arial" w:cs="Arial" w:eastAsia="Arial" w:hAnsi="Arial"/>
          <w:sz w:val="18"/>
          <w:szCs w:val="18"/>
          <w:color w:val="auto"/>
        </w:rPr>
      </w:pPr>
      <w:r>
        <w:rPr>
          <w:rFonts w:ascii="Arial" w:cs="Arial" w:eastAsia="Arial" w:hAnsi="Arial"/>
          <w:sz w:val="18"/>
          <w:szCs w:val="18"/>
          <w:color w:val="auto"/>
        </w:rPr>
        <w:t>The Participant is a “specified employee” under Code Section 409A; and</w:t>
      </w:r>
    </w:p>
    <w:p>
      <w:pPr>
        <w:spacing w:after="0" w:line="252" w:lineRule="exact"/>
        <w:rPr>
          <w:rFonts w:ascii="Arial" w:cs="Arial" w:eastAsia="Arial" w:hAnsi="Arial"/>
          <w:sz w:val="18"/>
          <w:szCs w:val="18"/>
          <w:color w:val="auto"/>
        </w:rPr>
      </w:pPr>
    </w:p>
    <w:p>
      <w:pPr>
        <w:ind w:left="1300" w:firstLine="328"/>
        <w:spacing w:after="0" w:line="287" w:lineRule="auto"/>
        <w:tabs>
          <w:tab w:leader="none" w:pos="2144" w:val="left"/>
        </w:tabs>
        <w:numPr>
          <w:ilvl w:val="3"/>
          <w:numId w:val="116"/>
        </w:numPr>
        <w:rPr>
          <w:rFonts w:ascii="Arial" w:cs="Arial" w:eastAsia="Arial" w:hAnsi="Arial"/>
          <w:sz w:val="18"/>
          <w:szCs w:val="18"/>
          <w:color w:val="auto"/>
        </w:rPr>
      </w:pPr>
      <w:r>
        <w:rPr>
          <w:rFonts w:ascii="Arial" w:cs="Arial" w:eastAsia="Arial" w:hAnsi="Arial"/>
          <w:sz w:val="18"/>
          <w:szCs w:val="18"/>
          <w:color w:val="auto"/>
        </w:rPr>
        <w:t>The payment in settlement of the Restricted Stock Units would otherwise occur within six months after the separation from service.</w:t>
      </w:r>
    </w:p>
    <w:p>
      <w:pPr>
        <w:spacing w:after="0" w:line="180" w:lineRule="exact"/>
        <w:rPr>
          <w:sz w:val="20"/>
          <w:szCs w:val="20"/>
          <w:color w:val="auto"/>
        </w:rPr>
      </w:pPr>
    </w:p>
    <w:p>
      <w:pPr>
        <w:ind w:left="1300"/>
        <w:spacing w:after="0" w:line="287" w:lineRule="auto"/>
        <w:rPr>
          <w:sz w:val="20"/>
          <w:szCs w:val="20"/>
          <w:color w:val="auto"/>
        </w:rPr>
      </w:pPr>
      <w:r>
        <w:rPr>
          <w:rFonts w:ascii="Arial" w:cs="Arial" w:eastAsia="Arial" w:hAnsi="Arial"/>
          <w:sz w:val="18"/>
          <w:szCs w:val="18"/>
          <w:color w:val="auto"/>
        </w:rPr>
        <w:t>If the six-month delay rule applies, payment in settlement of the Restricted Stock Units shall instead be made on the first business day after the date that is six months following</w:t>
      </w:r>
    </w:p>
    <w:p>
      <w:pPr>
        <w:sectPr>
          <w:pgSz w:w="11900" w:h="16838" w:orient="portrait"/>
          <w:cols w:equalWidth="0" w:num="1">
            <w:col w:w="11240"/>
          </w:cols>
          <w:pgMar w:left="320" w:top="1417" w:right="339" w:bottom="1440" w:gutter="0" w:footer="0" w:header="0"/>
        </w:sectPr>
      </w:pPr>
    </w:p>
    <w:bookmarkStart w:id="173" w:name="page174"/>
    <w:bookmarkEnd w:id="173"/>
    <w:p>
      <w:pPr>
        <w:jc w:val="both"/>
        <w:ind w:left="1300"/>
        <w:spacing w:after="0" w:line="259" w:lineRule="auto"/>
        <w:rPr>
          <w:sz w:val="20"/>
          <w:szCs w:val="20"/>
          <w:color w:val="auto"/>
        </w:rPr>
      </w:pPr>
      <w:r>
        <w:rPr>
          <w:rFonts w:ascii="Arial" w:cs="Arial" w:eastAsia="Arial" w:hAnsi="Arial"/>
          <w:sz w:val="18"/>
          <w:szCs w:val="18"/>
          <w:color w:val="auto"/>
        </w:rPr>
        <w:t>the Participant's separation from service (or death, if earlier), with interest from the date such payment would otherwise have been made at the short-term applicable federal rate, compounded semi-annually, as determined under Section 1274 of the Code, for the month in which payment would have been made but for the delay in payment. During the six-month delay period, accelerated payment will be permitted in the event of the Participant’s death and for no other reason (including no acceleration upon a Change of Control) except to the extent permitted under Code Section 409A.</w:t>
      </w:r>
    </w:p>
    <w:p>
      <w:pPr>
        <w:spacing w:after="0" w:line="206" w:lineRule="exact"/>
        <w:rPr>
          <w:sz w:val="20"/>
          <w:szCs w:val="20"/>
          <w:color w:val="auto"/>
        </w:rPr>
      </w:pPr>
    </w:p>
    <w:p>
      <w:pPr>
        <w:jc w:val="both"/>
        <w:ind w:firstLine="1304"/>
        <w:spacing w:after="0" w:line="255" w:lineRule="auto"/>
        <w:tabs>
          <w:tab w:leader="none" w:pos="1763"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Change of Control Rule</w:t>
      </w:r>
      <w:r>
        <w:rPr>
          <w:rFonts w:ascii="Arial" w:cs="Arial" w:eastAsia="Arial" w:hAnsi="Arial"/>
          <w:sz w:val="18"/>
          <w:szCs w:val="18"/>
          <w:color w:val="auto"/>
        </w:rPr>
        <w:t>. Any payment in settlement of Restricted Stock Units triggered by a Change of Control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in settlement of Restricted Stock Units is not allowed by operation of this subparagraph (iii), the payment related to such Restricted Stock Units will be made within sixty (60) days of the earlier to occur of (A) the applicable payment date set forth in the Notice, death or separation from service regardless of the fact that vesting has been accelerated under the Agreement as a result of the Change of Control, or (B) the occurrence of a permissible time or event that could trigger a payment without violating Code Section 409A.</w:t>
      </w:r>
    </w:p>
    <w:p>
      <w:pPr>
        <w:spacing w:after="0" w:line="211" w:lineRule="exact"/>
        <w:rPr>
          <w:rFonts w:ascii="Arial" w:cs="Arial" w:eastAsia="Arial" w:hAnsi="Arial"/>
          <w:sz w:val="18"/>
          <w:szCs w:val="18"/>
          <w:color w:val="auto"/>
        </w:rPr>
      </w:pPr>
    </w:p>
    <w:p>
      <w:pPr>
        <w:ind w:left="1380" w:hanging="400"/>
        <w:spacing w:after="0"/>
        <w:tabs>
          <w:tab w:leader="none" w:pos="13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Other Compliance Provisions</w:t>
      </w:r>
      <w:r>
        <w:rPr>
          <w:rFonts w:ascii="Arial" w:cs="Arial" w:eastAsia="Arial" w:hAnsi="Arial"/>
          <w:sz w:val="18"/>
          <w:szCs w:val="18"/>
          <w:color w:val="auto"/>
        </w:rPr>
        <w:t>. The following provisions also apply to Restricted Stock Units:</w:t>
      </w:r>
    </w:p>
    <w:p>
      <w:pPr>
        <w:spacing w:after="0" w:line="252" w:lineRule="exact"/>
        <w:rPr>
          <w:rFonts w:ascii="Arial" w:cs="Arial" w:eastAsia="Arial" w:hAnsi="Arial"/>
          <w:sz w:val="18"/>
          <w:szCs w:val="18"/>
          <w:color w:val="auto"/>
        </w:rPr>
      </w:pPr>
    </w:p>
    <w:p>
      <w:pPr>
        <w:ind w:left="1680" w:hanging="376"/>
        <w:spacing w:after="0"/>
        <w:tabs>
          <w:tab w:leader="none" w:pos="16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settlement of Restricted Stock Units may not be accelerated by the Company except to the extent permitted under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Code Section 409A.</w:t>
      </w:r>
    </w:p>
    <w:p>
      <w:pPr>
        <w:spacing w:after="0" w:line="234" w:lineRule="exact"/>
        <w:rPr>
          <w:sz w:val="20"/>
          <w:szCs w:val="20"/>
          <w:color w:val="auto"/>
        </w:rPr>
      </w:pPr>
    </w:p>
    <w:p>
      <w:pPr>
        <w:jc w:val="both"/>
        <w:ind w:firstLine="1304"/>
        <w:spacing w:after="0" w:line="268" w:lineRule="auto"/>
        <w:tabs>
          <w:tab w:leader="none" w:pos="1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any mandatory term required to avoid tax penalties under Code Section 409A is not otherwise explicitly provided under this document or other applicable documents, such term is hereby incorporated by reference and fully applicable as though set forth at length herein.</w:t>
      </w:r>
    </w:p>
    <w:p>
      <w:pPr>
        <w:spacing w:after="0" w:line="197" w:lineRule="exact"/>
        <w:rPr>
          <w:rFonts w:ascii="Arial" w:cs="Arial" w:eastAsia="Arial" w:hAnsi="Arial"/>
          <w:sz w:val="18"/>
          <w:szCs w:val="18"/>
          <w:color w:val="auto"/>
        </w:rPr>
      </w:pPr>
    </w:p>
    <w:p>
      <w:pPr>
        <w:ind w:firstLine="1304"/>
        <w:spacing w:after="0" w:line="287" w:lineRule="auto"/>
        <w:tabs>
          <w:tab w:leader="none" w:pos="185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payment tranche of Restricted Stock Units set forth in the Notice shall be deemed a separate payment for purposes of Code Section 409A.</w:t>
      </w:r>
    </w:p>
    <w:p>
      <w:pPr>
        <w:sectPr>
          <w:pgSz w:w="11900" w:h="16838" w:orient="portrait"/>
          <w:cols w:equalWidth="0" w:num="1">
            <w:col w:w="11240"/>
          </w:cols>
          <w:pgMar w:left="320" w:top="1417" w:right="339" w:bottom="1440" w:gutter="0" w:footer="0" w:header="0"/>
        </w:sectPr>
      </w:pPr>
    </w:p>
    <w:bookmarkStart w:id="174" w:name="page175"/>
    <w:bookmarkEnd w:id="174"/>
    <w:tbl>
      <w:tblPr>
        <w:tblLayout w:type="fixed"/>
        <w:tblInd w:w="20" w:type="dxa"/>
        <w:tblCellMar>
          <w:top w:w="0" w:type="dxa"/>
          <w:left w:w="0" w:type="dxa"/>
          <w:bottom w:w="0" w:type="dxa"/>
          <w:right w:w="0" w:type="dxa"/>
        </w:tblCellMar>
      </w:tblPr>
      <w:tr>
        <w:trPr>
          <w:trHeight w:val="253"/>
        </w:trPr>
        <w:tc>
          <w:tcPr>
            <w:tcW w:w="5100" w:type="dxa"/>
            <w:vAlign w:val="bottom"/>
          </w:tcPr>
          <w:p>
            <w:pPr>
              <w:spacing w:after="0"/>
              <w:rPr>
                <w:sz w:val="20"/>
                <w:szCs w:val="20"/>
                <w:color w:val="auto"/>
              </w:rPr>
            </w:pPr>
            <w:r>
              <w:rPr>
                <w:rFonts w:ascii="Arial" w:cs="Arial" w:eastAsia="Arial" w:hAnsi="Arial"/>
                <w:sz w:val="22"/>
                <w:szCs w:val="22"/>
                <w:b w:val="1"/>
                <w:bCs w:val="1"/>
                <w:color w:val="auto"/>
              </w:rPr>
              <w:t>Notice of Grant of Award</w:t>
            </w:r>
          </w:p>
        </w:tc>
        <w:tc>
          <w:tcPr>
            <w:tcW w:w="4720" w:type="dxa"/>
            <w:vAlign w:val="bottom"/>
          </w:tcPr>
          <w:p>
            <w:pPr>
              <w:ind w:left="2560"/>
              <w:spacing w:after="0"/>
              <w:rPr>
                <w:sz w:val="20"/>
                <w:szCs w:val="20"/>
                <w:color w:val="auto"/>
              </w:rPr>
            </w:pPr>
            <w:r>
              <w:rPr>
                <w:rFonts w:ascii="Arial" w:cs="Arial" w:eastAsia="Arial" w:hAnsi="Arial"/>
                <w:sz w:val="16"/>
                <w:szCs w:val="16"/>
                <w:b w:val="1"/>
                <w:bCs w:val="1"/>
                <w:color w:val="auto"/>
              </w:rPr>
              <w:t>Expand Energy Corporation</w:t>
            </w:r>
          </w:p>
        </w:tc>
        <w:tc>
          <w:tcPr>
            <w:tcW w:w="0" w:type="dxa"/>
            <w:vAlign w:val="bottom"/>
          </w:tcPr>
          <w:p>
            <w:pPr>
              <w:spacing w:after="0"/>
              <w:rPr>
                <w:sz w:val="1"/>
                <w:szCs w:val="1"/>
                <w:color w:val="auto"/>
              </w:rPr>
            </w:pPr>
          </w:p>
        </w:tc>
      </w:tr>
      <w:tr>
        <w:trPr>
          <w:trHeight w:val="175"/>
        </w:trPr>
        <w:tc>
          <w:tcPr>
            <w:tcW w:w="5100" w:type="dxa"/>
            <w:vAlign w:val="bottom"/>
            <w:vMerge w:val="restart"/>
          </w:tcPr>
          <w:p>
            <w:pPr>
              <w:spacing w:after="0"/>
              <w:rPr>
                <w:sz w:val="20"/>
                <w:szCs w:val="20"/>
                <w:color w:val="auto"/>
              </w:rPr>
            </w:pPr>
            <w:r>
              <w:rPr>
                <w:rFonts w:ascii="Arial" w:cs="Arial" w:eastAsia="Arial" w:hAnsi="Arial"/>
                <w:sz w:val="22"/>
                <w:szCs w:val="22"/>
                <w:b w:val="1"/>
                <w:bCs w:val="1"/>
                <w:color w:val="auto"/>
              </w:rPr>
              <w:t>and Award Agreement</w:t>
            </w:r>
          </w:p>
        </w:tc>
        <w:tc>
          <w:tcPr>
            <w:tcW w:w="4720" w:type="dxa"/>
            <w:vAlign w:val="bottom"/>
          </w:tcPr>
          <w:p>
            <w:pPr>
              <w:ind w:left="2560"/>
              <w:spacing w:after="0" w:line="175" w:lineRule="exact"/>
              <w:rPr>
                <w:sz w:val="20"/>
                <w:szCs w:val="20"/>
                <w:color w:val="auto"/>
              </w:rPr>
            </w:pPr>
            <w:r>
              <w:rPr>
                <w:rFonts w:ascii="Arial" w:cs="Arial" w:eastAsia="Arial" w:hAnsi="Arial"/>
                <w:sz w:val="16"/>
                <w:szCs w:val="16"/>
                <w:color w:val="auto"/>
              </w:rPr>
              <w:t>ID: 73-1395733</w:t>
            </w:r>
          </w:p>
        </w:tc>
        <w:tc>
          <w:tcPr>
            <w:tcW w:w="0" w:type="dxa"/>
            <w:vAlign w:val="bottom"/>
          </w:tcPr>
          <w:p>
            <w:pPr>
              <w:spacing w:after="0"/>
              <w:rPr>
                <w:sz w:val="1"/>
                <w:szCs w:val="1"/>
                <w:color w:val="auto"/>
              </w:rPr>
            </w:pPr>
          </w:p>
        </w:tc>
      </w:tr>
      <w:tr>
        <w:trPr>
          <w:trHeight w:val="189"/>
        </w:trPr>
        <w:tc>
          <w:tcPr>
            <w:tcW w:w="5100" w:type="dxa"/>
            <w:vAlign w:val="bottom"/>
            <w:vMerge w:val="continue"/>
          </w:tcPr>
          <w:p>
            <w:pPr>
              <w:spacing w:after="0"/>
              <w:rPr>
                <w:sz w:val="16"/>
                <w:szCs w:val="16"/>
                <w:color w:val="auto"/>
              </w:rPr>
            </w:pPr>
          </w:p>
        </w:tc>
        <w:tc>
          <w:tcPr>
            <w:tcW w:w="4720" w:type="dxa"/>
            <w:vAlign w:val="bottom"/>
          </w:tcPr>
          <w:p>
            <w:pPr>
              <w:ind w:left="2560"/>
              <w:spacing w:after="0"/>
              <w:rPr>
                <w:sz w:val="20"/>
                <w:szCs w:val="20"/>
                <w:color w:val="auto"/>
              </w:rPr>
            </w:pPr>
            <w:r>
              <w:rPr>
                <w:rFonts w:ascii="Arial" w:cs="Arial" w:eastAsia="Arial" w:hAnsi="Arial"/>
                <w:sz w:val="16"/>
                <w:szCs w:val="16"/>
                <w:color w:val="auto"/>
              </w:rPr>
              <w:t>6100 N. Western Avenue</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18"/>
                <w:szCs w:val="18"/>
                <w:color w:val="auto"/>
              </w:rPr>
            </w:pPr>
          </w:p>
        </w:tc>
        <w:tc>
          <w:tcPr>
            <w:tcW w:w="4720" w:type="dxa"/>
            <w:vAlign w:val="bottom"/>
          </w:tcPr>
          <w:p>
            <w:pPr>
              <w:ind w:left="2560"/>
              <w:spacing w:after="0"/>
              <w:rPr>
                <w:sz w:val="20"/>
                <w:szCs w:val="20"/>
                <w:color w:val="auto"/>
              </w:rPr>
            </w:pPr>
            <w:r>
              <w:rPr>
                <w:rFonts w:ascii="Arial" w:cs="Arial" w:eastAsia="Arial" w:hAnsi="Arial"/>
                <w:sz w:val="16"/>
                <w:szCs w:val="16"/>
                <w:color w:val="auto"/>
              </w:rPr>
              <w:t>Oklahoma City, OK 73118</w:t>
            </w:r>
          </w:p>
        </w:tc>
        <w:tc>
          <w:tcPr>
            <w:tcW w:w="0" w:type="dxa"/>
            <w:vAlign w:val="bottom"/>
          </w:tcPr>
          <w:p>
            <w:pPr>
              <w:spacing w:after="0"/>
              <w:rPr>
                <w:sz w:val="1"/>
                <w:szCs w:val="1"/>
                <w:color w:val="auto"/>
              </w:rPr>
            </w:pPr>
          </w:p>
        </w:tc>
      </w:tr>
      <w:tr>
        <w:trPr>
          <w:trHeight w:val="662"/>
        </w:trPr>
        <w:tc>
          <w:tcPr>
            <w:tcW w:w="5100" w:type="dxa"/>
            <w:vAlign w:val="bottom"/>
          </w:tcPr>
          <w:p>
            <w:pPr>
              <w:spacing w:after="0"/>
              <w:rPr>
                <w:sz w:val="20"/>
                <w:szCs w:val="20"/>
                <w:color w:val="auto"/>
              </w:rPr>
            </w:pPr>
            <w:r>
              <w:rPr>
                <w:rFonts w:ascii="Arial" w:cs="Arial" w:eastAsia="Arial" w:hAnsi="Arial"/>
                <w:sz w:val="22"/>
                <w:szCs w:val="22"/>
                <w:b w:val="1"/>
                <w:bCs w:val="1"/>
                <w:color w:val="auto"/>
              </w:rPr>
              <w:t>&lt;NAME&gt;</w:t>
            </w:r>
          </w:p>
        </w:tc>
        <w:tc>
          <w:tcPr>
            <w:tcW w:w="4720" w:type="dxa"/>
            <w:vAlign w:val="bottom"/>
          </w:tcPr>
          <w:p>
            <w:pPr>
              <w:ind w:left="2560"/>
              <w:spacing w:after="0"/>
              <w:rPr>
                <w:sz w:val="20"/>
                <w:szCs w:val="20"/>
                <w:color w:val="auto"/>
              </w:rPr>
            </w:pPr>
            <w:r>
              <w:rPr>
                <w:rFonts w:ascii="Arial" w:cs="Arial" w:eastAsia="Arial" w:hAnsi="Arial"/>
                <w:sz w:val="22"/>
                <w:szCs w:val="22"/>
                <w:b w:val="1"/>
                <w:bCs w:val="1"/>
                <w:color w:val="auto"/>
              </w:rPr>
              <w:t>Award Number:</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22"/>
                <w:szCs w:val="22"/>
                <w:b w:val="1"/>
                <w:bCs w:val="1"/>
                <w:color w:val="auto"/>
              </w:rPr>
              <w:t>&lt;ADDRESS&gt;</w:t>
            </w:r>
          </w:p>
        </w:tc>
        <w:tc>
          <w:tcPr>
            <w:tcW w:w="4720" w:type="dxa"/>
            <w:vAlign w:val="bottom"/>
            <w:vMerge w:val="restart"/>
          </w:tcPr>
          <w:p>
            <w:pPr>
              <w:ind w:left="2560"/>
              <w:spacing w:after="0"/>
              <w:rPr>
                <w:sz w:val="20"/>
                <w:szCs w:val="20"/>
                <w:color w:val="auto"/>
              </w:rPr>
            </w:pPr>
            <w:r>
              <w:rPr>
                <w:rFonts w:ascii="Arial" w:cs="Arial" w:eastAsia="Arial" w:hAnsi="Arial"/>
                <w:sz w:val="22"/>
                <w:szCs w:val="22"/>
                <w:b w:val="1"/>
                <w:bCs w:val="1"/>
                <w:color w:val="auto"/>
              </w:rPr>
              <w:t xml:space="preserve">Plan: </w:t>
            </w:r>
            <w:r>
              <w:rPr>
                <w:rFonts w:ascii="Arial" w:cs="Arial" w:eastAsia="Arial" w:hAnsi="Arial"/>
                <w:sz w:val="22"/>
                <w:szCs w:val="22"/>
                <w:color w:val="auto"/>
              </w:rPr>
              <w:t>2021 LTIP</w:t>
            </w:r>
          </w:p>
        </w:tc>
        <w:tc>
          <w:tcPr>
            <w:tcW w:w="0" w:type="dxa"/>
            <w:vAlign w:val="bottom"/>
          </w:tcPr>
          <w:p>
            <w:pPr>
              <w:spacing w:after="0"/>
              <w:rPr>
                <w:sz w:val="1"/>
                <w:szCs w:val="1"/>
                <w:color w:val="auto"/>
              </w:rPr>
            </w:pPr>
          </w:p>
        </w:tc>
      </w:tr>
      <w:tr>
        <w:trPr>
          <w:trHeight w:val="297"/>
        </w:trPr>
        <w:tc>
          <w:tcPr>
            <w:tcW w:w="5100" w:type="dxa"/>
            <w:vAlign w:val="bottom"/>
          </w:tcPr>
          <w:p>
            <w:pPr>
              <w:spacing w:after="0"/>
              <w:rPr>
                <w:sz w:val="20"/>
                <w:szCs w:val="20"/>
                <w:color w:val="auto"/>
              </w:rPr>
            </w:pPr>
            <w:r>
              <w:rPr>
                <w:rFonts w:ascii="Arial" w:cs="Arial" w:eastAsia="Arial" w:hAnsi="Arial"/>
                <w:sz w:val="22"/>
                <w:szCs w:val="22"/>
                <w:b w:val="1"/>
                <w:bCs w:val="1"/>
                <w:color w:val="auto"/>
              </w:rPr>
              <w:t>&lt;ADDRESS&gt;</w:t>
            </w:r>
          </w:p>
        </w:tc>
        <w:tc>
          <w:tcPr>
            <w:tcW w:w="4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both"/>
        <w:ind w:right="480"/>
        <w:spacing w:after="0" w:line="264" w:lineRule="auto"/>
        <w:rPr>
          <w:sz w:val="20"/>
          <w:szCs w:val="20"/>
          <w:color w:val="auto"/>
        </w:rPr>
      </w:pPr>
      <w:r>
        <w:rPr>
          <w:rFonts w:ascii="Arial" w:cs="Arial" w:eastAsia="Arial" w:hAnsi="Arial"/>
          <w:sz w:val="22"/>
          <w:szCs w:val="22"/>
          <w:color w:val="auto"/>
        </w:rPr>
        <w:t>Effective &lt;Date&gt;, you have been granted an award of &lt;#&gt; Restricted Stock Units. These Restricted Stock Units entitle you to receive a payment in the form of shares of Common Stock equal to the number of Restricted Stock Units to be paid on the payment date.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The current total value of the award is &lt;$&gt;.</w:t>
      </w:r>
    </w:p>
    <w:p>
      <w:pPr>
        <w:spacing w:after="0" w:line="247"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The Restricted Stock Units will vest and be paid on the earlier of (i) &lt;Date&gt; and (ii) the date of the Company’s &lt;Year&gt; annual shareholder meeting (the “Vesting Date”).</w:t>
      </w:r>
    </w:p>
    <w:p>
      <w:pPr>
        <w:spacing w:after="0" w:line="200" w:lineRule="exact"/>
        <w:rPr>
          <w:sz w:val="20"/>
          <w:szCs w:val="20"/>
          <w:color w:val="auto"/>
        </w:rPr>
      </w:pPr>
    </w:p>
    <w:p>
      <w:pPr>
        <w:spacing w:after="0" w:line="226" w:lineRule="exact"/>
        <w:rPr>
          <w:sz w:val="20"/>
          <w:szCs w:val="20"/>
          <w:color w:val="auto"/>
        </w:rPr>
      </w:pPr>
    </w:p>
    <w:p>
      <w:pPr>
        <w:jc w:val="both"/>
        <w:ind w:right="100"/>
        <w:spacing w:after="0" w:line="264" w:lineRule="auto"/>
        <w:rPr>
          <w:sz w:val="20"/>
          <w:szCs w:val="20"/>
          <w:color w:val="auto"/>
        </w:rPr>
      </w:pPr>
      <w:r>
        <w:rPr>
          <w:rFonts w:ascii="Arial" w:cs="Arial" w:eastAsia="Arial" w:hAnsi="Arial"/>
          <w:sz w:val="22"/>
          <w:szCs w:val="22"/>
          <w:color w:val="auto"/>
        </w:rPr>
        <w:t>By your signature and the Company's signature below, you and the Company agree that this award is granted under and governed by the terms and conditions of the Company's 2021 Long Term Incentive Plan and the Agreement, all of which are attached and made a part of this document.</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27940</wp:posOffset>
            </wp:positionV>
            <wp:extent cx="66090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2">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pacing w:after="0" w:line="51" w:lineRule="exact"/>
        <w:rPr>
          <w:sz w:val="20"/>
          <w:szCs w:val="20"/>
          <w:color w:val="auto"/>
        </w:rPr>
      </w:pPr>
    </w:p>
    <w:p>
      <w:pPr>
        <w:ind w:left="840"/>
        <w:spacing w:after="0"/>
        <w:tabs>
          <w:tab w:leader="none" w:pos="5740" w:val="left"/>
        </w:tabs>
        <w:rPr>
          <w:sz w:val="20"/>
          <w:szCs w:val="20"/>
          <w:color w:val="auto"/>
        </w:rPr>
      </w:pPr>
      <w:r>
        <w:rPr>
          <w:rFonts w:ascii="Arial" w:cs="Arial" w:eastAsia="Arial" w:hAnsi="Arial"/>
          <w:sz w:val="22"/>
          <w:szCs w:val="22"/>
          <w:color w:val="auto"/>
        </w:rPr>
        <w:t>Expand Energy Corporation</w:t>
      </w:r>
      <w:r>
        <w:rPr>
          <w:sz w:val="20"/>
          <w:szCs w:val="20"/>
          <w:color w:val="auto"/>
        </w:rPr>
        <w:tab/>
      </w:r>
      <w:r>
        <w:rPr>
          <w:rFonts w:ascii="Arial" w:cs="Arial" w:eastAsia="Arial" w:hAnsi="Arial"/>
          <w:sz w:val="21"/>
          <w:szCs w:val="21"/>
          <w:color w:val="auto"/>
        </w:rPr>
        <w:t>Participant</w:t>
      </w:r>
    </w:p>
    <w:p>
      <w:pPr>
        <w:spacing w:after="0" w:line="328"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27940</wp:posOffset>
            </wp:positionV>
            <wp:extent cx="66090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3">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ectPr>
          <w:pgSz w:w="11900" w:h="16838" w:orient="portrait"/>
          <w:cols w:equalWidth="0" w:num="1">
            <w:col w:w="11200"/>
          </w:cols>
          <w:pgMar w:left="320" w:top="1439" w:right="37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DEFERRAL ELECTION FORM</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complete this Restricted Stock Units Deferral Election Form (the “Deferral Election Form”) and return a signed copy to Expand Energy Corporation (the “Company”), care of Ryan Turner (ryan.turner@chk.com), no later than ___________, 20___ at 12:00 pm CT (the “Election Deadline”).</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39370</wp:posOffset>
            </wp:positionV>
            <wp:extent cx="21856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 This Deferral Election Form will apply to all grants of Restricted Stock Units (“RSUs”) you may receive from the Company until such time as a new signed Deferral Election Form is received by the Company. Any new signed Deferral Election Form must be received by the Company no later than December 31 of the calendar year preceding the calendar in which the RSUs are granted.</w:t>
      </w:r>
    </w:p>
    <w:p>
      <w:pPr>
        <w:spacing w:after="0" w:line="185" w:lineRule="exact"/>
        <w:rPr>
          <w:sz w:val="20"/>
          <w:szCs w:val="20"/>
          <w:color w:val="auto"/>
        </w:rPr>
      </w:pPr>
    </w:p>
    <w:p>
      <w:pPr>
        <w:ind w:left="1000" w:hanging="344"/>
        <w:spacing w:after="0"/>
        <w:tabs>
          <w:tab w:leader="none" w:pos="10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Settlement of RSUs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making this election, the following rules apply:</w:t>
      </w:r>
    </w:p>
    <w:p>
      <w:pPr>
        <w:spacing w:after="0" w:line="252" w:lineRule="exact"/>
        <w:rPr>
          <w:sz w:val="20"/>
          <w:szCs w:val="20"/>
          <w:color w:val="auto"/>
        </w:rPr>
      </w:pPr>
    </w:p>
    <w:p>
      <w:pPr>
        <w:jc w:val="both"/>
        <w:ind w:left="1800" w:hanging="496"/>
        <w:spacing w:after="0" w:line="262" w:lineRule="auto"/>
        <w:tabs>
          <w:tab w:leader="none" w:pos="17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Unless otherwise specified, capitalized terms used but not defined in this Deferral Election Form shall have the meanings attributed to them in the Restricted Stock Unit Award Agreement (the “Agreement”) or the Expand Energy Corporation 2021 Long Term Incentive Plan effective as of February 9, 2021, as amended from time to time (the “Plan”), as applicable.</w:t>
      </w:r>
    </w:p>
    <w:p>
      <w:pPr>
        <w:spacing w:after="0" w:line="203" w:lineRule="exact"/>
        <w:rPr>
          <w:rFonts w:ascii="Arial" w:cs="Arial" w:eastAsia="Arial" w:hAnsi="Arial"/>
          <w:sz w:val="18"/>
          <w:szCs w:val="18"/>
          <w:color w:val="auto"/>
        </w:rPr>
      </w:pPr>
    </w:p>
    <w:p>
      <w:pPr>
        <w:jc w:val="both"/>
        <w:ind w:left="1800" w:hanging="496"/>
        <w:spacing w:after="0" w:line="262" w:lineRule="auto"/>
        <w:tabs>
          <w:tab w:leader="none" w:pos="179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You must complete this Deferral Election Form by the Election Deadline and select a payment date on which you will receive the shares of Common Stock underlying the RSUs. If you fail to complete and timely submit this Deferral Election Form, the shares of Common Stock underlying your RSUs will be paid to you at the default time specified in Section 5 of the Agreement.</w:t>
      </w:r>
    </w:p>
    <w:p>
      <w:pPr>
        <w:spacing w:after="0" w:line="203" w:lineRule="exact"/>
        <w:rPr>
          <w:rFonts w:ascii="Arial" w:cs="Arial" w:eastAsia="Arial" w:hAnsi="Arial"/>
          <w:sz w:val="18"/>
          <w:szCs w:val="18"/>
          <w:color w:val="auto"/>
        </w:rPr>
      </w:pPr>
    </w:p>
    <w:p>
      <w:pPr>
        <w:ind w:left="1000" w:hanging="344"/>
        <w:spacing w:after="0"/>
        <w:tabs>
          <w:tab w:leader="none" w:pos="10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Election</w:t>
      </w:r>
    </w:p>
    <w:p>
      <w:pPr>
        <w:spacing w:after="0" w:line="252"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8"/>
          <w:szCs w:val="18"/>
          <w:b w:val="1"/>
          <w:bCs w:val="1"/>
          <w:color w:val="auto"/>
        </w:rPr>
        <w:t xml:space="preserve">I hereby irrevocably elect to receive the shares of Common Stock issuable pursuant to any RSUs granted to me in &lt;Year&gt; and any future calendar years, until such time as a new signed Deferral Election Form is received by the Company, upon </w:t>
      </w:r>
      <w:r>
        <w:rPr>
          <w:rFonts w:ascii="Arial" w:cs="Arial" w:eastAsia="Arial" w:hAnsi="Arial"/>
          <w:sz w:val="18"/>
          <w:szCs w:val="18"/>
          <w:b w:val="1"/>
          <w:bCs w:val="1"/>
          <w:i w:val="1"/>
          <w:iCs w:val="1"/>
          <w:color w:val="auto"/>
        </w:rPr>
        <w:t>(select only one of the following)</w:t>
      </w:r>
      <w:r>
        <w:rPr>
          <w:rFonts w:ascii="Arial" w:cs="Arial" w:eastAsia="Arial" w:hAnsi="Arial"/>
          <w:sz w:val="18"/>
          <w:szCs w:val="18"/>
          <w:b w:val="1"/>
          <w:bCs w:val="1"/>
          <w:color w:val="auto"/>
        </w:rPr>
        <w:t>:</w:t>
      </w:r>
    </w:p>
    <w:p>
      <w:pPr>
        <w:spacing w:after="0" w:line="185" w:lineRule="exact"/>
        <w:rPr>
          <w:sz w:val="20"/>
          <w:szCs w:val="20"/>
          <w:color w:val="auto"/>
        </w:rPr>
      </w:pPr>
    </w:p>
    <w:p>
      <w:pPr>
        <w:ind w:left="1660" w:hanging="356"/>
        <w:spacing w:after="0"/>
        <w:tabs>
          <w:tab w:leader="none" w:pos="16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(a) The Vesting Date specified in the Agreement.</w:t>
      </w:r>
    </w:p>
    <w:p>
      <w:pPr>
        <w:spacing w:after="0" w:line="252" w:lineRule="exact"/>
        <w:rPr>
          <w:rFonts w:ascii="MS PGothic" w:cs="MS PGothic" w:eastAsia="MS PGothic" w:hAnsi="MS PGothic"/>
          <w:sz w:val="18"/>
          <w:szCs w:val="18"/>
          <w:color w:val="auto"/>
        </w:rPr>
      </w:pPr>
    </w:p>
    <w:p>
      <w:pPr>
        <w:ind w:left="1960" w:right="260" w:hanging="656"/>
        <w:spacing w:after="0" w:line="287" w:lineRule="auto"/>
        <w:tabs>
          <w:tab w:leader="none" w:pos="1674"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(b) The date I cease to be a director and do not subsequently directly or indirectly provide services to the Company, a Subsidiary or Affiliated Entity as employee or consultant (the “Termination Date”).</w:t>
      </w:r>
    </w:p>
    <w:p>
      <w:pPr>
        <w:spacing w:after="0" w:line="179" w:lineRule="exact"/>
        <w:rPr>
          <w:rFonts w:ascii="MS PGothic" w:cs="MS PGothic" w:eastAsia="MS PGothic" w:hAnsi="MS PGothic"/>
          <w:sz w:val="18"/>
          <w:szCs w:val="18"/>
          <w:color w:val="auto"/>
        </w:rPr>
      </w:pPr>
    </w:p>
    <w:p>
      <w:pPr>
        <w:ind w:left="1660" w:hanging="356"/>
        <w:spacing w:after="0"/>
        <w:tabs>
          <w:tab w:leader="none" w:pos="16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 xml:space="preserve">(c) The following anniversary of the Termination Date as circled: </w:t>
      </w:r>
      <w:r>
        <w:rPr>
          <w:rFonts w:ascii="Arial" w:cs="Arial" w:eastAsia="Arial" w:hAnsi="Arial"/>
          <w:sz w:val="18"/>
          <w:szCs w:val="18"/>
          <w:b w:val="1"/>
          <w:bCs w:val="1"/>
          <w:color w:val="auto"/>
        </w:rPr>
        <w:t>[first] [second] [third] [fourth] [fifth]</w:t>
      </w:r>
      <w:r>
        <w:rPr>
          <w:rFonts w:ascii="Arial" w:cs="Arial" w:eastAsia="Arial" w:hAnsi="Arial"/>
          <w:sz w:val="18"/>
          <w:szCs w:val="18"/>
          <w:color w:val="auto"/>
        </w:rPr>
        <w:t>.</w:t>
      </w:r>
    </w:p>
    <w:p>
      <w:pPr>
        <w:spacing w:after="0" w:line="252" w:lineRule="exact"/>
        <w:rPr>
          <w:rFonts w:ascii="MS PGothic" w:cs="MS PGothic" w:eastAsia="MS PGothic" w:hAnsi="MS PGothic"/>
          <w:sz w:val="18"/>
          <w:szCs w:val="18"/>
          <w:color w:val="auto"/>
        </w:rPr>
      </w:pPr>
    </w:p>
    <w:p>
      <w:pPr>
        <w:ind w:left="1660" w:hanging="356"/>
        <w:spacing w:after="0"/>
        <w:tabs>
          <w:tab w:leader="none" w:pos="16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(d) The date of a Change of Control (the “COC Date”).</w:t>
      </w:r>
    </w:p>
    <w:p>
      <w:pPr>
        <w:spacing w:after="0" w:line="252" w:lineRule="exact"/>
        <w:rPr>
          <w:rFonts w:ascii="MS PGothic" w:cs="MS PGothic" w:eastAsia="MS PGothic" w:hAnsi="MS PGothic"/>
          <w:sz w:val="18"/>
          <w:szCs w:val="18"/>
          <w:color w:val="auto"/>
        </w:rPr>
      </w:pPr>
    </w:p>
    <w:p>
      <w:pPr>
        <w:ind w:left="1660" w:hanging="356"/>
        <w:spacing w:after="0"/>
        <w:tabs>
          <w:tab w:leader="none" w:pos="16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 xml:space="preserve">(e) The following anniversary of the Vesting Date as circled: </w:t>
      </w:r>
      <w:r>
        <w:rPr>
          <w:rFonts w:ascii="Arial" w:cs="Arial" w:eastAsia="Arial" w:hAnsi="Arial"/>
          <w:sz w:val="18"/>
          <w:szCs w:val="18"/>
          <w:b w:val="1"/>
          <w:bCs w:val="1"/>
          <w:color w:val="auto"/>
        </w:rPr>
        <w:t>[first] [second] [third] [fourth] [fifth]</w:t>
      </w:r>
      <w:r>
        <w:rPr>
          <w:rFonts w:ascii="Arial" w:cs="Arial" w:eastAsia="Arial" w:hAnsi="Arial"/>
          <w:sz w:val="18"/>
          <w:szCs w:val="18"/>
          <w:color w:val="auto"/>
        </w:rPr>
        <w:t>.</w:t>
      </w:r>
    </w:p>
    <w:p>
      <w:pPr>
        <w:sectPr>
          <w:pgSz w:w="11900" w:h="16838" w:orient="portrait"/>
          <w:cols w:equalWidth="0" w:num="1">
            <w:col w:w="11240"/>
          </w:cols>
          <w:pgMar w:left="320" w:top="1417" w:right="339" w:bottom="1440" w:gutter="0" w:footer="0" w:header="0"/>
        </w:sectPr>
      </w:pPr>
    </w:p>
    <w:bookmarkStart w:id="176" w:name="page177"/>
    <w:bookmarkEnd w:id="176"/>
    <w:p>
      <w:pPr>
        <w:ind w:left="1304" w:right="20" w:hanging="656"/>
        <w:spacing w:after="0" w:line="296" w:lineRule="auto"/>
        <w:tabs>
          <w:tab w:leader="none" w:pos="1018" w:val="left"/>
        </w:tabs>
        <w:numPr>
          <w:ilvl w:val="1"/>
          <w:numId w:val="123"/>
        </w:numPr>
        <w:rPr>
          <w:rFonts w:ascii="MS PGothic" w:cs="MS PGothic" w:eastAsia="MS PGothic" w:hAnsi="MS PGothic"/>
          <w:sz w:val="18"/>
          <w:szCs w:val="18"/>
          <w:color w:val="auto"/>
        </w:rPr>
      </w:pPr>
      <w:r>
        <w:rPr>
          <w:rFonts w:ascii="Arial" w:cs="Arial" w:eastAsia="Arial" w:hAnsi="Arial"/>
          <w:sz w:val="18"/>
          <w:szCs w:val="18"/>
          <w:color w:val="auto"/>
        </w:rPr>
        <w:t xml:space="preserve">(f) The earliest of the (i) Termination Date, (ii) COC Date and (iii) the following anniversary of the Vesting Date as circled: </w:t>
      </w:r>
      <w:r>
        <w:rPr>
          <w:rFonts w:ascii="Arial" w:cs="Arial" w:eastAsia="Arial" w:hAnsi="Arial"/>
          <w:sz w:val="18"/>
          <w:szCs w:val="18"/>
          <w:b w:val="1"/>
          <w:bCs w:val="1"/>
          <w:color w:val="auto"/>
        </w:rPr>
        <w:t>[first] [second] [third] [fourth] [fifth]</w:t>
      </w:r>
      <w:r>
        <w:rPr>
          <w:rFonts w:ascii="Arial" w:cs="Arial" w:eastAsia="Arial" w:hAnsi="Arial"/>
          <w:sz w:val="18"/>
          <w:szCs w:val="18"/>
          <w:color w:val="auto"/>
        </w:rPr>
        <w:t>.</w:t>
      </w:r>
    </w:p>
    <w:p>
      <w:pPr>
        <w:spacing w:after="0" w:line="164" w:lineRule="exact"/>
        <w:rPr>
          <w:rFonts w:ascii="MS PGothic" w:cs="MS PGothic" w:eastAsia="MS PGothic" w:hAnsi="MS PGothic"/>
          <w:sz w:val="18"/>
          <w:szCs w:val="18"/>
          <w:color w:val="auto"/>
        </w:rPr>
      </w:pPr>
    </w:p>
    <w:p>
      <w:pPr>
        <w:ind w:left="344" w:hanging="344"/>
        <w:spacing w:after="0"/>
        <w:tabs>
          <w:tab w:leader="none" w:pos="344"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Signature</w:t>
      </w:r>
    </w:p>
    <w:p>
      <w:pPr>
        <w:spacing w:after="0" w:line="252"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8"/>
          <w:szCs w:val="18"/>
          <w:b w:val="1"/>
          <w:bCs w:val="1"/>
          <w:color w:val="auto"/>
        </w:rPr>
        <w:t>I understand that my rights to the shares of Common Stock underlying the RSUs are subject to (i) to fluctuations in market prices, which may increase or decrease between the default time specified in the Agreement and the settlement date I elected above and (ii) the rights of the general creditors of the Company in the event of its insolvency. I also understand that cash in respect of any Dividend Equivalents accruing after the vesting of my RSUs will be paid annually in accordance with Section 6 of the Agreement. I further understand that this Deferral Election Form will become effective and irrevocable as of the Election Deadline. Once I have elected the time of settlement of my RSUs by submitting this Deferral Election Form, I understand that (a) the settlement election will be irrevocable and (b) the settlement election will control over any contrary payment time or event specified in Section 5 of the Agreement. I acknowledge that, if I do not complete and timely submit this Deferral Election Form, the shares of Common Stock underlying my RSUs will be paid to me at the default time specified in the Agreement.</w:t>
      </w:r>
    </w:p>
    <w:p>
      <w:pPr>
        <w:spacing w:after="0" w:line="204"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By executing this Deferral Election Form, I hereby acknowledge my understanding of, and agreement with, the terms and provisions set forth in this Deferral Election Form, the Notice, the Agreement and the Plan.</w:t>
      </w:r>
    </w:p>
    <w:p>
      <w:pPr>
        <w:spacing w:after="0" w:line="200" w:lineRule="exact"/>
        <w:rPr>
          <w:sz w:val="20"/>
          <w:szCs w:val="20"/>
          <w:color w:val="auto"/>
        </w:rPr>
      </w:pPr>
    </w:p>
    <w:p>
      <w:pPr>
        <w:spacing w:after="0" w:line="274" w:lineRule="exact"/>
        <w:rPr>
          <w:sz w:val="20"/>
          <w:szCs w:val="20"/>
          <w:color w:val="auto"/>
        </w:rPr>
      </w:pPr>
    </w:p>
    <w:p>
      <w:pPr>
        <w:ind w:left="5824"/>
        <w:spacing w:after="0"/>
        <w:rPr>
          <w:sz w:val="20"/>
          <w:szCs w:val="20"/>
          <w:color w:val="auto"/>
        </w:rPr>
      </w:pPr>
      <w:r>
        <w:rPr>
          <w:rFonts w:ascii="Arial" w:cs="Arial" w:eastAsia="Arial" w:hAnsi="Arial"/>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3686175</wp:posOffset>
            </wp:positionH>
            <wp:positionV relativeFrom="paragraph">
              <wp:posOffset>382270</wp:posOffset>
            </wp:positionV>
            <wp:extent cx="30346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5">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24"/>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39370</wp:posOffset>
            </wp:positionV>
            <wp:extent cx="24599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584"/>
          </w:cols>
          <w:pgMar w:left="976" w:top="1417"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64" w:lineRule="auto"/>
        <w:rPr>
          <w:sz w:val="20"/>
          <w:szCs w:val="20"/>
          <w:color w:val="auto"/>
        </w:rPr>
      </w:pPr>
      <w:r>
        <w:rPr>
          <w:rFonts w:ascii="Arial" w:cs="Arial" w:eastAsia="Arial" w:hAnsi="Arial"/>
          <w:sz w:val="22"/>
          <w:szCs w:val="22"/>
          <w:b w:val="1"/>
          <w:bCs w:val="1"/>
          <w:color w:val="auto"/>
        </w:rPr>
        <w:t xml:space="preserve">PERFORMANCE SHARE UNIT AWARD AGREEMENT FOR EXPAND ENERGY CORPORATION </w:t>
      </w:r>
      <w:r>
        <w:rPr>
          <w:rFonts w:ascii="Arial" w:cs="Arial" w:eastAsia="Arial" w:hAnsi="Arial"/>
          <w:sz w:val="22"/>
          <w:szCs w:val="22"/>
          <w:b w:val="1"/>
          <w:bCs w:val="1"/>
          <w:u w:val="single" w:color="auto"/>
          <w:color w:val="auto"/>
        </w:rPr>
        <w:t>LONG TERM INCENTIVE PLAN (Absolute TSR)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Company has previously adopted the Expand Energy Corporation 2021 Long Term Incentive Plan effective as of February 9, 2021, as amended, restated or otherwise modified from time to time (the “Plan”); and</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WHEREAS, the Company has awarded the Participant Performance Share Units under the Plan (which are a subcategory of Performance Shares under the Plan), as set forth on the Notice, subject to the terms and conditions of this Agreement.</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56" w:lineRule="exact"/>
        <w:rPr>
          <w:sz w:val="20"/>
          <w:szCs w:val="20"/>
          <w:color w:val="auto"/>
        </w:rPr>
      </w:pPr>
    </w:p>
    <w:p>
      <w:pPr>
        <w:jc w:val="both"/>
        <w:ind w:firstLine="1304"/>
        <w:spacing w:after="0" w:line="257" w:lineRule="auto"/>
        <w:tabs>
          <w:tab w:leader="none" w:pos="1892"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73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138" w:right="339" w:bottom="1440" w:gutter="0" w:footer="0" w:header="0"/>
        </w:sectPr>
      </w:pPr>
    </w:p>
    <w:bookmarkStart w:id="178" w:name="page179"/>
    <w:bookmarkEnd w:id="178"/>
    <w:p>
      <w:pPr>
        <w:spacing w:after="0" w:line="159" w:lineRule="exact"/>
        <w:rPr>
          <w:sz w:val="20"/>
          <w:szCs w:val="20"/>
          <w:color w:val="auto"/>
        </w:rPr>
      </w:pPr>
    </w:p>
    <w:p>
      <w:pPr>
        <w:ind w:left="1720" w:hanging="416"/>
        <w:spacing w:after="0"/>
        <w:tabs>
          <w:tab w:leader="none" w:pos="1720"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Earning, Vesting and Forfeiture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488"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Earning and Vesting</w:t>
      </w:r>
      <w:r>
        <w:rPr>
          <w:rFonts w:ascii="Arial" w:cs="Arial" w:eastAsia="Arial" w:hAnsi="Arial"/>
          <w:sz w:val="22"/>
          <w:szCs w:val="22"/>
          <w:color w:val="auto"/>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spacing w:after="0" w:line="172" w:lineRule="exact"/>
        <w:rPr>
          <w:rFonts w:ascii="Arial" w:cs="Arial" w:eastAsia="Arial" w:hAnsi="Arial"/>
          <w:sz w:val="22"/>
          <w:szCs w:val="22"/>
          <w:color w:val="auto"/>
        </w:rPr>
      </w:pPr>
    </w:p>
    <w:p>
      <w:pPr>
        <w:jc w:val="both"/>
        <w:ind w:firstLine="1952"/>
        <w:spacing w:after="0" w:line="257" w:lineRule="auto"/>
        <w:tabs>
          <w:tab w:leader="none" w:pos="2596"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spacing w:after="0" w:line="171" w:lineRule="exact"/>
        <w:rPr>
          <w:rFonts w:ascii="Arial" w:cs="Arial" w:eastAsia="Arial" w:hAnsi="Arial"/>
          <w:sz w:val="22"/>
          <w:szCs w:val="22"/>
          <w:color w:val="auto"/>
        </w:rPr>
      </w:pPr>
    </w:p>
    <w:p>
      <w:pPr>
        <w:jc w:val="both"/>
        <w:ind w:firstLine="1952"/>
        <w:spacing w:after="0" w:line="249" w:lineRule="auto"/>
        <w:tabs>
          <w:tab w:leader="none" w:pos="2503" w:val="left"/>
        </w:tabs>
        <w:numPr>
          <w:ilvl w:val="2"/>
          <w:numId w:val="125"/>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spacing w:after="0" w:line="181" w:lineRule="exact"/>
        <w:rPr>
          <w:rFonts w:ascii="Arial" w:cs="Arial" w:eastAsia="Arial" w:hAnsi="Arial"/>
          <w:sz w:val="22"/>
          <w:szCs w:val="22"/>
          <w:color w:val="auto"/>
        </w:rPr>
      </w:pPr>
    </w:p>
    <w:p>
      <w:pPr>
        <w:jc w:val="both"/>
        <w:ind w:firstLine="1952"/>
        <w:spacing w:after="0" w:line="259" w:lineRule="auto"/>
        <w:tabs>
          <w:tab w:leader="none" w:pos="2556" w:val="left"/>
        </w:tabs>
        <w:numPr>
          <w:ilvl w:val="2"/>
          <w:numId w:val="125"/>
        </w:numPr>
        <w:rPr>
          <w:rFonts w:ascii="Arial" w:cs="Arial" w:eastAsia="Arial" w:hAnsi="Arial"/>
          <w:sz w:val="21"/>
          <w:szCs w:val="21"/>
          <w:color w:val="auto"/>
        </w:rPr>
      </w:pPr>
      <w:r>
        <w:rPr>
          <w:rFonts w:ascii="Arial" w:cs="Arial" w:eastAsia="Arial" w:hAnsi="Arial"/>
          <w:sz w:val="21"/>
          <w:szCs w:val="21"/>
          <w:u w:val="single" w:color="auto"/>
          <w:color w:val="auto"/>
        </w:rPr>
        <w:t>Acceleration on Termination Without Cause or for Good Reason Following a Change of Control</w:t>
      </w:r>
      <w:r>
        <w:rPr>
          <w:rFonts w:ascii="Arial" w:cs="Arial" w:eastAsia="Arial" w:hAnsi="Arial"/>
          <w:sz w:val="21"/>
          <w:szCs w:val="21"/>
          <w:color w:val="auto"/>
        </w:rPr>
        <w:t>. This Award shall become fully vested based on actual performance measured as provided in the Notice if the Participant’s service is terminated by the Company without Cause or by the Participant for Good Reason, in each case, within the 12-month period following the effective date of a Change of Control.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w:t>
      </w:r>
    </w:p>
    <w:p>
      <w:pPr>
        <w:spacing w:after="0" w:line="3" w:lineRule="exact"/>
        <w:rPr>
          <w:rFonts w:ascii="Arial" w:cs="Arial" w:eastAsia="Arial" w:hAnsi="Arial"/>
          <w:sz w:val="21"/>
          <w:szCs w:val="21"/>
          <w:color w:val="auto"/>
        </w:rPr>
      </w:pPr>
    </w:p>
    <w:p>
      <w:pPr>
        <w:ind w:firstLine="8"/>
        <w:spacing w:after="0" w:line="253" w:lineRule="auto"/>
        <w:tabs>
          <w:tab w:leader="none" w:pos="38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Company fails to remedy the condition so identified within thirty (30) days after receipt of such notice (if capable of correction), (C) the Participant provides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spacing w:after="0" w:line="172" w:lineRule="exact"/>
        <w:rPr>
          <w:sz w:val="20"/>
          <w:szCs w:val="20"/>
          <w:color w:val="auto"/>
        </w:rPr>
      </w:pPr>
    </w:p>
    <w:p>
      <w:pPr>
        <w:jc w:val="both"/>
        <w:ind w:firstLine="1304"/>
        <w:spacing w:after="0" w:line="253" w:lineRule="auto"/>
        <w:tabs>
          <w:tab w:leader="none" w:pos="1757"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spacing w:after="0" w:line="178" w:lineRule="exact"/>
        <w:rPr>
          <w:rFonts w:ascii="Arial" w:cs="Arial" w:eastAsia="Arial" w:hAnsi="Arial"/>
          <w:sz w:val="22"/>
          <w:szCs w:val="22"/>
          <w:color w:val="auto"/>
        </w:rPr>
      </w:pPr>
    </w:p>
    <w:p>
      <w:pPr>
        <w:jc w:val="both"/>
        <w:ind w:firstLine="1304"/>
        <w:spacing w:after="0" w:line="257" w:lineRule="auto"/>
        <w:tabs>
          <w:tab w:leader="none" w:pos="1892"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Performance Share Units within sixty (60) days following the vesting date of such Performance Share Unit.</w:t>
      </w:r>
    </w:p>
    <w:p>
      <w:pPr>
        <w:spacing w:after="0" w:line="186" w:lineRule="exact"/>
        <w:rPr>
          <w:rFonts w:ascii="Arial" w:cs="Arial" w:eastAsia="Arial" w:hAnsi="Arial"/>
          <w:sz w:val="22"/>
          <w:szCs w:val="22"/>
          <w:color w:val="auto"/>
        </w:rPr>
      </w:pPr>
    </w:p>
    <w:p>
      <w:pPr>
        <w:jc w:val="both"/>
        <w:ind w:firstLine="1304"/>
        <w:spacing w:after="0" w:line="261" w:lineRule="auto"/>
        <w:tabs>
          <w:tab w:leader="none" w:pos="1716" w:val="left"/>
        </w:tabs>
        <w:numPr>
          <w:ilvl w:val="0"/>
          <w:numId w:val="127"/>
        </w:numPr>
        <w:rPr>
          <w:rFonts w:ascii="Arial" w:cs="Arial" w:eastAsia="Arial" w:hAnsi="Arial"/>
          <w:sz w:val="21"/>
          <w:szCs w:val="21"/>
          <w:color w:val="auto"/>
        </w:rPr>
      </w:pPr>
      <w:r>
        <w:rPr>
          <w:rFonts w:ascii="Arial" w:cs="Arial" w:eastAsia="Arial" w:hAnsi="Arial"/>
          <w:sz w:val="21"/>
          <w:szCs w:val="21"/>
          <w:u w:val="single" w:color="auto"/>
          <w:color w:val="auto"/>
        </w:rPr>
        <w:t>Dividends Equivalents</w:t>
      </w:r>
      <w:r>
        <w:rPr>
          <w:rFonts w:ascii="Arial" w:cs="Arial" w:eastAsia="Arial" w:hAnsi="Arial"/>
          <w:sz w:val="21"/>
          <w:szCs w:val="21"/>
          <w:color w:val="auto"/>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 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spacing w:after="0" w:line="169" w:lineRule="exact"/>
        <w:rPr>
          <w:rFonts w:ascii="Arial" w:cs="Arial" w:eastAsia="Arial" w:hAnsi="Arial"/>
          <w:sz w:val="21"/>
          <w:szCs w:val="21"/>
          <w:color w:val="auto"/>
        </w:rPr>
      </w:pPr>
    </w:p>
    <w:p>
      <w:pPr>
        <w:jc w:val="both"/>
        <w:ind w:firstLine="1304"/>
        <w:spacing w:after="0" w:line="250" w:lineRule="auto"/>
        <w:tabs>
          <w:tab w:leader="none" w:pos="1959"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sole discretion may also withhold any required taxes from Dividend Equivalents paid on the Performance Share Units.</w:t>
      </w:r>
    </w:p>
    <w:p>
      <w:pPr>
        <w:spacing w:after="0" w:line="142" w:lineRule="exact"/>
        <w:rPr>
          <w:sz w:val="20"/>
          <w:szCs w:val="20"/>
          <w:color w:val="auto"/>
        </w:rPr>
      </w:pPr>
    </w:p>
    <w:p>
      <w:pPr>
        <w:jc w:val="both"/>
        <w:ind w:firstLine="1304"/>
        <w:spacing w:after="0" w:line="257" w:lineRule="auto"/>
        <w:tabs>
          <w:tab w:leader="none" w:pos="1851"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72" w:lineRule="exact"/>
        <w:rPr>
          <w:rFonts w:ascii="Arial" w:cs="Arial" w:eastAsia="Arial" w:hAnsi="Arial"/>
          <w:sz w:val="22"/>
          <w:szCs w:val="22"/>
          <w:color w:val="auto"/>
        </w:rPr>
      </w:pPr>
    </w:p>
    <w:p>
      <w:pPr>
        <w:jc w:val="both"/>
        <w:ind w:firstLine="1304"/>
        <w:spacing w:after="0" w:line="250" w:lineRule="auto"/>
        <w:tabs>
          <w:tab w:leader="none" w:pos="1743"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179" w:lineRule="exact"/>
        <w:rPr>
          <w:rFonts w:ascii="Arial" w:cs="Arial" w:eastAsia="Arial" w:hAnsi="Arial"/>
          <w:sz w:val="22"/>
          <w:szCs w:val="22"/>
          <w:color w:val="auto"/>
        </w:rPr>
      </w:pPr>
    </w:p>
    <w:p>
      <w:pPr>
        <w:jc w:val="both"/>
        <w:ind w:firstLine="1304"/>
        <w:spacing w:after="0" w:line="259" w:lineRule="auto"/>
        <w:tabs>
          <w:tab w:leader="none" w:pos="1877"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and Proprietary Information</w:t>
      </w:r>
      <w:r>
        <w:rPr>
          <w:rFonts w:ascii="Arial" w:cs="Arial" w:eastAsia="Arial" w:hAnsi="Arial"/>
          <w:sz w:val="21"/>
          <w:szCs w:val="21"/>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risk characteristics, likely receptivity to solicitation for participation in various transactions, as well as any other business information obtained by the Participant, during the course of employment.</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foregoing, nothing in this Agreement shall prohibit or restrict the Participant from lawfully:</w:t>
      </w:r>
    </w:p>
    <w:p>
      <w:pPr>
        <w:spacing w:after="0" w:line="35" w:lineRule="exact"/>
        <w:rPr>
          <w:sz w:val="20"/>
          <w:szCs w:val="20"/>
          <w:color w:val="auto"/>
        </w:rPr>
      </w:pPr>
    </w:p>
    <w:p>
      <w:pPr>
        <w:jc w:val="both"/>
        <w:ind w:firstLine="8"/>
        <w:spacing w:after="0" w:line="246" w:lineRule="auto"/>
        <w:tabs>
          <w:tab w:leader="none" w:pos="31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24" w:lineRule="exact"/>
        <w:rPr>
          <w:rFonts w:ascii="Arial" w:cs="Arial" w:eastAsia="Arial" w:hAnsi="Arial"/>
          <w:sz w:val="22"/>
          <w:szCs w:val="22"/>
          <w:color w:val="auto"/>
        </w:rPr>
      </w:pPr>
    </w:p>
    <w:p>
      <w:pPr>
        <w:ind w:left="1820" w:hanging="516"/>
        <w:spacing w:after="0"/>
        <w:tabs>
          <w:tab w:leader="none" w:pos="1820" w:val="left"/>
        </w:tabs>
        <w:numPr>
          <w:ilvl w:val="1"/>
          <w:numId w:val="129"/>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464" w:val="left"/>
        </w:tabs>
        <w:numPr>
          <w:ilvl w:val="2"/>
          <w:numId w:val="129"/>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80" w:lineRule="exact"/>
        <w:rPr>
          <w:rFonts w:ascii="Arial" w:cs="Arial" w:eastAsia="Arial" w:hAnsi="Arial"/>
          <w:sz w:val="22"/>
          <w:szCs w:val="22"/>
          <w:color w:val="auto"/>
        </w:rPr>
      </w:pPr>
    </w:p>
    <w:p>
      <w:pPr>
        <w:jc w:val="both"/>
        <w:ind w:firstLine="1952"/>
        <w:spacing w:after="0" w:line="253" w:lineRule="auto"/>
        <w:tabs>
          <w:tab w:leader="none" w:pos="2654" w:val="left"/>
        </w:tabs>
        <w:numPr>
          <w:ilvl w:val="2"/>
          <w:numId w:val="129"/>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59" w:lineRule="exact"/>
        <w:rPr>
          <w:sz w:val="20"/>
          <w:szCs w:val="20"/>
          <w:color w:val="auto"/>
        </w:rPr>
      </w:pPr>
    </w:p>
    <w:p>
      <w:pPr>
        <w:jc w:val="both"/>
        <w:ind w:firstLine="1304"/>
        <w:spacing w:after="0" w:line="271" w:lineRule="auto"/>
        <w:tabs>
          <w:tab w:leader="none" w:pos="1863"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relating to the Plan and this Agreement as it relates to the Participant shall be in electronic or written form. If in writing, such notices shall be deemed to have been made</w:t>
      </w:r>
    </w:p>
    <w:p>
      <w:pPr>
        <w:spacing w:after="0" w:line="1" w:lineRule="exact"/>
        <w:rPr>
          <w:rFonts w:ascii="Arial" w:cs="Arial" w:eastAsia="Arial" w:hAnsi="Arial"/>
          <w:sz w:val="21"/>
          <w:szCs w:val="21"/>
          <w:color w:val="auto"/>
        </w:rPr>
      </w:pPr>
    </w:p>
    <w:p>
      <w:pPr>
        <w:jc w:val="both"/>
        <w:ind w:firstLine="8"/>
        <w:spacing w:after="0" w:line="245" w:lineRule="auto"/>
        <w:tabs>
          <w:tab w:leader="none" w:pos="33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0"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72" w:lineRule="exact"/>
        <w:rPr>
          <w:rFonts w:ascii="Arial" w:cs="Arial" w:eastAsia="Arial" w:hAnsi="Arial"/>
          <w:sz w:val="22"/>
          <w:szCs w:val="22"/>
          <w:color w:val="auto"/>
        </w:rPr>
      </w:pPr>
    </w:p>
    <w:p>
      <w:pPr>
        <w:ind w:firstLine="1304"/>
        <w:spacing w:after="0" w:line="296" w:lineRule="auto"/>
        <w:tabs>
          <w:tab w:leader="none" w:pos="1836"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46" w:lineRule="exact"/>
        <w:rPr>
          <w:rFonts w:ascii="Arial" w:cs="Arial" w:eastAsia="Arial" w:hAnsi="Arial"/>
          <w:sz w:val="21"/>
          <w:szCs w:val="21"/>
          <w:color w:val="auto"/>
        </w:rPr>
      </w:pPr>
    </w:p>
    <w:p>
      <w:pPr>
        <w:ind w:right="20" w:firstLine="1304"/>
        <w:spacing w:after="0" w:line="272" w:lineRule="auto"/>
        <w:tabs>
          <w:tab w:leader="none" w:pos="1877"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142" w:lineRule="exact"/>
        <w:rPr>
          <w:rFonts w:ascii="Arial" w:cs="Arial" w:eastAsia="Arial" w:hAnsi="Arial"/>
          <w:sz w:val="22"/>
          <w:szCs w:val="22"/>
          <w:color w:val="auto"/>
        </w:rPr>
      </w:pPr>
    </w:p>
    <w:p>
      <w:pPr>
        <w:jc w:val="both"/>
        <w:ind w:firstLine="1304"/>
        <w:spacing w:after="0" w:line="241" w:lineRule="auto"/>
        <w:tabs>
          <w:tab w:leader="none" w:pos="1904"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Company Recoupment of Awards</w:t>
      </w:r>
      <w:r>
        <w:rPr>
          <w:rFonts w:ascii="Arial" w:cs="Arial" w:eastAsia="Arial" w:hAnsi="Arial"/>
          <w:sz w:val="22"/>
          <w:szCs w:val="22"/>
          <w:color w:val="auto"/>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spacing w:after="0" w:line="217" w:lineRule="exact"/>
        <w:rPr>
          <w:rFonts w:ascii="Arial" w:cs="Arial" w:eastAsia="Arial" w:hAnsi="Arial"/>
          <w:sz w:val="22"/>
          <w:szCs w:val="22"/>
          <w:color w:val="auto"/>
        </w:rPr>
      </w:pPr>
    </w:p>
    <w:p>
      <w:pPr>
        <w:jc w:val="both"/>
        <w:ind w:firstLine="1304"/>
        <w:spacing w:after="0" w:line="248" w:lineRule="auto"/>
        <w:tabs>
          <w:tab w:leader="none" w:pos="1863"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Performance Share Units and Award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Expand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6100 North Western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Oklahoma City, OK 73118</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2620" w:type="dxa"/>
            <w:vAlign w:val="bottom"/>
            <w:tcBorders>
              <w:bottom w:val="single" w:sz="8" w:color="auto"/>
            </w:tcBorders>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Award Number:</w:t>
            </w:r>
          </w:p>
        </w:tc>
        <w:tc>
          <w:tcPr>
            <w:tcW w:w="1160" w:type="dxa"/>
            <w:vAlign w:val="bottom"/>
            <w:tcBorders>
              <w:bottom w:val="single" w:sz="8" w:color="auto"/>
            </w:tcBorders>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Plan:</w:t>
            </w:r>
          </w:p>
        </w:tc>
        <w:tc>
          <w:tcPr>
            <w:tcW w:w="1160" w:type="dxa"/>
            <w:vAlign w:val="bottom"/>
          </w:tcPr>
          <w:p>
            <w:pPr>
              <w:ind w:left="20"/>
              <w:spacing w:after="0"/>
              <w:rPr>
                <w:sz w:val="20"/>
                <w:szCs w:val="20"/>
                <w:color w:val="auto"/>
              </w:rPr>
            </w:pPr>
            <w:r>
              <w:rPr>
                <w:rFonts w:ascii="Arial" w:cs="Arial" w:eastAsia="Arial" w:hAnsi="Arial"/>
                <w:sz w:val="22"/>
                <w:szCs w:val="22"/>
                <w:color w:val="auto"/>
              </w:rPr>
              <w:t>2021 LTIP</w:t>
            </w:r>
          </w:p>
        </w:tc>
      </w:tr>
      <w:tr>
        <w:trPr>
          <w:trHeight w:val="299"/>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color w:val="auto"/>
              </w:rPr>
              <w:t>ID:</w:t>
            </w: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Effective _______, 20__ (the “Grant Date”), you have been granted a target number of 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Performance Share Units. These Performance Share Units will become earned and vested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Determination of Earned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Subject to earlier forfeiture in Section 3(b) of the Award Agreement, the number of your Performance Share Units that become earned shall be determined based on the annualized absolute total stockholder return (“ATSR”) during the period beginning on December 31, 20__ and ending on December 31, 20__ (the “Performance Period”).</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Company’s ATSR, as set forth below, shall determine the percentage of your target number of Performance Share Units that are earned. For ATSR performance between the values listed in the table below, the number of Performance Share Units that become earned shall be determined by straight-line interpolation. The Committee will review, analyze and certify the achievement of the Company’s performance under the ATSR goal for the Performance Period, and will determine whether the ATSR performance requirement for your Performance Share Units has been satisfied in accordance with the terms of this Agreement.</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ATSR Performance and Payout Schedule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ATSR</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Percentage of Target</w:t>
            </w:r>
          </w:p>
        </w:tc>
      </w:tr>
      <w:tr>
        <w:trPr>
          <w:trHeight w:val="257"/>
        </w:trPr>
        <w:tc>
          <w:tcPr>
            <w:tcW w:w="1560" w:type="dxa"/>
            <w:vAlign w:val="bottom"/>
            <w:tcBorders>
              <w:left w:val="single" w:sz="8" w:color="auto"/>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Performance-Share</w:t>
            </w:r>
          </w:p>
        </w:tc>
      </w:tr>
      <w:tr>
        <w:trPr>
          <w:trHeight w:val="305"/>
        </w:trPr>
        <w:tc>
          <w:tcPr>
            <w:tcW w:w="15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Units Earned</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40%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80%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15%</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 or greater</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r>
    </w:tbl>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All unearned Performance Share Units that are outstanding as of the date immediately following the last day of the Performance Period shall be forfeited and cancelled for no consideration if they do not become earned as set forth above.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earned Performance Share Units will vest upon the third anniversary of the Grant Date provided that you remain an Employee through such date, except as otherwise provided in Section 3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ATSR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ATSR for the Performance Period is determined as follows: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ATSR = [(EP + CD)/BP)^(1/3)] - 1, where</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22"/>
          <w:szCs w:val="22"/>
          <w:color w:val="auto"/>
        </w:rPr>
        <w:t>Ending Price (EP) – equals the Company’s Fourth Quarter VWAP for the period ending on December 31, 20__. In the event that a Change of Control occurs during the Performance Period, the Ending Price shall be determined by the Committee.</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Beginning Price (BP) – equals the Company’s Fourth Quarter VWAP for the period ending on December 31, 20__.</w:t>
      </w:r>
    </w:p>
    <w:p>
      <w:pPr>
        <w:spacing w:after="0" w:line="206" w:lineRule="exact"/>
        <w:rPr>
          <w:sz w:val="20"/>
          <w:szCs w:val="20"/>
          <w:color w:val="auto"/>
        </w:rPr>
      </w:pPr>
    </w:p>
    <w:p>
      <w:pPr>
        <w:jc w:val="both"/>
        <w:ind w:right="20"/>
        <w:spacing w:after="0" w:line="297" w:lineRule="auto"/>
        <w:rPr>
          <w:sz w:val="20"/>
          <w:szCs w:val="20"/>
          <w:color w:val="auto"/>
        </w:rPr>
      </w:pPr>
      <w:r>
        <w:rPr>
          <w:rFonts w:ascii="Arial" w:cs="Arial" w:eastAsia="Arial" w:hAnsi="Arial"/>
          <w:sz w:val="22"/>
          <w:szCs w:val="22"/>
          <w:color w:val="auto"/>
        </w:rPr>
        <w:t>Cash Dividends (CD) – equals the total of all cash dividends paid on a share of Common Stock during the Performance Period.</w:t>
      </w:r>
    </w:p>
    <w:p>
      <w:pPr>
        <w:spacing w:after="0" w:line="116"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As used herein, “Fourth Quarter VWAP” means, as of any date of determination, the volume-weighted average price of a share of Common Stock as displayed under the heading “Bloomberg VWAP” on Bloomberg page “EXE&lt;equity&gt;VWAP” (or its equivalent successor if such page is not available) for the Trading Days occurring during the fourth quarter of the applicable calendar year (or if such volume-weighted average price is</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unavailable, the market value of a share of Common Stock during such period, determined using a volume-weighted average method by a nationally recognized independent investment banking firm retained for this purpose by the Company).</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used herein, “Trading Day” means a day on which (a) trading in the Common Stock generally occurs on NASDAQ or, if the Common Stock is not then listed on NASDAQ, on the principal securities exchange on which the Common Stock is then listed or, if the Common Stock is not then listed on a securities exchange, on the principal other market on which the Common Stock is then traded; and (b) a Fourth Quarter VWAP for the Common Stock is available on such securities exchange or market, but if the Common Stock is not so listed or traded, “Trading Day” means mean any day except a Saturday, Sunday or other day on which commercial banks in Oklahoma City, Oklahoma are authorized or required by law to be closed.</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Acceptance</w:t>
      </w:r>
      <w:r>
        <w:rPr>
          <w:rFonts w:ascii="Arial" w:cs="Arial" w:eastAsia="Arial" w:hAnsi="Arial"/>
          <w:sz w:val="22"/>
          <w:szCs w:val="22"/>
          <w:color w:val="auto"/>
        </w:rPr>
        <w:t>. You are required to accept the terms and conditions set forth in this Notice, the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40" w:type="dxa"/>
            <w:vAlign w:val="bottom"/>
            <w:gridSpan w:val="2"/>
          </w:tcPr>
          <w:p>
            <w:pPr>
              <w:ind w:left="20"/>
              <w:spacing w:after="0"/>
              <w:rPr>
                <w:sz w:val="20"/>
                <w:szCs w:val="20"/>
                <w:color w:val="auto"/>
              </w:rPr>
            </w:pPr>
            <w:r>
              <w:rPr>
                <w:rFonts w:ascii="Arial" w:cs="Arial" w:eastAsia="Arial" w:hAnsi="Arial"/>
                <w:sz w:val="22"/>
                <w:szCs w:val="22"/>
                <w:color w:val="auto"/>
              </w:rPr>
              <w:t>Expand Energy Corporation</w:t>
            </w:r>
          </w:p>
        </w:tc>
        <w:tc>
          <w:tcPr>
            <w:tcW w:w="48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53"/>
        </w:trPr>
        <w:tc>
          <w:tcPr>
            <w:tcW w:w="482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291"/>
        </w:trPr>
        <w:tc>
          <w:tcPr>
            <w:tcW w:w="644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0"/>
        <w:spacing w:after="0" w:line="264" w:lineRule="auto"/>
        <w:rPr>
          <w:sz w:val="20"/>
          <w:szCs w:val="20"/>
          <w:color w:val="auto"/>
        </w:rPr>
      </w:pPr>
      <w:r>
        <w:rPr>
          <w:rFonts w:ascii="Arial" w:cs="Arial" w:eastAsia="Arial" w:hAnsi="Arial"/>
          <w:sz w:val="22"/>
          <w:szCs w:val="22"/>
          <w:b w:val="1"/>
          <w:bCs w:val="1"/>
          <w:color w:val="auto"/>
        </w:rPr>
        <w:t xml:space="preserve">PERFORMANCE SHARE UNIT AWARD AGREEMENT FOR EXPAND ENERGY CORPORATION </w:t>
      </w:r>
      <w:r>
        <w:rPr>
          <w:rFonts w:ascii="Arial" w:cs="Arial" w:eastAsia="Arial" w:hAnsi="Arial"/>
          <w:sz w:val="22"/>
          <w:szCs w:val="22"/>
          <w:b w:val="1"/>
          <w:bCs w:val="1"/>
          <w:u w:val="single" w:color="auto"/>
          <w:color w:val="auto"/>
        </w:rPr>
        <w:t>LONG TERM INCENTIVE PLAN (Relative TSR)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THIS PERFORMANCE SHARE UNIT AWARD AGREEMENT (the “Agreement”) entered into as of the grant date set forth on the attached Notice of Grant of Performance Share Units and Award Agreement (the “Notice”), by and between Expand Energy Corporation, an Oklahoma corporation (the “Company”), and the participant named on the Notice (the “Participant”);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2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Participant is receiving the Performance Share Units in respect of the Participant’s services as an Employee, and it is important to the Company that the Participant be encouraged to remain an Employee and to incentivize the Participant to promote the long-term success of the Company;</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22"/>
          <w:szCs w:val="22"/>
          <w:color w:val="auto"/>
        </w:rPr>
        <w:t>WHEREAS, the Company has previously adopted the Expand Energy Corporation 2021 Long Term Incentive Plan effective as of February 9, 2021, as amended, restated or otherwise modified from time to time (the “Plan”); and</w:t>
      </w:r>
    </w:p>
    <w:p>
      <w:pPr>
        <w:spacing w:after="0" w:line="173"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22"/>
          <w:szCs w:val="22"/>
          <w:color w:val="auto"/>
        </w:rPr>
        <w:t>WHEREAS, the Company has awarded the Participant Performance Share Units under the Plan (which are a subcategory of Performance Shares under the Plan), as set forth on the Notice, subject to the terms and conditions of this Agreement.</w:t>
      </w:r>
    </w:p>
    <w:p>
      <w:pPr>
        <w:spacing w:after="0" w:line="16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22"/>
          <w:szCs w:val="22"/>
          <w:color w:val="auto"/>
        </w:rPr>
        <w:t>NOW, THEREFORE, in consideration of the premises and the mutual promises and covenants herein contained, the Participant and the Company agree as follows:</w:t>
      </w:r>
    </w:p>
    <w:p>
      <w:pPr>
        <w:spacing w:after="0" w:line="156" w:lineRule="exact"/>
        <w:rPr>
          <w:sz w:val="20"/>
          <w:szCs w:val="20"/>
          <w:color w:val="auto"/>
        </w:rPr>
      </w:pPr>
    </w:p>
    <w:p>
      <w:pPr>
        <w:jc w:val="both"/>
        <w:ind w:firstLine="1304"/>
        <w:spacing w:after="0" w:line="257" w:lineRule="auto"/>
        <w:tabs>
          <w:tab w:leader="none" w:pos="189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The Plan</w:t>
      </w:r>
      <w:r>
        <w:rPr>
          <w:rFonts w:ascii="Arial" w:cs="Arial" w:eastAsia="Arial" w:hAnsi="Arial"/>
          <w:sz w:val="22"/>
          <w:szCs w:val="22"/>
          <w:color w:val="auto"/>
        </w:rPr>
        <w:t>. The Plan, a copy of which has been made available to the Participant, is hereby incorporated by reference herein and made a part hereof for all purposes, and when taken with this Agreement shall govern the rights of the Participant and the Company with respect to the Award (as defined below). Any capitalized terms used but not defined in this Agreement have the same meanings given to them in the Plan.</w:t>
      </w:r>
    </w:p>
    <w:p>
      <w:pPr>
        <w:spacing w:after="0" w:line="171" w:lineRule="exact"/>
        <w:rPr>
          <w:rFonts w:ascii="Arial" w:cs="Arial" w:eastAsia="Arial" w:hAnsi="Arial"/>
          <w:sz w:val="22"/>
          <w:szCs w:val="22"/>
          <w:color w:val="auto"/>
        </w:rPr>
      </w:pPr>
    </w:p>
    <w:p>
      <w:pPr>
        <w:jc w:val="both"/>
        <w:ind w:firstLine="1304"/>
        <w:spacing w:after="0" w:line="253" w:lineRule="auto"/>
        <w:tabs>
          <w:tab w:leader="none" w:pos="173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awards to the Participant the number of Performance Share Units set forth in the Notice, on the terms and conditions set forth herein and in the Plan (the “Award”). Each Performance Share Unit granted pursuant to this Award gives the Participant the right to receive payment, following the satisfaction of the vesting conditions set forth in the Notice and this Agreement, of one share of Common Stock in the manner set forth in Section 5 below.</w:t>
      </w:r>
    </w:p>
    <w:p>
      <w:pPr>
        <w:sectPr>
          <w:pgSz w:w="11900" w:h="16838" w:orient="portrait"/>
          <w:cols w:equalWidth="0" w:num="1">
            <w:col w:w="11240"/>
          </w:cols>
          <w:pgMar w:left="320" w:top="138" w:right="339" w:bottom="1440" w:gutter="0" w:footer="0" w:header="0"/>
        </w:sectPr>
      </w:pPr>
    </w:p>
    <w:bookmarkStart w:id="188" w:name="page189"/>
    <w:bookmarkEnd w:id="188"/>
    <w:p>
      <w:pPr>
        <w:spacing w:after="0" w:line="159" w:lineRule="exact"/>
        <w:rPr>
          <w:sz w:val="20"/>
          <w:szCs w:val="20"/>
          <w:color w:val="auto"/>
        </w:rPr>
      </w:pPr>
    </w:p>
    <w:p>
      <w:pPr>
        <w:ind w:left="1720" w:hanging="416"/>
        <w:spacing w:after="0"/>
        <w:tabs>
          <w:tab w:leader="none" w:pos="172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Earning, Vesting and Forfeiture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952"/>
        <w:spacing w:after="0" w:line="257" w:lineRule="auto"/>
        <w:tabs>
          <w:tab w:leader="none" w:pos="2488"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Earning and Vesting</w:t>
      </w:r>
      <w:r>
        <w:rPr>
          <w:rFonts w:ascii="Arial" w:cs="Arial" w:eastAsia="Arial" w:hAnsi="Arial"/>
          <w:sz w:val="22"/>
          <w:szCs w:val="22"/>
          <w:color w:val="auto"/>
        </w:rPr>
        <w:t>. The Performance Share Units will become earned and vested as set forth in the Notice based on the Company’s achievement of the performance goal set forth in the Notice and the Participant’s continued employment through the third anniversary of the Grant Date.</w:t>
      </w:r>
    </w:p>
    <w:p>
      <w:pPr>
        <w:spacing w:after="0" w:line="172" w:lineRule="exact"/>
        <w:rPr>
          <w:rFonts w:ascii="Arial" w:cs="Arial" w:eastAsia="Arial" w:hAnsi="Arial"/>
          <w:sz w:val="22"/>
          <w:szCs w:val="22"/>
          <w:color w:val="auto"/>
        </w:rPr>
      </w:pPr>
    </w:p>
    <w:p>
      <w:pPr>
        <w:jc w:val="both"/>
        <w:ind w:firstLine="1952"/>
        <w:spacing w:after="0" w:line="257" w:lineRule="auto"/>
        <w:tabs>
          <w:tab w:leader="none" w:pos="2596"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Forfeiture</w:t>
      </w:r>
      <w:r>
        <w:rPr>
          <w:rFonts w:ascii="Arial" w:cs="Arial" w:eastAsia="Arial" w:hAnsi="Arial"/>
          <w:sz w:val="22"/>
          <w:szCs w:val="22"/>
          <w:color w:val="auto"/>
        </w:rPr>
        <w:t>. Except as otherwise provided in this Section 3, in the event the Participant ceases to be an Employee prior to the third anniversary of the Grant Date, then all of the Performance Share Units, regardless of whether they have become earned, and any Dividend Equivalents related thereto, shall be immediately forfeited without consideration.</w:t>
      </w:r>
    </w:p>
    <w:p>
      <w:pPr>
        <w:spacing w:after="0" w:line="171" w:lineRule="exact"/>
        <w:rPr>
          <w:rFonts w:ascii="Arial" w:cs="Arial" w:eastAsia="Arial" w:hAnsi="Arial"/>
          <w:sz w:val="22"/>
          <w:szCs w:val="22"/>
          <w:color w:val="auto"/>
        </w:rPr>
      </w:pPr>
    </w:p>
    <w:p>
      <w:pPr>
        <w:jc w:val="both"/>
        <w:ind w:firstLine="1952"/>
        <w:spacing w:after="0" w:line="249" w:lineRule="auto"/>
        <w:tabs>
          <w:tab w:leader="none" w:pos="2503"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Acceleration on Death, Disability, Retirement or Involuntary Termination</w:t>
      </w:r>
      <w:r>
        <w:rPr>
          <w:rFonts w:ascii="Arial" w:cs="Arial" w:eastAsia="Arial" w:hAnsi="Arial"/>
          <w:sz w:val="22"/>
          <w:szCs w:val="22"/>
          <w:color w:val="auto"/>
        </w:rPr>
        <w:t>. This Award shall become vested upon the termination of the Participant’s employment due to the Participant’s death as follows: (i) if such death occurs prior to the end of the Performance Period, then the target number of Performance Share Units shall vest or (ii) if such death occurs after the end of the Performance Period, then the number of Performance Share Units earned based on actual performance shall vest. The Committee may also, in its discretion, waive the service-based vesting requirements or permit continued vesting of the Performance Share Units in the event of the Participant’s Disability or termination of service due to retirement or involuntary termination (as determined by the Committee in its sole discretion).</w:t>
      </w:r>
    </w:p>
    <w:p>
      <w:pPr>
        <w:spacing w:after="0" w:line="181" w:lineRule="exact"/>
        <w:rPr>
          <w:rFonts w:ascii="Arial" w:cs="Arial" w:eastAsia="Arial" w:hAnsi="Arial"/>
          <w:sz w:val="22"/>
          <w:szCs w:val="22"/>
          <w:color w:val="auto"/>
        </w:rPr>
      </w:pPr>
    </w:p>
    <w:p>
      <w:pPr>
        <w:jc w:val="both"/>
        <w:ind w:firstLine="1952"/>
        <w:spacing w:after="0" w:line="260" w:lineRule="auto"/>
        <w:tabs>
          <w:tab w:leader="none" w:pos="2556" w:val="left"/>
        </w:tabs>
        <w:numPr>
          <w:ilvl w:val="1"/>
          <w:numId w:val="133"/>
        </w:numPr>
        <w:rPr>
          <w:rFonts w:ascii="Arial" w:cs="Arial" w:eastAsia="Arial" w:hAnsi="Arial"/>
          <w:sz w:val="21"/>
          <w:szCs w:val="21"/>
          <w:color w:val="auto"/>
        </w:rPr>
      </w:pPr>
      <w:r>
        <w:rPr>
          <w:rFonts w:ascii="Arial" w:cs="Arial" w:eastAsia="Arial" w:hAnsi="Arial"/>
          <w:sz w:val="21"/>
          <w:szCs w:val="21"/>
          <w:u w:val="single" w:color="auto"/>
          <w:color w:val="auto"/>
        </w:rPr>
        <w:t>Acceleration on Termination Without Cause or for Good Reason Following a Change of Control</w:t>
      </w:r>
      <w:r>
        <w:rPr>
          <w:rFonts w:ascii="Arial" w:cs="Arial" w:eastAsia="Arial" w:hAnsi="Arial"/>
          <w:sz w:val="21"/>
          <w:szCs w:val="21"/>
          <w:color w:val="auto"/>
        </w:rPr>
        <w:t>. This Award shall become fully vested based on actual performance measured through the date of the Participant’s termination if the Participant’s service is terminated by the Company without Cause or by the Participant for Good Reason, in each case, within the 12-month period following the effective date of a Change of Control. For purposes of this Agreement, “Good Reason” shall have the meaning ascribed to such term in any employment, service or similar agreement between the Company, a Subsidiary or an Affiliated Entity and the Participant; provided, that, if there is no such agreement or the agreement does not provide for a definition of “Good Reason”, “Good Reason” shall mean the occurrence of one of the following events: (i) elimination of the Participant’s job position or material reduction in duties and/or reassignment of the Participant to a new position of materially less authority; (ii) a material reduction in the Participant’s base salary; or (iii) a requirement that the Participant relocate to a location outside of a fifty (50) mile radius of the location of the Participant’s office or principal base of operation immediately prior to the effective date of a Change of Control. Notwithstanding the foregoing, the Participant will not be deemed to have terminated for Good Reason unless (A) the Participant provides written notice to the Company of the existence of one of the conditions described above within ninety (90) days after the Participant has knowledge of the initial existence of the condition, (B) the Company fails to remedy the condition so identified within thirty (30) days after receipt of such notice (if capable of correction), (C) the Participant provides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notice of termination to the Company within thirty (30) days of the expiration of the Company’s period to remedy the condition specifying an effective date for the Participant’s termination, and (D) the effective date of the Participant’s termination of employment is within ninety (90) days after the Participant provides written notice to the Company of the existence of the condition referred to in clause (A).</w:t>
      </w:r>
    </w:p>
    <w:p>
      <w:pPr>
        <w:spacing w:after="0" w:line="172" w:lineRule="exact"/>
        <w:rPr>
          <w:sz w:val="20"/>
          <w:szCs w:val="20"/>
          <w:color w:val="auto"/>
        </w:rPr>
      </w:pPr>
    </w:p>
    <w:p>
      <w:pPr>
        <w:jc w:val="both"/>
        <w:ind w:firstLine="1304"/>
        <w:spacing w:after="0" w:line="253" w:lineRule="auto"/>
        <w:tabs>
          <w:tab w:leader="none" w:pos="1757"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A Performance Share Unit is not transferable other than by will or the laws of descent and distribution. Any attempted sale, assignment, transfer, pledge, hypothecation or other disposition of, or the levy of execution, attachment or similar process upon, a Performance Share Unit contrary to the provisions hereof shall be void and ineffective, shall give no right to any purported transferee, and may, at the sole discretion of the Committee, result in forfeiture of the Performance Share Unit(s) involved in such attempt.</w:t>
      </w:r>
    </w:p>
    <w:p>
      <w:pPr>
        <w:spacing w:after="0" w:line="178" w:lineRule="exact"/>
        <w:rPr>
          <w:rFonts w:ascii="Arial" w:cs="Arial" w:eastAsia="Arial" w:hAnsi="Arial"/>
          <w:sz w:val="22"/>
          <w:szCs w:val="22"/>
          <w:color w:val="auto"/>
        </w:rPr>
      </w:pPr>
    </w:p>
    <w:p>
      <w:pPr>
        <w:jc w:val="both"/>
        <w:ind w:firstLine="1304"/>
        <w:spacing w:after="0" w:line="257" w:lineRule="auto"/>
        <w:tabs>
          <w:tab w:leader="none" w:pos="189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Payment shall be made in the form of an issuance to the Participant of shares of Common Stock equal to the number of vested Performance Share Units within sixty (60) days following the vesting date of such Performance Share Unit.</w:t>
      </w:r>
    </w:p>
    <w:p>
      <w:pPr>
        <w:spacing w:after="0" w:line="186" w:lineRule="exact"/>
        <w:rPr>
          <w:rFonts w:ascii="Arial" w:cs="Arial" w:eastAsia="Arial" w:hAnsi="Arial"/>
          <w:sz w:val="22"/>
          <w:szCs w:val="22"/>
          <w:color w:val="auto"/>
        </w:rPr>
      </w:pPr>
    </w:p>
    <w:p>
      <w:pPr>
        <w:jc w:val="both"/>
        <w:ind w:firstLine="1304"/>
        <w:spacing w:after="0" w:line="261" w:lineRule="auto"/>
        <w:tabs>
          <w:tab w:leader="none" w:pos="1716"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Dividends Equivalents</w:t>
      </w:r>
      <w:r>
        <w:rPr>
          <w:rFonts w:ascii="Arial" w:cs="Arial" w:eastAsia="Arial" w:hAnsi="Arial"/>
          <w:sz w:val="21"/>
          <w:szCs w:val="21"/>
          <w:color w:val="auto"/>
        </w:rPr>
        <w:t>. In the event that the Company declares and pays a dividend in respect of its outstanding shares of Common Stock and, on the record date for such dividend, the Participant holds Performance Share Units granted pursuant to this Agreement that have not been settled, the Company shall record the amount of such dividend in a bookkeeping account and pay to the Participant an amount in cash equal to the cash dividends the Participant would have received if the Participant was the holder of record, as of such record date, of a number of shares of Common Stock equal to the number of Performance Share Units held by the Participant that have not been settled as of such record date, such payment to be made on the date that shares of Common Stock are issued to the Participant in respect of the Performance Share Units in accordance with Section 5 (the “Dividend Equivalents”). For purposes of clarity, if the Performance Share Units (or any portion thereof) are forfeited by the Participant pursuant to the terms of this Agreement, then the Participant shall also forfeit the Dividend Equivalents, if any, accrued with respect to such forfeited Performance Share Units. No interest will accrue on the Dividend Equivalents between the declaration and payment of the applicable dividends and the settlement of the Dividend Equivalents.</w:t>
      </w:r>
    </w:p>
    <w:p>
      <w:pPr>
        <w:spacing w:after="0" w:line="169" w:lineRule="exact"/>
        <w:rPr>
          <w:rFonts w:ascii="Arial" w:cs="Arial" w:eastAsia="Arial" w:hAnsi="Arial"/>
          <w:sz w:val="21"/>
          <w:szCs w:val="21"/>
          <w:color w:val="auto"/>
        </w:rPr>
      </w:pPr>
    </w:p>
    <w:p>
      <w:pPr>
        <w:jc w:val="both"/>
        <w:ind w:firstLine="1304"/>
        <w:spacing w:after="0" w:line="250" w:lineRule="auto"/>
        <w:tabs>
          <w:tab w:leader="none" w:pos="1959"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make such provision as it may deem appropriate for the withholding of any applicable federal, state or local taxes that it determines it may be obligated to withhold or pay in connection with the Performance Share Units. Required withholding taxes as determined by the Company associated with this Award must be paid in cash. Provided, however, the Committee may require the Participant to pay such withholding taxes by directing the Company to withhold from the Award the number of shares of Common Stock having a Fair Market Value on the date of payment equal to the amount of required withholding taxes. The Company in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sole discretion may also withhold any required taxes from Dividend Equivalents paid on the Performance Share Units.</w:t>
      </w:r>
    </w:p>
    <w:p>
      <w:pPr>
        <w:spacing w:after="0" w:line="142" w:lineRule="exact"/>
        <w:rPr>
          <w:sz w:val="20"/>
          <w:szCs w:val="20"/>
          <w:color w:val="auto"/>
        </w:rPr>
      </w:pPr>
    </w:p>
    <w:p>
      <w:pPr>
        <w:jc w:val="both"/>
        <w:ind w:firstLine="1304"/>
        <w:spacing w:after="0" w:line="257" w:lineRule="auto"/>
        <w:tabs>
          <w:tab w:leader="none" w:pos="1851"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Award Agreement may be amended by a written agreement signed by the Company and the Participant; provided that the Committee may modify the terms of this Award Agreement without the consent of the Participant in any manner that is not adverse to the Participant.</w:t>
      </w:r>
    </w:p>
    <w:p>
      <w:pPr>
        <w:spacing w:after="0" w:line="172" w:lineRule="exact"/>
        <w:rPr>
          <w:rFonts w:ascii="Arial" w:cs="Arial" w:eastAsia="Arial" w:hAnsi="Arial"/>
          <w:sz w:val="22"/>
          <w:szCs w:val="22"/>
          <w:color w:val="auto"/>
        </w:rPr>
      </w:pPr>
    </w:p>
    <w:p>
      <w:pPr>
        <w:jc w:val="both"/>
        <w:ind w:firstLine="1304"/>
        <w:spacing w:after="0" w:line="250" w:lineRule="auto"/>
        <w:tabs>
          <w:tab w:leader="none" w:pos="1743"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Securities Law Restrictions</w:t>
      </w:r>
      <w:r>
        <w:rPr>
          <w:rFonts w:ascii="Arial" w:cs="Arial" w:eastAsia="Arial" w:hAnsi="Arial"/>
          <w:sz w:val="22"/>
          <w:szCs w:val="22"/>
          <w:color w:val="auto"/>
        </w:rPr>
        <w:t>. Payment of this Award shall not be made in shares of Common Stock unless such issuance is in compliance with the Securities Act of 1933, as amended (the “Act”), and any other applicable securities law, or pursuant to an exemption therefrom. If deemed necessary by the Company to comply with the Act or any applicable laws or regulations relating to the sale of securities, the Participant at the time of payment and as a condition imposed by the Company, shall represent, warrant and agree that the shares of Common Stock subject to the Award are being acquired for investment and not with any present intention to resell the same and without a view to distribution, and the Participant shall, upon the request of the Company, execute and deliver to the Company an agreement to such a fact. The Participant acknowledges that any stock certificate representing Common Stock acquired under such circumstances will be issued with a restricted securities legend.</w:t>
      </w:r>
    </w:p>
    <w:p>
      <w:pPr>
        <w:spacing w:after="0" w:line="179" w:lineRule="exact"/>
        <w:rPr>
          <w:rFonts w:ascii="Arial" w:cs="Arial" w:eastAsia="Arial" w:hAnsi="Arial"/>
          <w:sz w:val="22"/>
          <w:szCs w:val="22"/>
          <w:color w:val="auto"/>
        </w:rPr>
      </w:pPr>
    </w:p>
    <w:p>
      <w:pPr>
        <w:jc w:val="both"/>
        <w:ind w:firstLine="1304"/>
        <w:spacing w:after="0" w:line="259" w:lineRule="auto"/>
        <w:tabs>
          <w:tab w:leader="none" w:pos="1877"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and Proprietary Information</w:t>
      </w:r>
      <w:r>
        <w:rPr>
          <w:rFonts w:ascii="Arial" w:cs="Arial" w:eastAsia="Arial" w:hAnsi="Arial"/>
          <w:sz w:val="21"/>
          <w:szCs w:val="21"/>
          <w:color w:val="auto"/>
        </w:rPr>
        <w:t>. The Participant recognizes that, as a result of his/her employment, he/she will have access to confidential information, trade secrets, proprietary methods and other data which is the property of and integral to the operation and success of the Company and therefore agrees to be bound by the provisions of this Agreement, which the parties agree and acknowledge to be reasonable. The Participant acknowledges that he/she will obtain unique benefits from his/her employment and the provisions contained in this Agreement are reasonably necessary to protect the Company’s legitimate business interests, which include, among other things, the substantial relationships between the Company and its clients, referral sources, employees, customers and vendors as well as the goodwill established with these parties over a protracted period of time. The Participant agrees that he/she will not divulge to any person; use to the detriment of the Company; or use in any business competitive with or similar to any business of the Company, any of the Company’s trade secrets and/or the Company’s confidential and proprietary information at any time during the term of the Participant’s employment or thereafter. A trade secret shall include any formula, pattern, device or compilation of information used by the Company in its business. Trade secrets as well as confidential and proprietary information shall also include, without limitation, internal well valuations, compilation of documents necessary to prepare well valuations, geological data and interpretation of geological data obtained, expectations concerning well profitability, production information, test results, economic projections, financial reports, income statements, balance sheets, general ledgers, accounts receivable, business plans, contracts with customers, suppliers and affiliated companies, the identity of customers and suppliers, and information reflecting their interests, preferences, credit-worthiness,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59" w:lineRule="exact"/>
        <w:rPr>
          <w:sz w:val="20"/>
          <w:szCs w:val="20"/>
          <w:color w:val="auto"/>
        </w:rPr>
      </w:pPr>
    </w:p>
    <w:p>
      <w:pPr>
        <w:ind w:right="20"/>
        <w:spacing w:after="0" w:line="285" w:lineRule="auto"/>
        <w:rPr>
          <w:sz w:val="20"/>
          <w:szCs w:val="20"/>
          <w:color w:val="auto"/>
        </w:rPr>
      </w:pPr>
      <w:r>
        <w:rPr>
          <w:rFonts w:ascii="Arial" w:cs="Arial" w:eastAsia="Arial" w:hAnsi="Arial"/>
          <w:sz w:val="22"/>
          <w:szCs w:val="22"/>
          <w:color w:val="auto"/>
        </w:rPr>
        <w:t>risk characteristics, likely receptivity to solicitation for participation in various transactions, as well as any other business information obtained by the Participant, during the course of employment.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Notwithstanding the foregoing, nothing in this Agreement shall prohibit or restrict the Participant from lawfully:</w:t>
      </w:r>
    </w:p>
    <w:p>
      <w:pPr>
        <w:spacing w:after="0" w:line="35" w:lineRule="exact"/>
        <w:rPr>
          <w:sz w:val="20"/>
          <w:szCs w:val="20"/>
          <w:color w:val="auto"/>
        </w:rPr>
      </w:pPr>
    </w:p>
    <w:p>
      <w:pPr>
        <w:jc w:val="both"/>
        <w:ind w:firstLine="8"/>
        <w:spacing w:after="0" w:line="246" w:lineRule="auto"/>
        <w:tabs>
          <w:tab w:leader="none" w:pos="31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the Participant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the Participant to obtain prior authorization before engaging in any conduct described in this paragraph, or to notify the Company that the Participant has engaged in any such conduct.</w:t>
      </w:r>
    </w:p>
    <w:p>
      <w:pPr>
        <w:spacing w:after="0" w:line="224" w:lineRule="exact"/>
        <w:rPr>
          <w:rFonts w:ascii="Arial" w:cs="Arial" w:eastAsia="Arial" w:hAnsi="Arial"/>
          <w:sz w:val="22"/>
          <w:szCs w:val="22"/>
          <w:color w:val="auto"/>
        </w:rPr>
      </w:pPr>
    </w:p>
    <w:p>
      <w:pPr>
        <w:ind w:left="1820" w:hanging="516"/>
        <w:spacing w:after="0"/>
        <w:tabs>
          <w:tab w:leader="none" w:pos="182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Participant Misconduct; Compensation Recovery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952"/>
        <w:spacing w:after="0" w:line="250" w:lineRule="auto"/>
        <w:tabs>
          <w:tab w:leader="none" w:pos="2464" w:val="left"/>
        </w:tabs>
        <w:numPr>
          <w:ilvl w:val="2"/>
          <w:numId w:val="136"/>
        </w:numPr>
        <w:rPr>
          <w:rFonts w:ascii="Arial" w:cs="Arial" w:eastAsia="Arial" w:hAnsi="Arial"/>
          <w:sz w:val="22"/>
          <w:szCs w:val="22"/>
          <w:color w:val="auto"/>
        </w:rPr>
      </w:pPr>
      <w:r>
        <w:rPr>
          <w:rFonts w:ascii="Arial" w:cs="Arial" w:eastAsia="Arial" w:hAnsi="Arial"/>
          <w:sz w:val="22"/>
          <w:szCs w:val="22"/>
          <w:color w:val="auto"/>
        </w:rPr>
        <w:t>Notwithstanding anything in the Plan or this Agreement to the contrary, the Committee shall have the authority to determine that in the event of serious misconduct by the Participant (including violations of this Agreement, employment agreements, confidentiality or other proprietary matters) or any activity of the Participant in competition with the business of the Company or any Subsidiary or Affiliated Entity, the Award may be cancelled, in whole or in part, whether or not vested. The determination of whether the Participant has engaged in a serious breach of conduct or any activity in competition with the business of the Company or any Subsidiary or Affiliated Entity shall be determined by the Committee in good faith and in its sole discretion.</w:t>
      </w:r>
    </w:p>
    <w:p>
      <w:pPr>
        <w:spacing w:after="0" w:line="180" w:lineRule="exact"/>
        <w:rPr>
          <w:rFonts w:ascii="Arial" w:cs="Arial" w:eastAsia="Arial" w:hAnsi="Arial"/>
          <w:sz w:val="22"/>
          <w:szCs w:val="22"/>
          <w:color w:val="auto"/>
        </w:rPr>
      </w:pPr>
    </w:p>
    <w:p>
      <w:pPr>
        <w:jc w:val="both"/>
        <w:ind w:firstLine="1952"/>
        <w:spacing w:after="0" w:line="253" w:lineRule="auto"/>
        <w:tabs>
          <w:tab w:leader="none" w:pos="2654" w:val="left"/>
        </w:tabs>
        <w:numPr>
          <w:ilvl w:val="2"/>
          <w:numId w:val="136"/>
        </w:numPr>
        <w:rPr>
          <w:rFonts w:ascii="Arial" w:cs="Arial" w:eastAsia="Arial" w:hAnsi="Arial"/>
          <w:sz w:val="22"/>
          <w:szCs w:val="22"/>
          <w:color w:val="auto"/>
        </w:rPr>
      </w:pPr>
      <w:r>
        <w:rPr>
          <w:rFonts w:ascii="Arial" w:cs="Arial" w:eastAsia="Arial" w:hAnsi="Arial"/>
          <w:sz w:val="22"/>
          <w:szCs w:val="22"/>
          <w:color w:val="auto"/>
        </w:rPr>
        <w:t>The Award made pursuant to this Agreement is subject to recovery pursuant to the Company’s compensation recovery policy then in effect. To the extent required by applicable laws, rules, regulations or securities exchange listing requirements and the Company’s compensation recovery policy then in effect, the Company shall have the right, and shall take all actions necessary, to recover cash or shares of Common Stock paid to the Participant pursuant to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9" w:lineRule="exact"/>
        <w:rPr>
          <w:sz w:val="20"/>
          <w:szCs w:val="20"/>
          <w:color w:val="auto"/>
        </w:rPr>
      </w:pPr>
    </w:p>
    <w:p>
      <w:pPr>
        <w:jc w:val="both"/>
        <w:ind w:firstLine="1304"/>
        <w:spacing w:after="0" w:line="271" w:lineRule="auto"/>
        <w:tabs>
          <w:tab w:leader="none" w:pos="1863" w:val="left"/>
        </w:tabs>
        <w:numPr>
          <w:ilvl w:val="1"/>
          <w:numId w:val="13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relating to the Plan and this Agreement as it relates to the Participant shall be in electronic or written form. If in writing, such notices shall be deemed to have been made</w:t>
      </w:r>
    </w:p>
    <w:p>
      <w:pPr>
        <w:spacing w:after="0" w:line="1" w:lineRule="exact"/>
        <w:rPr>
          <w:rFonts w:ascii="Arial" w:cs="Arial" w:eastAsia="Arial" w:hAnsi="Arial"/>
          <w:sz w:val="21"/>
          <w:szCs w:val="21"/>
          <w:color w:val="auto"/>
        </w:rPr>
      </w:pPr>
    </w:p>
    <w:p>
      <w:pPr>
        <w:jc w:val="both"/>
        <w:ind w:firstLine="8"/>
        <w:spacing w:after="0" w:line="245" w:lineRule="auto"/>
        <w:tabs>
          <w:tab w:leader="none" w:pos="331" w:val="left"/>
        </w:tabs>
        <w:numPr>
          <w:ilvl w:val="0"/>
          <w:numId w:val="138"/>
        </w:numPr>
        <w:rPr>
          <w:rFonts w:ascii="Arial" w:cs="Arial" w:eastAsia="Arial" w:hAnsi="Arial"/>
          <w:sz w:val="22"/>
          <w:szCs w:val="22"/>
          <w:color w:val="auto"/>
        </w:rPr>
      </w:pPr>
      <w:r>
        <w:rPr>
          <w:rFonts w:ascii="Arial" w:cs="Arial" w:eastAsia="Arial" w:hAnsi="Arial"/>
          <w:sz w:val="22"/>
          <w:szCs w:val="22"/>
          <w:color w:val="auto"/>
        </w:rPr>
        <w:t>if personally delivered in return for a receipt, (b) if mailed, by regular U.S. mail, postage prepaid, by the Company to the Participant at his last known address evidenced on the payroll records of the Company or (c) if provided electronically, provided to the Participant at his/her e-mail address specified in the Company’s or its Affiliated Entity’s records or as other specified pursuant to and in accordance with the Committee’s applicable administrative procedures.</w:t>
      </w:r>
    </w:p>
    <w:p>
      <w:pPr>
        <w:spacing w:after="0" w:line="200" w:lineRule="exact"/>
        <w:rPr>
          <w:rFonts w:ascii="Arial" w:cs="Arial" w:eastAsia="Arial" w:hAnsi="Arial"/>
          <w:sz w:val="22"/>
          <w:szCs w:val="22"/>
          <w:color w:val="auto"/>
        </w:rPr>
      </w:pPr>
    </w:p>
    <w:p>
      <w:pPr>
        <w:jc w:val="both"/>
        <w:ind w:firstLine="1304"/>
        <w:spacing w:after="0" w:line="257" w:lineRule="auto"/>
        <w:tabs>
          <w:tab w:leader="none" w:pos="1944"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Binding Effect and Governing Law</w:t>
      </w:r>
      <w:r>
        <w:rPr>
          <w:rFonts w:ascii="Arial" w:cs="Arial" w:eastAsia="Arial" w:hAnsi="Arial"/>
          <w:sz w:val="22"/>
          <w:szCs w:val="22"/>
          <w:color w:val="auto"/>
        </w:rPr>
        <w:t>. This Agreement shall be (i) binding upon and inure to the benefit of the parties hereto and their respective heirs, successors and assigns except as may be limited by the Plan and (ii) governed and construed under the laws of the State of Oklahoma.</w:t>
      </w:r>
    </w:p>
    <w:p>
      <w:pPr>
        <w:spacing w:after="0" w:line="172" w:lineRule="exact"/>
        <w:rPr>
          <w:rFonts w:ascii="Arial" w:cs="Arial" w:eastAsia="Arial" w:hAnsi="Arial"/>
          <w:sz w:val="22"/>
          <w:szCs w:val="22"/>
          <w:color w:val="auto"/>
        </w:rPr>
      </w:pPr>
    </w:p>
    <w:p>
      <w:pPr>
        <w:ind w:firstLine="1304"/>
        <w:spacing w:after="0" w:line="296" w:lineRule="auto"/>
        <w:tabs>
          <w:tab w:leader="none" w:pos="1836" w:val="left"/>
        </w:tabs>
        <w:numPr>
          <w:ilvl w:val="1"/>
          <w:numId w:val="138"/>
        </w:numPr>
        <w:rPr>
          <w:rFonts w:ascii="Arial" w:cs="Arial" w:eastAsia="Arial" w:hAnsi="Arial"/>
          <w:sz w:val="21"/>
          <w:szCs w:val="21"/>
          <w:color w:val="auto"/>
        </w:rPr>
      </w:pPr>
      <w:r>
        <w:rPr>
          <w:rFonts w:ascii="Arial" w:cs="Arial" w:eastAsia="Arial" w:hAnsi="Arial"/>
          <w:sz w:val="21"/>
          <w:szCs w:val="21"/>
          <w:u w:val="single" w:color="auto"/>
          <w:color w:val="auto"/>
        </w:rPr>
        <w:t>Captions</w:t>
      </w:r>
      <w:r>
        <w:rPr>
          <w:rFonts w:ascii="Arial" w:cs="Arial" w:eastAsia="Arial" w:hAnsi="Arial"/>
          <w:sz w:val="21"/>
          <w:szCs w:val="21"/>
          <w:color w:val="auto"/>
        </w:rPr>
        <w:t>. The captions of specific provisions of this Agreement are for convenience and reference only, and in no way define, describe, extend or limit the scope of this Agreement or the intent of any provision hereof.</w:t>
      </w:r>
    </w:p>
    <w:p>
      <w:pPr>
        <w:spacing w:after="0" w:line="146" w:lineRule="exact"/>
        <w:rPr>
          <w:rFonts w:ascii="Arial" w:cs="Arial" w:eastAsia="Arial" w:hAnsi="Arial"/>
          <w:sz w:val="21"/>
          <w:szCs w:val="21"/>
          <w:color w:val="auto"/>
        </w:rPr>
      </w:pPr>
    </w:p>
    <w:p>
      <w:pPr>
        <w:ind w:right="20" w:firstLine="1304"/>
        <w:spacing w:after="0" w:line="272" w:lineRule="auto"/>
        <w:tabs>
          <w:tab w:leader="none" w:pos="1877"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identical counterparts, each of which shall be deemed an original for all purposes, but all of which taken together shall form but one agreement.</w:t>
      </w:r>
    </w:p>
    <w:p>
      <w:pPr>
        <w:spacing w:after="0" w:line="142" w:lineRule="exact"/>
        <w:rPr>
          <w:rFonts w:ascii="Arial" w:cs="Arial" w:eastAsia="Arial" w:hAnsi="Arial"/>
          <w:sz w:val="22"/>
          <w:szCs w:val="22"/>
          <w:color w:val="auto"/>
        </w:rPr>
      </w:pPr>
    </w:p>
    <w:p>
      <w:pPr>
        <w:jc w:val="both"/>
        <w:ind w:firstLine="1304"/>
        <w:spacing w:after="0" w:line="241" w:lineRule="auto"/>
        <w:tabs>
          <w:tab w:leader="none" w:pos="1904"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Company Recoupment of Awards</w:t>
      </w:r>
      <w:r>
        <w:rPr>
          <w:rFonts w:ascii="Arial" w:cs="Arial" w:eastAsia="Arial" w:hAnsi="Arial"/>
          <w:sz w:val="22"/>
          <w:szCs w:val="22"/>
          <w:color w:val="auto"/>
        </w:rPr>
        <w:t>. The Participant’s rights with respect to this Award shall in all events be subject to (a) 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stock exchange on which the Common Stock may be listed.</w:t>
      </w:r>
    </w:p>
    <w:p>
      <w:pPr>
        <w:spacing w:after="0" w:line="217" w:lineRule="exact"/>
        <w:rPr>
          <w:rFonts w:ascii="Arial" w:cs="Arial" w:eastAsia="Arial" w:hAnsi="Arial"/>
          <w:sz w:val="22"/>
          <w:szCs w:val="22"/>
          <w:color w:val="auto"/>
        </w:rPr>
      </w:pPr>
    </w:p>
    <w:p>
      <w:pPr>
        <w:jc w:val="both"/>
        <w:ind w:firstLine="1304"/>
        <w:spacing w:after="0" w:line="248" w:lineRule="auto"/>
        <w:tabs>
          <w:tab w:leader="none" w:pos="1863"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Code Section 409A</w:t>
      </w:r>
      <w:r>
        <w:rPr>
          <w:rFonts w:ascii="Arial" w:cs="Arial" w:eastAsia="Arial" w:hAnsi="Arial"/>
          <w:sz w:val="22"/>
          <w:szCs w:val="22"/>
          <w:color w:val="auto"/>
        </w:rPr>
        <w:t>. This Agreement and the Award are intended to comply with, or otherwise be exempt from, Section 409A of the Code (“Section 409A”). This Agreement and the Award shall be administered, interpreted, and construed in a manner consistent with Section 409A or an exemption therefrom. Should any provision of this Agreement or the Award be found not to comply with, or otherwise be exempt from, the provisions of Section 409A, such provision shall be modified and given effect (retroactively if necessary), in the sole discretion of the Committee, and without the consent of the Participant, in such manner as the Committee determines to be necessary or appropriate to comply with, or to effectuate an exemption from, Section 409A. Without limiting the foregoing and notwithstanding anything contained herein to the contrary, to the extent required in order to avoid accelerated taxation, additional taxes or tax penalties under Section 409A, amounts that would otherwise be payable and benefits that would otherwise be provided pursuant to this Agreement during the six-month period immediately following the Participant’s separation from service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instead be paid on the first business day after the date that is six months following the Participant’s termination date (or death, if earlier), with interest from the date such amounts would otherwise have been paid at the short-term applicable federal rate, compounded semi-annually, as determined under Section 1274 of the Code, for the month in which payment would have been made but for the delay in payment required to avoid the imposition of accelerated taxation, additional taxes or tax penalties on the Participant under Section 409A. In the event the Award under this Agreement is determined to be subject to Section 409A, any payment triggered by a Change of Control will be made only if, in connection with the Change of Control, there occurs a change in the ownership of the Company, a change in the effective control of the Company, or a change in ownership of a substantial portion of the assets of the Company as all such terms are defined in Treasury Regulation Section 1.409A-3(i)(5). In the event payment is not allowed by operation of the immediately preceding sentence, payment will be made within sixty (60) days of the earlier to occur of (A) the applicable payment date set forth in the Notice or (B) the occurrence of a permissible time or event that could trigger a payment without violating Section 409A. Any payments to be made under this Agreement upon a termination of employment shall only be made if such termination of employment constitutes a “separation from service” under Section 409A. Notwithstanding the foregoing, the Company makes no representations that the payments and benefits provided under this Agreement comply with Section 409A and in no event shall the Company or any of its Affiliated Entities be liable for all or any portion of any taxes, penalties, interest or other expenses that may be incurred by the Participant on account of non-compliance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Performance Share Units and Award Agreement</w:t>
      </w: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Expand Energy Corporation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6100 North Western Avenue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Oklahoma City, OK 73118</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ID: 73-1395733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97"/>
        </w:trPr>
        <w:tc>
          <w:tcPr>
            <w:tcW w:w="780" w:type="dxa"/>
            <w:vAlign w:val="bottom"/>
          </w:tcPr>
          <w:p>
            <w:pPr>
              <w:spacing w:after="0"/>
              <w:rPr>
                <w:sz w:val="20"/>
                <w:szCs w:val="20"/>
                <w:color w:val="auto"/>
              </w:rPr>
            </w:pPr>
            <w:r>
              <w:rPr>
                <w:rFonts w:ascii="Arial" w:cs="Arial" w:eastAsia="Arial" w:hAnsi="Arial"/>
                <w:sz w:val="22"/>
                <w:szCs w:val="22"/>
                <w:color w:val="auto"/>
              </w:rPr>
              <w:t>Name:</w:t>
            </w:r>
          </w:p>
        </w:tc>
        <w:tc>
          <w:tcPr>
            <w:tcW w:w="2620" w:type="dxa"/>
            <w:vAlign w:val="bottom"/>
            <w:tcBorders>
              <w:bottom w:val="single" w:sz="8" w:color="auto"/>
            </w:tcBorders>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Award Number:</w:t>
            </w:r>
          </w:p>
        </w:tc>
        <w:tc>
          <w:tcPr>
            <w:tcW w:w="1160" w:type="dxa"/>
            <w:vAlign w:val="bottom"/>
            <w:tcBorders>
              <w:bottom w:val="single" w:sz="8" w:color="auto"/>
            </w:tcBorders>
          </w:tcPr>
          <w:p>
            <w:pPr>
              <w:spacing w:after="0"/>
              <w:rPr>
                <w:sz w:val="24"/>
                <w:szCs w:val="24"/>
                <w:color w:val="auto"/>
              </w:rPr>
            </w:pPr>
          </w:p>
        </w:tc>
      </w:tr>
      <w:tr>
        <w:trPr>
          <w:trHeight w:val="304"/>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b w:val="1"/>
                <w:bCs w:val="1"/>
                <w:color w:val="auto"/>
              </w:rPr>
              <w:t>Plan:</w:t>
            </w:r>
          </w:p>
        </w:tc>
        <w:tc>
          <w:tcPr>
            <w:tcW w:w="1160" w:type="dxa"/>
            <w:vAlign w:val="bottom"/>
          </w:tcPr>
          <w:p>
            <w:pPr>
              <w:ind w:left="20"/>
              <w:spacing w:after="0"/>
              <w:rPr>
                <w:sz w:val="20"/>
                <w:szCs w:val="20"/>
                <w:color w:val="auto"/>
              </w:rPr>
            </w:pPr>
            <w:r>
              <w:rPr>
                <w:rFonts w:ascii="Arial" w:cs="Arial" w:eastAsia="Arial" w:hAnsi="Arial"/>
                <w:sz w:val="22"/>
                <w:szCs w:val="22"/>
                <w:color w:val="auto"/>
              </w:rPr>
              <w:t>2021 LTIP</w:t>
            </w:r>
          </w:p>
        </w:tc>
      </w:tr>
      <w:tr>
        <w:trPr>
          <w:trHeight w:val="298"/>
        </w:trPr>
        <w:tc>
          <w:tcPr>
            <w:tcW w:w="7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Arial" w:cs="Arial" w:eastAsia="Arial" w:hAnsi="Arial"/>
                <w:sz w:val="22"/>
                <w:szCs w:val="22"/>
                <w:color w:val="auto"/>
              </w:rPr>
              <w:t>ID:</w:t>
            </w: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color w:val="auto"/>
        </w:rPr>
        <w:t>Effective  ________,  20__  (the  “Grant  Date”),  you  have  been  granted  a  target  number  of  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Performance Share Units. These Performance Share Units will become earned and vested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Determination of Earned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Subject to earlier forfeiture in Section 3(b) of the Award Agreement, the number of your Performance Share Units that become earned shall be determined based on the Company’s relative total stockholder return (“rTSR”), which measures the Company’s TSR (as defined below) as compared to the TSR of the entities or indices in the Company’s performance peer group, as listed in Exhibit A to this Notice (the “Peer Group” and each member thereof a “Peer Group Member”), during the period beginning on December 31, 20__ and ending on December 31, 20__ (the “Performance Period”).</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Company’s rTSR, as set forth below, shall determine the percentage of your target number of Performance Share Units that are earned. For rTSR performance between the values listed in the table below, the number of Performance Share Units that become earned shall be determined by straight-line interpolation. The Committee will review, analyze and certify the achievement of the Company’s performance under the rTSR goal for the Performance Period, and will determine whether the rTSR performance requirement for your Performance Share Units has been satisfied in accordance with the terms of this Agreement.</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rTSR Performance and Payout Schedule</w:t>
      </w: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5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rTSR</w:t>
            </w:r>
          </w:p>
        </w:tc>
        <w:tc>
          <w:tcPr>
            <w:tcW w:w="226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Percentage of Target</w:t>
            </w:r>
          </w:p>
        </w:tc>
      </w:tr>
      <w:tr>
        <w:trPr>
          <w:trHeight w:val="257"/>
        </w:trPr>
        <w:tc>
          <w:tcPr>
            <w:tcW w:w="1560" w:type="dxa"/>
            <w:vAlign w:val="bottom"/>
            <w:tcBorders>
              <w:left w:val="single" w:sz="8" w:color="auto"/>
              <w:right w:val="single" w:sz="8" w:color="auto"/>
            </w:tcBorders>
          </w:tcPr>
          <w:p>
            <w:pPr>
              <w:spacing w:after="0"/>
              <w:rPr>
                <w:sz w:val="22"/>
                <w:szCs w:val="22"/>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22"/>
                <w:szCs w:val="22"/>
                <w:b w:val="1"/>
                <w:bCs w:val="1"/>
                <w:color w:val="auto"/>
              </w:rPr>
              <w:t>Performance Share</w:t>
            </w:r>
          </w:p>
        </w:tc>
      </w:tr>
      <w:tr>
        <w:trPr>
          <w:trHeight w:val="305"/>
        </w:trPr>
        <w:tc>
          <w:tcPr>
            <w:tcW w:w="1560" w:type="dxa"/>
            <w:vAlign w:val="bottom"/>
            <w:tcBorders>
              <w:left w:val="single" w:sz="8" w:color="auto"/>
              <w:bottom w:val="single" w:sz="8" w:color="auto"/>
              <w:right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Units Earned</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Less than 20%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20%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30%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30%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40%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60%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50%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80%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60%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70%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125%</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80%</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160%</w:t>
            </w:r>
          </w:p>
        </w:tc>
      </w:tr>
      <w:tr>
        <w:trPr>
          <w:trHeight w:val="304"/>
        </w:trPr>
        <w:tc>
          <w:tcPr>
            <w:tcW w:w="1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90% or greater</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w:t>
            </w:r>
          </w:p>
        </w:tc>
      </w:tr>
    </w:tbl>
    <w:p>
      <w:pPr>
        <w:spacing w:after="0" w:line="311"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All unearned Performance Share Units that are outstanding as of the date immediately following the last day of the Performance Period shall be forfeited and cancelled for no consideration if they do not become earned as set forth above.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w:t>
      </w:r>
    </w:p>
    <w:p>
      <w:pPr>
        <w:spacing w:after="0" w:line="24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The earned Performance Share Units will vest upon the third anniversary of the Grant Date provided that you remain an Employee through such date, except as otherwise provided in Section 3 of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Determination of TSR</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The TSR for each Peer Group Member for the Performance Period is determined as follows: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TSR = [(EP + CD)/BP)] - 1, where:</w:t>
      </w:r>
    </w:p>
    <w:p>
      <w:pPr>
        <w:spacing w:after="0" w:line="220"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Ending Price (EP) – equals the relevant company or index’s Fourth Quarter VWAP for the quarter ending on December 31, 20__. In the event that a Change of Control occurs during the Performance Period, the Ending Price of the Company shall be determined by the Committee.</w:t>
      </w:r>
    </w:p>
    <w:p>
      <w:pPr>
        <w:spacing w:after="0" w:line="145"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Beginning Price (BP) – equals the relevant company or index’s Fourth Quarter VWAP for the quarter ending on December 31, 20__.</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22"/>
          <w:szCs w:val="22"/>
          <w:color w:val="auto"/>
        </w:rPr>
        <w:t>Cash Dividends (CD) – equals the total of all cash dividends paid on a share of the relevant company or index’s common stock during the Performance Period.</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72" w:lineRule="exact"/>
        <w:rPr>
          <w:sz w:val="20"/>
          <w:szCs w:val="20"/>
          <w:color w:val="auto"/>
        </w:rPr>
      </w:pPr>
    </w:p>
    <w:p>
      <w:pPr>
        <w:jc w:val="both"/>
        <w:ind w:right="20"/>
        <w:spacing w:after="0" w:line="310" w:lineRule="auto"/>
        <w:rPr>
          <w:sz w:val="20"/>
          <w:szCs w:val="20"/>
          <w:color w:val="auto"/>
        </w:rPr>
      </w:pPr>
      <w:r>
        <w:rPr>
          <w:rFonts w:ascii="Arial" w:cs="Arial" w:eastAsia="Arial" w:hAnsi="Arial"/>
          <w:sz w:val="22"/>
          <w:szCs w:val="22"/>
          <w:color w:val="auto"/>
        </w:rPr>
        <w:t>For the avoidance of doubt, the TSR calculation for Peer Group Members that are indices will be based on the composite index return for such index.</w:t>
      </w:r>
    </w:p>
    <w:p>
      <w:pPr>
        <w:spacing w:after="0" w:line="8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As used herein, “Fourth Quarter VWAP” means, as of any date of determination, the volume-weighted average price of a share of the relevant company’s common stock or index’s composite index return as displayed under the heading “Bloomberg VWAP” on Bloomberg page for the relevant company or index for the Trading Days occurring during the fourth quarter of the applicable calendar year (or if such volume-weighted average price is unavailable, the market value of a share of relevant company’s common stock or index’s composite index return during such period, determined using a volume-weighted average method by a nationally recognized independent investment banking firm retained for this purpose by the Company).</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used herein, “Trading Day” means a day on which (a) trading in the relevant company or index’s common stock generally occurs on the principal securities exchange or other market on which the relevant company or index’s common stock is then traded; and (b) a Fourth Quarter VWAP for the relevant company or index’s common stock is available on such securities exchange or market.</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Acceptance</w:t>
      </w:r>
      <w:r>
        <w:rPr>
          <w:rFonts w:ascii="Arial" w:cs="Arial" w:eastAsia="Arial" w:hAnsi="Arial"/>
          <w:sz w:val="22"/>
          <w:szCs w:val="22"/>
          <w:color w:val="auto"/>
        </w:rPr>
        <w:t>. You are required to accept the terms and conditions set forth in this Notice, the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all of which are made a part of this document in order for you to receive the Award granted to you hereunder. Any capitalized terms used but not defined in this Notice have the same meanings given to them in the Agreement or the Plan. By your signature and the Company’s signature below, you and the Company agree that this award is granted under and governed by the terms and conditions of the Plan and the Agreement, all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40" w:type="dxa"/>
            <w:vAlign w:val="bottom"/>
            <w:gridSpan w:val="2"/>
          </w:tcPr>
          <w:p>
            <w:pPr>
              <w:ind w:left="20"/>
              <w:spacing w:after="0"/>
              <w:rPr>
                <w:sz w:val="20"/>
                <w:szCs w:val="20"/>
                <w:color w:val="auto"/>
              </w:rPr>
            </w:pPr>
            <w:r>
              <w:rPr>
                <w:rFonts w:ascii="Arial" w:cs="Arial" w:eastAsia="Arial" w:hAnsi="Arial"/>
                <w:sz w:val="22"/>
                <w:szCs w:val="22"/>
                <w:color w:val="auto"/>
              </w:rPr>
              <w:t>Expand Energy Corporation</w:t>
            </w:r>
          </w:p>
        </w:tc>
        <w:tc>
          <w:tcPr>
            <w:tcW w:w="4800" w:type="dxa"/>
            <w:vAlign w:val="bottom"/>
          </w:tcPr>
          <w:p>
            <w:pPr>
              <w:ind w:left="20"/>
              <w:spacing w:after="0"/>
              <w:rPr>
                <w:sz w:val="20"/>
                <w:szCs w:val="20"/>
                <w:color w:val="auto"/>
              </w:rPr>
            </w:pPr>
            <w:r>
              <w:rPr>
                <w:rFonts w:ascii="Arial" w:cs="Arial" w:eastAsia="Arial" w:hAnsi="Arial"/>
                <w:sz w:val="22"/>
                <w:szCs w:val="22"/>
                <w:color w:val="auto"/>
              </w:rPr>
              <w:t>Date</w:t>
            </w:r>
          </w:p>
        </w:tc>
      </w:tr>
      <w:tr>
        <w:trPr>
          <w:trHeight w:val="553"/>
        </w:trPr>
        <w:tc>
          <w:tcPr>
            <w:tcW w:w="4820" w:type="dxa"/>
            <w:vAlign w:val="bottom"/>
            <w:tcBorders>
              <w:bottom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291"/>
        </w:trPr>
        <w:tc>
          <w:tcPr>
            <w:tcW w:w="6440" w:type="dxa"/>
            <w:vAlign w:val="bottom"/>
            <w:gridSpan w:val="2"/>
          </w:tcPr>
          <w:p>
            <w:pPr>
              <w:ind w:left="20"/>
              <w:spacing w:after="0"/>
              <w:rPr>
                <w:sz w:val="20"/>
                <w:szCs w:val="20"/>
                <w:color w:val="auto"/>
              </w:rPr>
            </w:pPr>
            <w:r>
              <w:rPr>
                <w:rFonts w:ascii="Arial" w:cs="Arial" w:eastAsia="Arial" w:hAnsi="Arial"/>
                <w:sz w:val="22"/>
                <w:szCs w:val="22"/>
                <w:color w:val="auto"/>
              </w:rPr>
              <w:t>Name</w:t>
            </w:r>
          </w:p>
        </w:tc>
        <w:tc>
          <w:tcPr>
            <w:tcW w:w="4800" w:type="dxa"/>
            <w:vAlign w:val="bottom"/>
          </w:tcPr>
          <w:p>
            <w:pPr>
              <w:ind w:left="20"/>
              <w:spacing w:after="0"/>
              <w:rPr>
                <w:sz w:val="20"/>
                <w:szCs w:val="20"/>
                <w:color w:val="auto"/>
              </w:rPr>
            </w:pPr>
            <w:r>
              <w:rPr>
                <w:rFonts w:ascii="Arial" w:cs="Arial" w:eastAsia="Arial" w:hAnsi="Arial"/>
                <w:sz w:val="22"/>
                <w:szCs w:val="22"/>
                <w:color w:val="auto"/>
              </w:rPr>
              <w:t>Date</w:t>
            </w:r>
          </w:p>
        </w:tc>
      </w:tr>
    </w:tbl>
    <w:p>
      <w:pPr>
        <w:sectPr>
          <w:pgSz w:w="11900" w:h="16838" w:orient="portrait"/>
          <w:cols w:equalWidth="0" w:num="1">
            <w:col w:w="11240"/>
          </w:cols>
          <w:pgMar w:left="320" w:top="1440" w:right="339" w:bottom="1440" w:gutter="0" w:footer="0" w:header="0"/>
        </w:sectPr>
      </w:pPr>
    </w:p>
    <w:bookmarkStart w:id="197" w:name="page198"/>
    <w:bookmarkEnd w:id="197"/>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140335</wp:posOffset>
            </wp:positionV>
            <wp:extent cx="4054475" cy="2220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9">
                      <a:extLst>
                        <a:ext uri="{28A0092B-C50C-407E-A947-70E740481C1C}"/>
                      </a:extLst>
                    </a:blip>
                    <a:srcRect/>
                    <a:stretch>
                      <a:fillRect/>
                    </a:stretch>
                  </pic:blipFill>
                  <pic:spPr bwMode="auto">
                    <a:xfrm>
                      <a:off x="0" y="0"/>
                      <a:ext cx="405447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Replacement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166370</wp:posOffset>
            </wp:positionV>
            <wp:extent cx="2263140" cy="548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0">
                      <a:extLst>
                        <a:ext uri="{28A0092B-C50C-407E-A947-70E740481C1C}"/>
                      </a:extLst>
                    </a:blip>
                    <a:srcRect/>
                    <a:stretch>
                      <a:fillRect/>
                    </a:stretch>
                  </pic:blipFill>
                  <pic:spPr bwMode="auto">
                    <a:xfrm>
                      <a:off x="0" y="0"/>
                      <a:ext cx="226314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20"/>
        <w:spacing w:after="0" w:line="282" w:lineRule="auto"/>
        <w:rPr>
          <w:sz w:val="20"/>
          <w:szCs w:val="20"/>
          <w:color w:val="auto"/>
        </w:rPr>
      </w:pPr>
      <w:r>
        <w:rPr>
          <w:rFonts w:ascii="Arial" w:cs="Arial" w:eastAsia="Arial" w:hAnsi="Arial"/>
          <w:sz w:val="22"/>
          <w:szCs w:val="22"/>
          <w:color w:val="auto"/>
        </w:rPr>
        <w:t>If, during the first 18 months of the Performance Period, any Peer Group Member is acquired, then the first company or index on the replacement list, in accordance with the order in the table above, that remains publicly traded as of such date shall replace the Peer Group Member. Once the replacement list above is exhausted, the Board may determine additional replacement companies or indexes in its sole discretion.</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during the Performance Period, a Peer Group Member declares bankruptcy or is no longer publicly traded at the end of the Performance Period, the TSR of such Peer Group Member shall be deemed to be the lowest ranked TSR in the Peer Group (and, if multiple Peer Group Members are no longer publicly traded at the end of the Performance Period or declare bankruptcy during the Performance Period, such Peer Group Members shall be ranked in order of when such delisting or bankruptcy occurs, with earlier bankruptcies and de-listings ranking lower than later bankruptcies, and de-listings). If, during the last 18 months of the Performance Period, any Peer Group Member is involved in a merger or acquisition, then such Peer Group Member will move to the top or the bottom of the ranking, based on whether the applicable Peer Group Member’s TSR is greater or less than that for the Company, in each case measured as of the date of the announcement of such merger/acquisition.</w:t>
      </w:r>
    </w:p>
    <w:p>
      <w:pPr>
        <w:sectPr>
          <w:pgSz w:w="11900" w:h="16838" w:orient="portrait"/>
          <w:cols w:equalWidth="0" w:num="1">
            <w:col w:w="11240"/>
          </w:cols>
          <w:pgMar w:left="320" w:top="1440"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b w:val="1"/>
          <w:bCs w:val="1"/>
          <w:color w:val="auto"/>
        </w:rPr>
        <w:t>Exhibit 10.18</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EXPAND ENERGY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SEVERANCE PLAN</w:t>
      </w:r>
    </w:p>
    <w:p>
      <w:pPr>
        <w:spacing w:after="0" w:line="238" w:lineRule="exact"/>
        <w:rPr>
          <w:sz w:val="20"/>
          <w:szCs w:val="20"/>
          <w:color w:val="auto"/>
        </w:rPr>
      </w:pPr>
    </w:p>
    <w:p>
      <w:pPr>
        <w:jc w:val="both"/>
        <w:ind w:firstLine="413"/>
        <w:spacing w:after="0" w:line="251" w:lineRule="auto"/>
        <w:tabs>
          <w:tab w:leader="none" w:pos="639" w:val="left"/>
        </w:tabs>
        <w:numPr>
          <w:ilvl w:val="1"/>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Purpose</w:t>
      </w:r>
      <w:r>
        <w:rPr>
          <w:rFonts w:ascii="Arial" w:cs="Arial" w:eastAsia="Arial" w:hAnsi="Arial"/>
          <w:sz w:val="22"/>
          <w:szCs w:val="22"/>
          <w:color w:val="auto"/>
        </w:rPr>
        <w:t>. Expand Energy Corporation (the “</w:t>
      </w:r>
      <w:r>
        <w:rPr>
          <w:rFonts w:ascii="Arial" w:cs="Arial" w:eastAsia="Arial" w:hAnsi="Arial"/>
          <w:sz w:val="22"/>
          <w:szCs w:val="22"/>
          <w:i w:val="1"/>
          <w:iCs w:val="1"/>
          <w:color w:val="auto"/>
        </w:rPr>
        <w:t>Company</w:t>
      </w:r>
      <w:r>
        <w:rPr>
          <w:rFonts w:ascii="Arial" w:cs="Arial" w:eastAsia="Arial" w:hAnsi="Arial"/>
          <w:sz w:val="22"/>
          <w:szCs w:val="22"/>
          <w:color w:val="auto"/>
        </w:rPr>
        <w:t>”) has adopted the Expand Energy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Severance Plan (the “</w:t>
      </w:r>
      <w:r>
        <w:rPr>
          <w:rFonts w:ascii="Arial" w:cs="Arial" w:eastAsia="Arial" w:hAnsi="Arial"/>
          <w:sz w:val="22"/>
          <w:szCs w:val="22"/>
          <w:i w:val="1"/>
          <w:iCs w:val="1"/>
          <w:color w:val="auto"/>
        </w:rPr>
        <w:t>Plan</w:t>
      </w:r>
      <w:r>
        <w:rPr>
          <w:rFonts w:ascii="Arial" w:cs="Arial" w:eastAsia="Arial" w:hAnsi="Arial"/>
          <w:sz w:val="22"/>
          <w:szCs w:val="22"/>
          <w:color w:val="auto"/>
        </w:rPr>
        <w:t>”) to provide severance pay and benefits to eligible officers and management employees who are Eligible Executives (as defined below) and whose employment is terminated on or after October 11, 2021 (the “</w:t>
      </w:r>
      <w:r>
        <w:rPr>
          <w:rFonts w:ascii="Arial" w:cs="Arial" w:eastAsia="Arial" w:hAnsi="Arial"/>
          <w:sz w:val="22"/>
          <w:szCs w:val="22"/>
          <w:i w:val="1"/>
          <w:iCs w:val="1"/>
          <w:color w:val="auto"/>
        </w:rPr>
        <w:t>Effective Date</w:t>
      </w:r>
      <w:r>
        <w:rPr>
          <w:rFonts w:ascii="Arial" w:cs="Arial" w:eastAsia="Arial" w:hAnsi="Arial"/>
          <w:sz w:val="22"/>
          <w:szCs w:val="22"/>
          <w:color w:val="auto"/>
        </w:rPr>
        <w:t>”). The Plan is intended to be maintained primarily for the purpose of providing benefits for a select group of management or highly compensated employees.</w:t>
      </w:r>
    </w:p>
    <w:p>
      <w:pPr>
        <w:spacing w:after="0" w:line="216" w:lineRule="exact"/>
        <w:rPr>
          <w:rFonts w:ascii="Arial" w:cs="Arial" w:eastAsia="Arial" w:hAnsi="Arial"/>
          <w:sz w:val="22"/>
          <w:szCs w:val="22"/>
          <w:color w:val="auto"/>
        </w:rPr>
      </w:pPr>
    </w:p>
    <w:p>
      <w:pPr>
        <w:ind w:left="640" w:hanging="227"/>
        <w:spacing w:after="0"/>
        <w:tabs>
          <w:tab w:leader="none" w:pos="640" w:val="left"/>
        </w:tabs>
        <w:numPr>
          <w:ilvl w:val="1"/>
          <w:numId w:val="139"/>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For purposes of the Plan, the following terms shall have the respective meanings set forth below:</w:t>
      </w:r>
    </w:p>
    <w:p>
      <w:pPr>
        <w:spacing w:after="0" w:line="260" w:lineRule="exact"/>
        <w:rPr>
          <w:rFonts w:ascii="Arial" w:cs="Arial" w:eastAsia="Arial" w:hAnsi="Arial"/>
          <w:sz w:val="21"/>
          <w:szCs w:val="21"/>
          <w:color w:val="auto"/>
        </w:rPr>
      </w:pPr>
    </w:p>
    <w:p>
      <w:pPr>
        <w:jc w:val="both"/>
        <w:ind w:firstLine="656"/>
        <w:spacing w:after="0" w:line="264" w:lineRule="auto"/>
        <w:tabs>
          <w:tab w:leader="none" w:pos="1290" w:val="left"/>
        </w:tabs>
        <w:numPr>
          <w:ilvl w:val="2"/>
          <w:numId w:val="1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Accrued Amounts</w:t>
      </w:r>
      <w:r>
        <w:rPr>
          <w:rFonts w:ascii="Arial" w:cs="Arial" w:eastAsia="Arial" w:hAnsi="Arial"/>
          <w:sz w:val="21"/>
          <w:szCs w:val="21"/>
          <w:color w:val="auto"/>
        </w:rPr>
        <w:t>” means (i) all accrued and unpaid Base Salary through the Date of Termination, which shall be paid within 10 business days following the Date of Termination (or earlier if required by applicable law);</w:t>
      </w:r>
    </w:p>
    <w:p>
      <w:pPr>
        <w:spacing w:after="0" w:line="1" w:lineRule="exact"/>
        <w:rPr>
          <w:rFonts w:ascii="Arial" w:cs="Arial" w:eastAsia="Arial" w:hAnsi="Arial"/>
          <w:sz w:val="21"/>
          <w:szCs w:val="21"/>
          <w:color w:val="auto"/>
        </w:rPr>
      </w:pPr>
    </w:p>
    <w:p>
      <w:pPr>
        <w:jc w:val="both"/>
        <w:ind w:firstLine="8"/>
        <w:spacing w:after="0" w:line="250" w:lineRule="auto"/>
        <w:tabs>
          <w:tab w:leader="none" w:pos="37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reimbursement for all incurred but unreimbursed expenses for which an Eligible Executive is entitled to reimbursement in accordance with the expense reimbursement policies of the Company in effect as of the Date of Termination; and (iii) benefits to which an Eligible Executive may be entitled pursuant to the terms of any plan or policy sponsored by the Company or any of its Affiliates as in effect from time to time.</w:t>
      </w:r>
    </w:p>
    <w:p>
      <w:pPr>
        <w:spacing w:after="0" w:line="208" w:lineRule="exact"/>
        <w:rPr>
          <w:rFonts w:ascii="Arial" w:cs="Arial" w:eastAsia="Arial" w:hAnsi="Arial"/>
          <w:sz w:val="22"/>
          <w:szCs w:val="22"/>
          <w:color w:val="auto"/>
        </w:rPr>
      </w:pPr>
    </w:p>
    <w:p>
      <w:pPr>
        <w:jc w:val="both"/>
        <w:ind w:firstLine="656"/>
        <w:spacing w:after="0" w:line="253" w:lineRule="auto"/>
        <w:tabs>
          <w:tab w:leader="none" w:pos="129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w:t>
      </w:r>
    </w:p>
    <w:p>
      <w:pPr>
        <w:spacing w:after="0" w:line="215" w:lineRule="exact"/>
        <w:rPr>
          <w:rFonts w:ascii="Arial" w:cs="Arial" w:eastAsia="Arial" w:hAnsi="Arial"/>
          <w:sz w:val="22"/>
          <w:szCs w:val="22"/>
          <w:color w:val="auto"/>
        </w:rPr>
      </w:pPr>
    </w:p>
    <w:p>
      <w:pPr>
        <w:ind w:firstLine="656"/>
        <w:spacing w:after="0" w:line="272" w:lineRule="auto"/>
        <w:tabs>
          <w:tab w:leader="none" w:pos="1291" w:val="left"/>
        </w:tabs>
        <w:numPr>
          <w:ilvl w:val="2"/>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CIC Severance Multiple</w:t>
      </w:r>
      <w:r>
        <w:rPr>
          <w:rFonts w:ascii="Arial" w:cs="Arial" w:eastAsia="Arial" w:hAnsi="Arial"/>
          <w:sz w:val="22"/>
          <w:szCs w:val="22"/>
          <w:color w:val="auto"/>
        </w:rPr>
        <w:t>” means (i) with respect to each Tier 1 Executive, 3.0; and (ii) with respect to each Tier 2 Executive, 2.0; and (iii) with respect to each Tier 3 Executive, 1.0.</w:t>
      </w:r>
    </w:p>
    <w:p>
      <w:pPr>
        <w:spacing w:after="0" w:line="182" w:lineRule="exact"/>
        <w:rPr>
          <w:rFonts w:ascii="Arial" w:cs="Arial" w:eastAsia="Arial" w:hAnsi="Arial"/>
          <w:sz w:val="22"/>
          <w:szCs w:val="22"/>
          <w:color w:val="auto"/>
        </w:rPr>
      </w:pPr>
    </w:p>
    <w:p>
      <w:pPr>
        <w:ind w:firstLine="656"/>
        <w:spacing w:after="0" w:line="272" w:lineRule="auto"/>
        <w:tabs>
          <w:tab w:leader="none" w:pos="129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March 15</w:t>
      </w:r>
      <w:r>
        <w:rPr>
          <w:rFonts w:ascii="Arial" w:cs="Arial" w:eastAsia="Arial" w:hAnsi="Arial"/>
          <w:sz w:val="22"/>
          <w:szCs w:val="22"/>
          <w:color w:val="auto"/>
        </w:rPr>
        <w:t>” means March 15 of the calendar year following the calendar year in which the Date of Termination occurs.</w:t>
      </w:r>
    </w:p>
    <w:p>
      <w:pPr>
        <w:spacing w:after="0" w:line="182" w:lineRule="exact"/>
        <w:rPr>
          <w:rFonts w:ascii="Arial" w:cs="Arial" w:eastAsia="Arial" w:hAnsi="Arial"/>
          <w:sz w:val="22"/>
          <w:szCs w:val="22"/>
          <w:color w:val="auto"/>
        </w:rPr>
      </w:pPr>
    </w:p>
    <w:p>
      <w:pPr>
        <w:jc w:val="both"/>
        <w:ind w:firstLine="656"/>
        <w:spacing w:after="0" w:line="257" w:lineRule="auto"/>
        <w:tabs>
          <w:tab w:leader="none" w:pos="1290" w:val="left"/>
        </w:tabs>
        <w:numPr>
          <w:ilvl w:val="2"/>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Period</w:t>
      </w:r>
      <w:r>
        <w:rPr>
          <w:rFonts w:ascii="Arial" w:cs="Arial" w:eastAsia="Arial" w:hAnsi="Arial"/>
          <w:sz w:val="22"/>
          <w:szCs w:val="22"/>
          <w:color w:val="auto"/>
        </w:rPr>
        <w:t>” means (i) with respect to each Tier 1 Executive, a period of 24 months beginning on the Eligible Executive’s Date of Termination; (ii) with respect to each Tier 2 Executive, a period of 12 months beginning on the Eligible Executive’s Date of Termination; and (iii) with respect to each Tier 3 Executive, a period of 12 months beginning on the Eligible Executive’s Date of Termination.</w:t>
      </w:r>
    </w:p>
    <w:p>
      <w:pPr>
        <w:spacing w:after="0" w:line="198" w:lineRule="exact"/>
        <w:rPr>
          <w:rFonts w:ascii="Arial" w:cs="Arial" w:eastAsia="Arial" w:hAnsi="Arial"/>
          <w:sz w:val="22"/>
          <w:szCs w:val="22"/>
          <w:color w:val="auto"/>
        </w:rPr>
      </w:pPr>
    </w:p>
    <w:p>
      <w:pPr>
        <w:ind w:firstLine="656"/>
        <w:spacing w:after="0" w:line="272" w:lineRule="auto"/>
        <w:tabs>
          <w:tab w:leader="none" w:pos="1284" w:val="left"/>
        </w:tabs>
        <w:numPr>
          <w:ilvl w:val="2"/>
          <w:numId w:val="1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Regular Severance Multiple</w:t>
      </w:r>
      <w:r>
        <w:rPr>
          <w:rFonts w:ascii="Arial" w:cs="Arial" w:eastAsia="Arial" w:hAnsi="Arial"/>
          <w:sz w:val="22"/>
          <w:szCs w:val="22"/>
          <w:color w:val="auto"/>
        </w:rPr>
        <w:t>” means (i) with respect to each Tier 1 Executive, 2.0; and (ii) with respect to each Tier 2 Executive, 1.0; and (iii) with respect to each Tier 3 Executive, 1.0.</w:t>
      </w:r>
    </w:p>
    <w:p>
      <w:pPr>
        <w:sectPr>
          <w:pgSz w:w="11900" w:h="16838" w:orient="portrait"/>
          <w:cols w:equalWidth="0" w:num="1">
            <w:col w:w="11240"/>
          </w:cols>
          <w:pgMar w:left="320" w:top="935" w:right="339" w:bottom="1440" w:gutter="0" w:footer="0" w:header="0"/>
        </w:sectPr>
      </w:pPr>
    </w:p>
    <w:bookmarkStart w:id="199" w:name="page200"/>
    <w:bookmarkEnd w:id="199"/>
    <w:p>
      <w:pPr>
        <w:jc w:val="both"/>
        <w:ind w:firstLine="656"/>
        <w:spacing w:after="0" w:line="249" w:lineRule="auto"/>
        <w:tabs>
          <w:tab w:leader="none" w:pos="129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Base Salary</w:t>
      </w:r>
      <w:r>
        <w:rPr>
          <w:rFonts w:ascii="Arial" w:cs="Arial" w:eastAsia="Arial" w:hAnsi="Arial"/>
          <w:sz w:val="22"/>
          <w:szCs w:val="22"/>
          <w:color w:val="auto"/>
        </w:rPr>
        <w:t>” means the amount an Eligible Executive is entitled to receive as base salary on an annualized basis, calculated as of the Date of Termination, including any amounts that an Eligible Executive could have received in cash had he not elected to contribute to an employee benefit plan maintained by the Company, but excluding all annual cash incentive awards, bonuses, equity awards, and incentive compensation payable by the Company as consideration for an Eligible Executive’s services. Notwithstanding the foregoing, in the event of a reduction in an Eligible Executive’s Base Salary resulting in such Eligible Executive’s resignation for Good Reason, for purposes of determining such Eligible Executive’s Severance Amount, such Eligible Executive’s Base Salary shall be deemed to be that in effect immediately prior to such reduction.</w:t>
      </w:r>
    </w:p>
    <w:p>
      <w:pPr>
        <w:spacing w:after="0" w:line="222"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246" w:lineRule="exact"/>
        <w:rPr>
          <w:rFonts w:ascii="Arial" w:cs="Arial" w:eastAsia="Arial" w:hAnsi="Arial"/>
          <w:sz w:val="22"/>
          <w:szCs w:val="22"/>
          <w:color w:val="auto"/>
        </w:rPr>
      </w:pPr>
    </w:p>
    <w:p>
      <w:pPr>
        <w:jc w:val="both"/>
        <w:ind w:firstLine="656"/>
        <w:spacing w:after="0" w:line="247" w:lineRule="auto"/>
        <w:tabs>
          <w:tab w:leader="none" w:pos="1285"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(i) an Eligible Executive has failed or refused to substantially perform such Eligible Executive’s duties, responsibilities or authorities (other than any such refusal or failure resulting from such Eligible Executive’s Disability); (ii) any commission by or indictment of an Eligible Executive of a felony or crime of moral turpitude; (iii) an Eligible Executive has engaged in material misconduct in the course and scope of such Eligible Executive’s employment with any member of the Company Group, including, but not limited to, incompetence, disloyalty, disorderly conduct, insubordination, harassment of other employees or third parties, improper disclosure of confidential information, repeated and unexcused absenteeism, improper appropriation of a corporate opportunity or any other material violation of the Company’s personnel policies, rules or codes of conduct or any fiduciary duty owed to the Company or any of its Affiliates, or any applicable law or regulation to which the Company or any of its Affiliates are subject; (iv) an Eligible Executive has committed any act of fraud, embezzlement, theft, dishonesty, misrepresentation or falsification of records; or (v) an Eligible Executive has engaged in any act or omission that is likely to materially damage the Company’s or any of its Affiliates’ business, including, without limitation, the Company’s or any of its Affiliates’ reputation , adversely affect the Company’s or any of its Affiliates’ operations, condition (financial or otherwise), prospects or interests or bring the Company or any of its Affiliates negative publicity or into public disgrace, embarrassment, or disrepute.</w:t>
      </w:r>
    </w:p>
    <w:p>
      <w:pPr>
        <w:spacing w:after="0" w:line="225"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means the occurrence of any of the following:</w:t>
      </w:r>
    </w:p>
    <w:p>
      <w:pPr>
        <w:spacing w:after="0" w:line="246" w:lineRule="exact"/>
        <w:rPr>
          <w:rFonts w:ascii="Arial" w:cs="Arial" w:eastAsia="Arial" w:hAnsi="Arial"/>
          <w:sz w:val="22"/>
          <w:szCs w:val="22"/>
          <w:color w:val="auto"/>
        </w:rPr>
      </w:pPr>
    </w:p>
    <w:p>
      <w:pPr>
        <w:jc w:val="both"/>
        <w:ind w:firstLine="788"/>
        <w:spacing w:after="0" w:line="248" w:lineRule="auto"/>
        <w:tabs>
          <w:tab w:leader="none" w:pos="129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the acquisition by any individual, entity or group (within the meaning of Section 13(d)(3) or 14(d)(2) of the Exchange Act) (a “Person”) of beneficial ownership (within the meaning of Rule 13d-3 promulgated under the Exchange Act) of 50% or more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For purposes of this definition the following acquisitions by a Person will not constitute a Change in Control: (1) any acquisition by the Company; (2) any redemption, share acquisition or other purchase of shares directly or indirectly by the Company; (3) any acquisition by any employee benefit plan (or related trust) sponsored or maintained by the Company or 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7" w:right="339" w:bottom="1440" w:gutter="0" w:footer="0" w:header="0"/>
        </w:sectPr>
      </w:pPr>
    </w:p>
    <w:bookmarkStart w:id="200" w:name="page201"/>
    <w:bookmarkEnd w:id="200"/>
    <w:p>
      <w:pPr>
        <w:ind w:right="20"/>
        <w:spacing w:after="0" w:line="272" w:lineRule="auto"/>
        <w:rPr>
          <w:sz w:val="20"/>
          <w:szCs w:val="20"/>
          <w:color w:val="auto"/>
        </w:rPr>
      </w:pPr>
      <w:r>
        <w:rPr>
          <w:rFonts w:ascii="Arial" w:cs="Arial" w:eastAsia="Arial" w:hAnsi="Arial"/>
          <w:sz w:val="22"/>
          <w:szCs w:val="22"/>
          <w:color w:val="auto"/>
        </w:rPr>
        <w:t>corporation controlled by the Company; or (4) any acquisition by any corporation pursuant to a transaction which complies with clauses (A) and (B) of paragraph (ii) below;</w:t>
      </w:r>
    </w:p>
    <w:p>
      <w:pPr>
        <w:spacing w:after="0" w:line="183" w:lineRule="exact"/>
        <w:rPr>
          <w:sz w:val="20"/>
          <w:szCs w:val="20"/>
          <w:color w:val="auto"/>
        </w:rPr>
      </w:pPr>
    </w:p>
    <w:p>
      <w:pPr>
        <w:jc w:val="both"/>
        <w:ind w:firstLine="741"/>
        <w:spacing w:after="0" w:line="247" w:lineRule="auto"/>
        <w:tabs>
          <w:tab w:leader="none" w:pos="129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consummation of a reorganization, merger, consolidation or sale or other disposition of all or substantially all of the assets of the Company (a “Business Combination”),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(B) no Person (excluding any corporation resulting from such Business Combination or any employee benefit plan (or related trust) of the Company or such corporation resulting from such Business Combination) beneficially owns, directly or indirectly, 50% or more of, respectively, the then outstanding shares of common stock of the corporation resulting from such Business Combination or the combined voting power of the then outstanding voting securities of such corporation except to the extent that such ownership existed prior to the Business Combination; or</w:t>
      </w:r>
    </w:p>
    <w:p>
      <w:pPr>
        <w:spacing w:after="0" w:line="221" w:lineRule="exact"/>
        <w:rPr>
          <w:rFonts w:ascii="Arial" w:cs="Arial" w:eastAsia="Arial" w:hAnsi="Arial"/>
          <w:sz w:val="22"/>
          <w:szCs w:val="22"/>
          <w:color w:val="auto"/>
        </w:rPr>
      </w:pPr>
    </w:p>
    <w:p>
      <w:pPr>
        <w:ind w:left="1300" w:hanging="607"/>
        <w:spacing w:after="0"/>
        <w:tabs>
          <w:tab w:leader="none" w:pos="130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approval by the shareholders of the Company of a complete liquidation or dissolution of the</w:t>
      </w:r>
    </w:p>
    <w:p>
      <w:pPr>
        <w:spacing w:after="0" w:line="30"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Company.</w:t>
      </w:r>
    </w:p>
    <w:p>
      <w:pPr>
        <w:spacing w:after="0" w:line="233" w:lineRule="exact"/>
        <w:rPr>
          <w:rFonts w:ascii="Arial" w:cs="Arial" w:eastAsia="Arial" w:hAnsi="Arial"/>
          <w:sz w:val="22"/>
          <w:szCs w:val="22"/>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 Protection Period</w:t>
      </w:r>
      <w:r>
        <w:rPr>
          <w:rFonts w:ascii="Arial" w:cs="Arial" w:eastAsia="Arial" w:hAnsi="Arial"/>
          <w:sz w:val="22"/>
          <w:szCs w:val="22"/>
          <w:color w:val="auto"/>
        </w:rPr>
        <w:t>” means the 12-month period following a Change in Control.</w:t>
      </w:r>
    </w:p>
    <w:p>
      <w:pPr>
        <w:spacing w:after="0" w:line="246" w:lineRule="exact"/>
        <w:rPr>
          <w:rFonts w:ascii="Arial" w:cs="Arial" w:eastAsia="Arial" w:hAnsi="Arial"/>
          <w:sz w:val="22"/>
          <w:szCs w:val="22"/>
          <w:color w:val="auto"/>
        </w:rPr>
      </w:pPr>
    </w:p>
    <w:p>
      <w:pPr>
        <w:jc w:val="both"/>
        <w:ind w:firstLine="656"/>
        <w:spacing w:after="0" w:line="257" w:lineRule="auto"/>
        <w:tabs>
          <w:tab w:leader="none" w:pos="1285"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CIC Severance Amount</w:t>
      </w:r>
      <w:r>
        <w:rPr>
          <w:rFonts w:ascii="Arial" w:cs="Arial" w:eastAsia="Arial" w:hAnsi="Arial"/>
          <w:sz w:val="22"/>
          <w:szCs w:val="22"/>
          <w:color w:val="auto"/>
        </w:rPr>
        <w:t>” means, with respect to an Eligible Executive, an amount equal to the product of (i) the Applicable CIC Severance Multiple and (ii) the sum of such Eligible Executive’s (A) Base Salary and (B) Target Annual Bonus.</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COBRA</w:t>
      </w:r>
      <w:r>
        <w:rPr>
          <w:rFonts w:ascii="Arial" w:cs="Arial" w:eastAsia="Arial" w:hAnsi="Arial"/>
          <w:sz w:val="22"/>
          <w:szCs w:val="22"/>
          <w:color w:val="auto"/>
        </w:rPr>
        <w:t>” means the Consolidated Omnibus Budget Reconciliation Act of 1985, as amended.</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246" w:lineRule="exact"/>
        <w:rPr>
          <w:rFonts w:ascii="Arial" w:cs="Arial" w:eastAsia="Arial" w:hAnsi="Arial"/>
          <w:sz w:val="22"/>
          <w:szCs w:val="22"/>
          <w:color w:val="auto"/>
        </w:rPr>
      </w:pPr>
    </w:p>
    <w:p>
      <w:pPr>
        <w:ind w:firstLine="656"/>
        <w:spacing w:after="0" w:line="272" w:lineRule="auto"/>
        <w:tabs>
          <w:tab w:leader="none" w:pos="129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Committee</w:t>
      </w:r>
      <w:r>
        <w:rPr>
          <w:rFonts w:ascii="Arial" w:cs="Arial" w:eastAsia="Arial" w:hAnsi="Arial"/>
          <w:sz w:val="22"/>
          <w:szCs w:val="22"/>
          <w:color w:val="auto"/>
        </w:rPr>
        <w:t>” means the Compensation Committee of the Board or such other committee designated by the Board to administer the Plan.</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 Group</w:t>
      </w:r>
      <w:r>
        <w:rPr>
          <w:rFonts w:ascii="Arial" w:cs="Arial" w:eastAsia="Arial" w:hAnsi="Arial"/>
          <w:sz w:val="22"/>
          <w:szCs w:val="22"/>
          <w:color w:val="auto"/>
        </w:rPr>
        <w:t>” means the Company and each of its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37" w:right="339" w:bottom="1440" w:gutter="0" w:footer="0" w:header="0"/>
        </w:sectPr>
      </w:pPr>
    </w:p>
    <w:bookmarkStart w:id="201" w:name="page202"/>
    <w:bookmarkEnd w:id="201"/>
    <w:p>
      <w:pPr>
        <w:jc w:val="both"/>
        <w:ind w:firstLine="656"/>
        <w:spacing w:after="0" w:line="259" w:lineRule="auto"/>
        <w:tabs>
          <w:tab w:leader="none" w:pos="129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Confidential Information</w:t>
      </w:r>
      <w:r>
        <w:rPr>
          <w:rFonts w:ascii="Arial" w:cs="Arial" w:eastAsia="Arial" w:hAnsi="Arial"/>
          <w:sz w:val="21"/>
          <w:szCs w:val="21"/>
          <w:color w:val="auto"/>
        </w:rPr>
        <w:t>” means all trade secrets, non-public information, proprietary information, knowledge, data, designs, ideas, concepts, improvements, product developments, discoveries and inventions, whether patentable or not, that are conceived, made, developed or acquired by or disclosed to an Eligible Executive, individually or in conjunction with others, during the period that the Eligible Executive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proposals, products, marketing, selling, budgets, licenses, prices, transactions, costs, recipes, production techniques,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are and shall be the sole and exclusive property of the Company Group, and be subject to the same restrictions on disclosure applicable to all Confidential Information pursuant to the Plan. For purposes of the Plan, Confidential Information shall not include any information that (i) is or becomes generally available to the public other than as a result of a disclosure or wrongful act of the Eligible Executive or any of the Eligible Executive’s agents; (ii) was available to the Eligible Executive on a non-confidential basis before its disclosure by a member of the Company Group; or (iii) becomes available to the Eligible Executive on a non-confidential basis from a source other than a member of the Company Group; provided, however, that such source is not bound by a confidentiality agreement with, or other obligation with respect to confidentiality to, a member of the Company Group.</w:t>
      </w:r>
    </w:p>
    <w:p>
      <w:pPr>
        <w:spacing w:after="0" w:line="212" w:lineRule="exact"/>
        <w:rPr>
          <w:rFonts w:ascii="Arial" w:cs="Arial" w:eastAsia="Arial" w:hAnsi="Arial"/>
          <w:sz w:val="21"/>
          <w:szCs w:val="21"/>
          <w:color w:val="auto"/>
        </w:rPr>
      </w:pPr>
    </w:p>
    <w:p>
      <w:pPr>
        <w:jc w:val="both"/>
        <w:ind w:firstLine="656"/>
        <w:spacing w:after="0" w:line="257" w:lineRule="auto"/>
        <w:tabs>
          <w:tab w:leader="none" w:pos="129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Date of Termination</w:t>
      </w:r>
      <w:r>
        <w:rPr>
          <w:rFonts w:ascii="Arial" w:cs="Arial" w:eastAsia="Arial" w:hAnsi="Arial"/>
          <w:sz w:val="22"/>
          <w:szCs w:val="22"/>
          <w:color w:val="auto"/>
        </w:rPr>
        <w:t>” means the effective date of the termination of an Eligible Executive’s employment with the Company and its Affiliates, as applicable, such that the Eligible Executive is no longer employed by any member of the Company Group.</w:t>
      </w:r>
    </w:p>
    <w:p>
      <w:pPr>
        <w:spacing w:after="0" w:line="199" w:lineRule="exact"/>
        <w:rPr>
          <w:rFonts w:ascii="Arial" w:cs="Arial" w:eastAsia="Arial" w:hAnsi="Arial"/>
          <w:sz w:val="22"/>
          <w:szCs w:val="22"/>
          <w:color w:val="auto"/>
        </w:rPr>
      </w:pPr>
    </w:p>
    <w:p>
      <w:pPr>
        <w:jc w:val="both"/>
        <w:ind w:firstLine="656"/>
        <w:spacing w:after="0" w:line="251" w:lineRule="auto"/>
        <w:tabs>
          <w:tab w:leader="none" w:pos="129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means an Eligible Executive is unable to perform the essential functions of such Eligible Executive’s position (after accounting for reasonable accommodation, if applicable and required by applicable law), due to physical or mental impairment or other incapacity that continues, or can reasonably be expected to continue, for a period in excess of 120 consecutive days or 180 days, whether or not consecutive (or for any longer period as may be required by applicable law), in any 12-month period. The determination of whether an Eligible Executive has incurred a Disability shall be made in good faith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937" w:right="339" w:bottom="1440" w:gutter="0" w:footer="0" w:header="0"/>
        </w:sectPr>
      </w:pPr>
    </w:p>
    <w:bookmarkStart w:id="202" w:name="page203"/>
    <w:bookmarkEnd w:id="202"/>
    <w:p>
      <w:pPr>
        <w:jc w:val="both"/>
        <w:ind w:firstLine="656"/>
        <w:spacing w:after="0" w:line="249" w:lineRule="auto"/>
        <w:tabs>
          <w:tab w:leader="none" w:pos="1284"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Eligible Executive</w:t>
      </w:r>
      <w:r>
        <w:rPr>
          <w:rFonts w:ascii="Arial" w:cs="Arial" w:eastAsia="Arial" w:hAnsi="Arial"/>
          <w:sz w:val="22"/>
          <w:szCs w:val="22"/>
          <w:color w:val="auto"/>
        </w:rPr>
        <w:t>” means any employee of any member of the Company Group who (i) is designated by the Committee as an “Eligible Executive” who is eligible to participate in the Plan; (ii) has executed and returned a Participation Agreement to the Company; (iii) is not covered under any other severance plan, policy, program or arrangement sponsored or maintained by the Company or any of its Affiliates; and (iv) is not a party to an employment or severance agreement with the Company or any of its Affiliates pursuant to which such employee is eligible for severance payments or benefits. The Committee shall have the sole discretion to determine whether an employee is an Eligible Executive. Eligible Executives shall be limited to a select group of management or highly compensated employees within the meaning of Sections 201, 301 and 401 of ERISA.</w:t>
      </w:r>
    </w:p>
    <w:p>
      <w:pPr>
        <w:spacing w:after="0" w:line="222" w:lineRule="exact"/>
        <w:rPr>
          <w:rFonts w:ascii="Arial" w:cs="Arial" w:eastAsia="Arial" w:hAnsi="Arial"/>
          <w:sz w:val="22"/>
          <w:szCs w:val="22"/>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ERISA</w:t>
      </w:r>
      <w:r>
        <w:rPr>
          <w:rFonts w:ascii="Arial" w:cs="Arial" w:eastAsia="Arial" w:hAnsi="Arial"/>
          <w:sz w:val="22"/>
          <w:szCs w:val="22"/>
          <w:color w:val="auto"/>
        </w:rPr>
        <w:t>” means the Employee Retirement Income Security Act of 1974, as amended.</w:t>
      </w:r>
    </w:p>
    <w:p>
      <w:pPr>
        <w:spacing w:after="0" w:line="246" w:lineRule="exact"/>
        <w:rPr>
          <w:rFonts w:ascii="Arial" w:cs="Arial" w:eastAsia="Arial" w:hAnsi="Arial"/>
          <w:sz w:val="22"/>
          <w:szCs w:val="22"/>
          <w:color w:val="auto"/>
        </w:rPr>
      </w:pPr>
    </w:p>
    <w:p>
      <w:pPr>
        <w:ind w:left="1300" w:hanging="644"/>
        <w:spacing w:after="0"/>
        <w:tabs>
          <w:tab w:leader="none" w:pos="130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246" w:lineRule="exact"/>
        <w:rPr>
          <w:rFonts w:ascii="Arial" w:cs="Arial" w:eastAsia="Arial" w:hAnsi="Arial"/>
          <w:sz w:val="22"/>
          <w:szCs w:val="22"/>
          <w:color w:val="auto"/>
        </w:rPr>
      </w:pPr>
    </w:p>
    <w:p>
      <w:pPr>
        <w:jc w:val="both"/>
        <w:ind w:firstLine="656"/>
        <w:spacing w:after="0" w:line="256" w:lineRule="auto"/>
        <w:tabs>
          <w:tab w:leader="none" w:pos="1285"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shall exist in the event any of the following actions are taken without an Eligible Executive’s consent: (i) </w:t>
      </w:r>
      <w:r>
        <w:rPr>
          <w:rFonts w:ascii="Arial" w:cs="Arial" w:eastAsia="Arial" w:hAnsi="Arial"/>
          <w:sz w:val="20"/>
          <w:szCs w:val="20"/>
          <w:color w:val="auto"/>
        </w:rPr>
        <w:t>such Eligible Executive’s authority with Company or its Affiliates is, or such Eligible Executive’s</w:t>
      </w:r>
      <w:r>
        <w:rPr>
          <w:rFonts w:ascii="Arial" w:cs="Arial" w:eastAsia="Arial" w:hAnsi="Arial"/>
          <w:sz w:val="22"/>
          <w:szCs w:val="22"/>
          <w:color w:val="auto"/>
        </w:rPr>
        <w:t xml:space="preserve"> </w:t>
      </w:r>
      <w:r>
        <w:rPr>
          <w:rFonts w:ascii="Arial" w:cs="Arial" w:eastAsia="Arial" w:hAnsi="Arial"/>
          <w:sz w:val="20"/>
          <w:szCs w:val="20"/>
          <w:color w:val="auto"/>
        </w:rPr>
        <w:t>duties or responsibilities based on such Eligible Executive’s job title or job description are, materially diminished relative to such Eligible Executive’s authority, duties and responsibilities as in effect immediately prior to such change, provided, however, that in no event shall removal of such Eligible Executive from the position of manager, director or officer of any direct or indirect Affiliate of the Company in connection with any corporate restructuring constitute Good Reason and provided, further, that in no event shall the removal of an Eligible Executive from the Board following a Change in Control constitute Good Reason</w:t>
      </w:r>
      <w:r>
        <w:rPr>
          <w:rFonts w:ascii="Arial" w:cs="Arial" w:eastAsia="Arial" w:hAnsi="Arial"/>
          <w:sz w:val="21"/>
          <w:szCs w:val="21"/>
          <w:color w:val="auto"/>
        </w:rPr>
        <w:t>; (ii)</w:t>
      </w:r>
      <w:r>
        <w:rPr>
          <w:rFonts w:ascii="Arial" w:cs="Arial" w:eastAsia="Arial" w:hAnsi="Arial"/>
          <w:sz w:val="20"/>
          <w:szCs w:val="20"/>
          <w:color w:val="auto"/>
        </w:rPr>
        <w:t xml:space="preserve"> a reduction in such Eligible </w:t>
      </w:r>
      <w:r>
        <w:rPr>
          <w:rFonts w:ascii="Arial" w:cs="Arial" w:eastAsia="Arial" w:hAnsi="Arial"/>
          <w:sz w:val="21"/>
          <w:szCs w:val="21"/>
          <w:color w:val="auto"/>
        </w:rPr>
        <w:t>Executive</w:t>
      </w:r>
      <w:r>
        <w:rPr>
          <w:rFonts w:ascii="Arial" w:cs="Arial" w:eastAsia="Arial" w:hAnsi="Arial"/>
          <w:sz w:val="20"/>
          <w:szCs w:val="20"/>
          <w:color w:val="auto"/>
        </w:rPr>
        <w:t>’s annual base salary as in effect immediately prior to reduction in an amount of 10% or more (other than reductions that apply equally to all similarly situated employees)</w:t>
      </w:r>
      <w:r>
        <w:rPr>
          <w:rFonts w:ascii="Arial" w:cs="Arial" w:eastAsia="Arial" w:hAnsi="Arial"/>
          <w:sz w:val="21"/>
          <w:szCs w:val="21"/>
          <w:color w:val="auto"/>
        </w:rPr>
        <w:t>; (iii)</w:t>
      </w:r>
      <w:r>
        <w:rPr>
          <w:rFonts w:ascii="Arial" w:cs="Arial" w:eastAsia="Arial" w:hAnsi="Arial"/>
          <w:sz w:val="20"/>
          <w:szCs w:val="20"/>
          <w:color w:val="auto"/>
        </w:rPr>
        <w:t xml:space="preserve"> </w:t>
      </w:r>
      <w:r>
        <w:rPr>
          <w:rFonts w:ascii="Arial" w:cs="Arial" w:eastAsia="Arial" w:hAnsi="Arial"/>
          <w:sz w:val="21"/>
          <w:szCs w:val="21"/>
          <w:color w:val="auto"/>
        </w:rPr>
        <w:t>during the Change in Control Protection Period, a relocation of the geographic location of an Eligible Executive’s principal place of employment by more than 50 miles from the location of such Eligible Executive’s then-current principal place of employment; or (iv) the Company’s material failure to comply with the terms of the Plan. Notwithstanding the foregoing provisions of this definition or any other provision of the Plan to the contrary, any assertion by an Eligible Executive of a termination for Good Reason shall not be effective unless all of the following conditions are satisfied: (A) such Eligible Executive must provide written notice to the Company of the existence of such condition(s) within 30 days after the initial occurrence of such condition(s); (B) the condition(s) specified in such notice must remain uncorrected for 30 days following the Company’s receipt of such written notice; and (C) the date of such Eligible Executive’s termination of employment must occur within 90 days after the initial occurrence of the condition(s) specified in such notice.</w:t>
      </w:r>
    </w:p>
    <w:p>
      <w:pPr>
        <w:spacing w:after="0" w:line="257"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Group Health Plan Amount</w:t>
      </w:r>
      <w:r>
        <w:rPr>
          <w:rFonts w:ascii="Arial" w:cs="Arial" w:eastAsia="Arial" w:hAnsi="Arial"/>
          <w:sz w:val="22"/>
          <w:szCs w:val="22"/>
          <w:color w:val="auto"/>
        </w:rPr>
        <w:t>” means, with respect to an Eligible Executive, an amount equal to the product of (i) 12 and (ii) the monthly amount of the Company’s contribution to the premiums for such Eligible Executive’s group health plan coverage (including coverage for such Eligible Executive’s spouse and eligible dependents), determined under the Company’s group health plans as in effect immediately prior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937" w:right="339" w:bottom="1440" w:gutter="0" w:footer="0" w:header="0"/>
        </w:sectPr>
      </w:pPr>
    </w:p>
    <w:bookmarkStart w:id="203" w:name="page204"/>
    <w:bookmarkEnd w:id="203"/>
    <w:p>
      <w:pPr>
        <w:jc w:val="both"/>
        <w:spacing w:after="0" w:line="257" w:lineRule="auto"/>
        <w:rPr>
          <w:sz w:val="20"/>
          <w:szCs w:val="20"/>
          <w:color w:val="auto"/>
        </w:rPr>
      </w:pPr>
      <w:r>
        <w:rPr>
          <w:rFonts w:ascii="Arial" w:cs="Arial" w:eastAsia="Arial" w:hAnsi="Arial"/>
          <w:sz w:val="22"/>
          <w:szCs w:val="22"/>
          <w:color w:val="auto"/>
        </w:rPr>
        <w:t>such Eligible Executive’s Date of Termination. For the avoidance of doubt, if, as of an Eligible Executive’s Date of Termination, such Eligible Executive does not participate in any of the Company’s group health plans, then such Eligible Executive’s Group Health Plan Amount will equal zero.</w:t>
      </w:r>
    </w:p>
    <w:p>
      <w:pPr>
        <w:spacing w:after="0" w:line="213" w:lineRule="exact"/>
        <w:rPr>
          <w:sz w:val="20"/>
          <w:szCs w:val="20"/>
          <w:color w:val="auto"/>
        </w:rPr>
      </w:pPr>
    </w:p>
    <w:p>
      <w:pPr>
        <w:ind w:firstLine="656"/>
        <w:spacing w:after="0" w:line="272" w:lineRule="auto"/>
        <w:tabs>
          <w:tab w:leader="none" w:pos="129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LTIP</w:t>
      </w:r>
      <w:r>
        <w:rPr>
          <w:rFonts w:ascii="Arial" w:cs="Arial" w:eastAsia="Arial" w:hAnsi="Arial"/>
          <w:sz w:val="22"/>
          <w:szCs w:val="22"/>
          <w:color w:val="auto"/>
        </w:rPr>
        <w:t>” means the Expand Energy Corporation 2021 Long Term Incentive Plan, as the same may be amended, restated or otherwise modified from time to time.</w:t>
      </w:r>
    </w:p>
    <w:p>
      <w:pPr>
        <w:spacing w:after="0" w:line="182" w:lineRule="exact"/>
        <w:rPr>
          <w:rFonts w:ascii="Arial" w:cs="Arial" w:eastAsia="Arial" w:hAnsi="Arial"/>
          <w:sz w:val="22"/>
          <w:szCs w:val="22"/>
          <w:color w:val="auto"/>
        </w:rPr>
      </w:pPr>
    </w:p>
    <w:p>
      <w:pPr>
        <w:jc w:val="both"/>
        <w:ind w:firstLine="656"/>
        <w:spacing w:after="0" w:line="257" w:lineRule="auto"/>
        <w:tabs>
          <w:tab w:leader="none" w:pos="1291" w:val="left"/>
        </w:tabs>
        <w:numPr>
          <w:ilvl w:val="0"/>
          <w:numId w:val="14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Participation Agreement</w:t>
      </w:r>
      <w:r>
        <w:rPr>
          <w:rFonts w:ascii="Arial" w:cs="Arial" w:eastAsia="Arial" w:hAnsi="Arial"/>
          <w:sz w:val="22"/>
          <w:szCs w:val="22"/>
          <w:color w:val="auto"/>
        </w:rPr>
        <w:t>” means the participation agreement delivered to each Eligible Executive by the Committee prior to his or her entry into the Plan evidencing the Eligible Executive’s agreement to participate in the Plan and to comply with all terms, conditions and restrictions within the Plan.</w:t>
      </w:r>
    </w:p>
    <w:p>
      <w:pPr>
        <w:spacing w:after="0" w:line="213" w:lineRule="exact"/>
        <w:rPr>
          <w:sz w:val="20"/>
          <w:szCs w:val="20"/>
          <w:color w:val="auto"/>
        </w:rPr>
      </w:pPr>
    </w:p>
    <w:p>
      <w:pPr>
        <w:jc w:val="both"/>
        <w:ind w:firstLine="656"/>
        <w:spacing w:after="0" w:line="257" w:lineRule="auto"/>
        <w:tabs>
          <w:tab w:leader="none" w:pos="128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Prohibited Period</w:t>
      </w:r>
      <w:r>
        <w:rPr>
          <w:rFonts w:ascii="Arial" w:cs="Arial" w:eastAsia="Arial" w:hAnsi="Arial"/>
          <w:sz w:val="22"/>
          <w:szCs w:val="22"/>
          <w:color w:val="auto"/>
        </w:rPr>
        <w:t>” means the period during which an Eligible Executive is employed by any member of the Company Group and continuing through the date that is 12 months following the Eligible Executive’s Date of Termination.</w:t>
      </w:r>
    </w:p>
    <w:p>
      <w:pPr>
        <w:spacing w:after="0" w:line="199" w:lineRule="exact"/>
        <w:rPr>
          <w:rFonts w:ascii="Arial" w:cs="Arial" w:eastAsia="Arial" w:hAnsi="Arial"/>
          <w:sz w:val="22"/>
          <w:szCs w:val="22"/>
          <w:color w:val="auto"/>
        </w:rPr>
      </w:pPr>
    </w:p>
    <w:p>
      <w:pPr>
        <w:jc w:val="both"/>
        <w:ind w:firstLine="656"/>
        <w:spacing w:after="0" w:line="257" w:lineRule="auto"/>
        <w:tabs>
          <w:tab w:leader="none" w:pos="147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Qualifying Termination</w:t>
      </w:r>
      <w:r>
        <w:rPr>
          <w:rFonts w:ascii="Arial" w:cs="Arial" w:eastAsia="Arial" w:hAnsi="Arial"/>
          <w:sz w:val="22"/>
          <w:szCs w:val="22"/>
          <w:color w:val="auto"/>
        </w:rPr>
        <w:t>” means the termination of an Eligible Executive’s employment (i) by any member of the Company Group without Cause (which, for the avoidance of doubt, does not include a termination due to death or Disability); or (ii) due to an Eligible Executive’s resignation for Good Reason.</w:t>
      </w:r>
    </w:p>
    <w:p>
      <w:pPr>
        <w:spacing w:after="0" w:line="213" w:lineRule="exact"/>
        <w:rPr>
          <w:rFonts w:ascii="Arial" w:cs="Arial" w:eastAsia="Arial" w:hAnsi="Arial"/>
          <w:sz w:val="22"/>
          <w:szCs w:val="22"/>
          <w:color w:val="auto"/>
        </w:rPr>
      </w:pPr>
    </w:p>
    <w:p>
      <w:pPr>
        <w:jc w:val="both"/>
        <w:ind w:firstLine="656"/>
        <w:spacing w:after="0" w:line="248" w:lineRule="auto"/>
        <w:tabs>
          <w:tab w:leader="none" w:pos="135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Release Requirement</w:t>
      </w:r>
      <w:r>
        <w:rPr>
          <w:rFonts w:ascii="Arial" w:cs="Arial" w:eastAsia="Arial" w:hAnsi="Arial"/>
          <w:sz w:val="22"/>
          <w:szCs w:val="22"/>
          <w:color w:val="auto"/>
        </w:rPr>
        <w:t>” means the requirement that an Eligible Executive execute and deliver to the Company a general release of claims, in a form acceptable to the Company, on or prior to the date that is 21 days following the date upon which the Company delivers the release to an Eligible Executive (which shall occur no later than seven days following the Date of Termination) or, in the event that such termination of employment is “in connection with an exit incentive or other employment termination program” (as such phrase is defined in the Age Discrimination in Employment Act of 1967, as amended), the date that is 45 days following such delivery date. Notwithstanding the foregoing or any other provision in the Plan to the contrary, the Release Requirement shall not be considered satisfied if the release described in the preceding sentence is revoked by the Eligible Executive within any time provided by the Company for such revocation.</w:t>
      </w:r>
    </w:p>
    <w:p>
      <w:pPr>
        <w:spacing w:after="0" w:line="212" w:lineRule="exact"/>
        <w:rPr>
          <w:rFonts w:ascii="Arial" w:cs="Arial" w:eastAsia="Arial" w:hAnsi="Arial"/>
          <w:sz w:val="22"/>
          <w:szCs w:val="22"/>
          <w:color w:val="auto"/>
        </w:rPr>
      </w:pPr>
    </w:p>
    <w:p>
      <w:pPr>
        <w:jc w:val="both"/>
        <w:ind w:firstLine="656"/>
        <w:spacing w:after="0" w:line="264" w:lineRule="auto"/>
        <w:tabs>
          <w:tab w:leader="none" w:pos="128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Section 409A</w:t>
      </w:r>
      <w:r>
        <w:rPr>
          <w:rFonts w:ascii="Arial" w:cs="Arial" w:eastAsia="Arial" w:hAnsi="Arial"/>
          <w:sz w:val="22"/>
          <w:szCs w:val="22"/>
          <w:color w:val="auto"/>
        </w:rPr>
        <w:t>” means Section 409A of the Code and the Department of Treasury regulations and other interpretive guidance issued thereunder, including any such regulations or guidance that may be amended or issued after the Effective Date.</w:t>
      </w:r>
    </w:p>
    <w:p>
      <w:pPr>
        <w:spacing w:after="0" w:line="191" w:lineRule="exact"/>
        <w:rPr>
          <w:rFonts w:ascii="Arial" w:cs="Arial" w:eastAsia="Arial" w:hAnsi="Arial"/>
          <w:sz w:val="22"/>
          <w:szCs w:val="22"/>
          <w:color w:val="auto"/>
        </w:rPr>
      </w:pPr>
    </w:p>
    <w:p>
      <w:pPr>
        <w:jc w:val="both"/>
        <w:ind w:firstLine="656"/>
        <w:spacing w:after="0" w:line="257" w:lineRule="auto"/>
        <w:tabs>
          <w:tab w:leader="none" w:pos="128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Severance Amount</w:t>
      </w:r>
      <w:r>
        <w:rPr>
          <w:rFonts w:ascii="Arial" w:cs="Arial" w:eastAsia="Arial" w:hAnsi="Arial"/>
          <w:sz w:val="22"/>
          <w:szCs w:val="22"/>
          <w:color w:val="auto"/>
        </w:rPr>
        <w:t>” means, with respect to an Eligible Executive, an amount equal to the product of (i) the Applicable Regular Severance Multiple and (ii) the sum of such Eligible Executive’s (A) Base Salary and (B) Target Annual Bonus.</w:t>
      </w:r>
    </w:p>
    <w:p>
      <w:pPr>
        <w:spacing w:after="0" w:line="199" w:lineRule="exact"/>
        <w:rPr>
          <w:rFonts w:ascii="Arial" w:cs="Arial" w:eastAsia="Arial" w:hAnsi="Arial"/>
          <w:sz w:val="22"/>
          <w:szCs w:val="22"/>
          <w:color w:val="auto"/>
        </w:rPr>
      </w:pPr>
    </w:p>
    <w:p>
      <w:pPr>
        <w:ind w:firstLine="656"/>
        <w:spacing w:after="0" w:line="285" w:lineRule="auto"/>
        <w:tabs>
          <w:tab w:leader="none" w:pos="127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Target Annual Bonus</w:t>
      </w:r>
      <w:r>
        <w:rPr>
          <w:rFonts w:ascii="Arial" w:cs="Arial" w:eastAsia="Arial" w:hAnsi="Arial"/>
          <w:sz w:val="22"/>
          <w:szCs w:val="22"/>
          <w:color w:val="auto"/>
        </w:rPr>
        <w:t>” means an Eligible Executive’s target annual bonus for the calendar year that includes such Eligible Executive’s Date of Termination.</w:t>
      </w:r>
    </w:p>
    <w:p>
      <w:pPr>
        <w:spacing w:after="0" w:line="168" w:lineRule="exact"/>
        <w:rPr>
          <w:rFonts w:ascii="Arial" w:cs="Arial" w:eastAsia="Arial" w:hAnsi="Arial"/>
          <w:sz w:val="22"/>
          <w:szCs w:val="22"/>
          <w:color w:val="auto"/>
        </w:rPr>
      </w:pPr>
    </w:p>
    <w:p>
      <w:pPr>
        <w:ind w:right="20" w:firstLine="656"/>
        <w:spacing w:after="0" w:line="272" w:lineRule="auto"/>
        <w:tabs>
          <w:tab w:leader="none" w:pos="134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Tier</w:t>
      </w:r>
      <w:r>
        <w:rPr>
          <w:rFonts w:ascii="Arial" w:cs="Arial" w:eastAsia="Arial" w:hAnsi="Arial"/>
          <w:sz w:val="22"/>
          <w:szCs w:val="22"/>
          <w:color w:val="auto"/>
        </w:rPr>
        <w:t>” means an “Executive Tier” used for purposes of determining the level of severance benefits an Eligible Executive is eligible to receive. Each Eligible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37" w:right="339" w:bottom="1440" w:gutter="0" w:footer="0" w:header="0"/>
        </w:sectPr>
      </w:pPr>
    </w:p>
    <w:bookmarkStart w:id="204" w:name="page205"/>
    <w:bookmarkEnd w:id="204"/>
    <w:p>
      <w:pPr>
        <w:spacing w:after="0" w:line="272" w:lineRule="auto"/>
        <w:rPr>
          <w:sz w:val="20"/>
          <w:szCs w:val="20"/>
          <w:color w:val="auto"/>
        </w:rPr>
      </w:pPr>
      <w:r>
        <w:rPr>
          <w:rFonts w:ascii="Arial" w:cs="Arial" w:eastAsia="Arial" w:hAnsi="Arial"/>
          <w:sz w:val="22"/>
          <w:szCs w:val="22"/>
          <w:color w:val="auto"/>
        </w:rPr>
        <w:t>Executive shall be designated by the Committee as a Tier 1 Executive, Tier 2 Executive or Tier 3 Executive pursuant to such Eligible Executive’s Participation Agreement.</w:t>
      </w:r>
    </w:p>
    <w:p>
      <w:pPr>
        <w:spacing w:after="0" w:line="181" w:lineRule="exact"/>
        <w:rPr>
          <w:sz w:val="20"/>
          <w:szCs w:val="20"/>
          <w:color w:val="auto"/>
        </w:rPr>
      </w:pPr>
    </w:p>
    <w:p>
      <w:pPr>
        <w:ind w:left="640" w:hanging="227"/>
        <w:spacing w:after="0"/>
        <w:tabs>
          <w:tab w:leader="none" w:pos="640" w:val="left"/>
        </w:tabs>
        <w:numPr>
          <w:ilvl w:val="0"/>
          <w:numId w:val="148"/>
        </w:numPr>
        <w:rPr>
          <w:rFonts w:ascii="Arial" w:cs="Arial" w:eastAsia="Arial" w:hAnsi="Arial"/>
          <w:sz w:val="22"/>
          <w:szCs w:val="22"/>
          <w:color w:val="auto"/>
        </w:rPr>
      </w:pPr>
      <w:r>
        <w:rPr>
          <w:rFonts w:ascii="Arial" w:cs="Arial" w:eastAsia="Arial" w:hAnsi="Arial"/>
          <w:sz w:val="22"/>
          <w:szCs w:val="22"/>
          <w:b w:val="1"/>
          <w:bCs w:val="1"/>
          <w:u w:val="single" w:color="auto"/>
          <w:color w:val="auto"/>
        </w:rPr>
        <w:t>Administration of the Plan</w:t>
      </w:r>
      <w:r>
        <w:rPr>
          <w:rFonts w:ascii="Arial" w:cs="Arial" w:eastAsia="Arial" w:hAnsi="Arial"/>
          <w:sz w:val="22"/>
          <w:szCs w:val="22"/>
          <w:color w:val="auto"/>
        </w:rPr>
        <w:t>.</w:t>
      </w:r>
    </w:p>
    <w:p>
      <w:pPr>
        <w:spacing w:after="0" w:line="262" w:lineRule="exact"/>
        <w:rPr>
          <w:rFonts w:ascii="Arial" w:cs="Arial" w:eastAsia="Arial" w:hAnsi="Arial"/>
          <w:sz w:val="22"/>
          <w:szCs w:val="22"/>
          <w:color w:val="auto"/>
        </w:rPr>
      </w:pPr>
    </w:p>
    <w:p>
      <w:pPr>
        <w:jc w:val="both"/>
        <w:ind w:firstLine="656"/>
        <w:spacing w:after="0" w:line="251" w:lineRule="auto"/>
        <w:tabs>
          <w:tab w:leader="none" w:pos="1290"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Administration by the Committee</w:t>
      </w:r>
      <w:r>
        <w:rPr>
          <w:rFonts w:ascii="Arial" w:cs="Arial" w:eastAsia="Arial" w:hAnsi="Arial"/>
          <w:sz w:val="22"/>
          <w:szCs w:val="22"/>
          <w:color w:val="auto"/>
        </w:rPr>
        <w:t>. The Committee shall be responsible for the management and control of the operation and the administration of the Plan, including interpretation of the Plan, decisions pertaining to eligibility to participate in the Plan, computation of severance benefits, granting or denial of severance benefit claims and review of claims denials. The Committee has absolute discretion in the exercise of its powers and responsibilities. For this purpose, the Committee’s powers shall include the following authority, in addition to all other powers provided by the Plan:</w:t>
      </w:r>
    </w:p>
    <w:p>
      <w:pPr>
        <w:spacing w:after="0" w:line="208" w:lineRule="exact"/>
        <w:rPr>
          <w:rFonts w:ascii="Arial" w:cs="Arial" w:eastAsia="Arial" w:hAnsi="Arial"/>
          <w:sz w:val="22"/>
          <w:szCs w:val="22"/>
          <w:color w:val="auto"/>
        </w:rPr>
      </w:pPr>
    </w:p>
    <w:p>
      <w:pPr>
        <w:ind w:right="20" w:firstLine="788"/>
        <w:spacing w:after="0" w:line="272"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make and enforce such rules and regulations as it deems necessary or proper for the efficient administration of the Plan;</w:t>
      </w:r>
    </w:p>
    <w:p>
      <w:pPr>
        <w:spacing w:after="0" w:line="182" w:lineRule="exact"/>
        <w:rPr>
          <w:rFonts w:ascii="Arial" w:cs="Arial" w:eastAsia="Arial" w:hAnsi="Arial"/>
          <w:sz w:val="22"/>
          <w:szCs w:val="22"/>
          <w:color w:val="auto"/>
        </w:rPr>
      </w:pPr>
    </w:p>
    <w:p>
      <w:pPr>
        <w:ind w:right="20" w:firstLine="741"/>
        <w:spacing w:after="0" w:line="272"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interpret the Plan, the Committee’s interpretation thereof to be final and conclusive on all persons claiming benefits under the Plan;</w:t>
      </w:r>
    </w:p>
    <w:p>
      <w:pPr>
        <w:spacing w:after="0" w:line="182" w:lineRule="exact"/>
        <w:rPr>
          <w:rFonts w:ascii="Arial" w:cs="Arial" w:eastAsia="Arial" w:hAnsi="Arial"/>
          <w:sz w:val="22"/>
          <w:szCs w:val="22"/>
          <w:color w:val="auto"/>
        </w:rPr>
      </w:pPr>
    </w:p>
    <w:p>
      <w:pPr>
        <w:ind w:firstLine="693"/>
        <w:spacing w:after="0" w:line="285"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decide all questions concerning the Plan and the eligibility of any person to participate in the Plan, and to designate each Eligible Executive as either a Tier 1 Executive, a Tier 2 Executive or a Tier 3 Executive;</w:t>
      </w:r>
    </w:p>
    <w:p>
      <w:pPr>
        <w:spacing w:after="0" w:line="168" w:lineRule="exact"/>
        <w:rPr>
          <w:rFonts w:ascii="Arial" w:cs="Arial" w:eastAsia="Arial" w:hAnsi="Arial"/>
          <w:sz w:val="22"/>
          <w:szCs w:val="22"/>
          <w:color w:val="auto"/>
        </w:rPr>
      </w:pPr>
    </w:p>
    <w:p>
      <w:pPr>
        <w:jc w:val="both"/>
        <w:ind w:firstLine="680"/>
        <w:spacing w:after="0" w:line="257"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make a determination as to the right of any person to a benefit under the Plan (including to determine whether and when there has been a termination of an Eligible Executive’s employment and the cause of such termination);</w:t>
      </w:r>
    </w:p>
    <w:p>
      <w:pPr>
        <w:spacing w:after="0" w:line="199" w:lineRule="exact"/>
        <w:rPr>
          <w:rFonts w:ascii="Arial" w:cs="Arial" w:eastAsia="Arial" w:hAnsi="Arial"/>
          <w:sz w:val="22"/>
          <w:szCs w:val="22"/>
          <w:color w:val="auto"/>
        </w:rPr>
      </w:pPr>
    </w:p>
    <w:p>
      <w:pPr>
        <w:ind w:firstLine="728"/>
        <w:spacing w:after="0" w:line="285"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appoint such agents, counsel, accountants, consultants, claims administrator and other persons as may be required to assist in administering the Plan;</w:t>
      </w:r>
    </w:p>
    <w:p>
      <w:pPr>
        <w:spacing w:after="0" w:line="168" w:lineRule="exact"/>
        <w:rPr>
          <w:rFonts w:ascii="Arial" w:cs="Arial" w:eastAsia="Arial" w:hAnsi="Arial"/>
          <w:sz w:val="22"/>
          <w:szCs w:val="22"/>
          <w:color w:val="auto"/>
        </w:rPr>
      </w:pPr>
    </w:p>
    <w:p>
      <w:pPr>
        <w:ind w:firstLine="680"/>
        <w:spacing w:after="0" w:line="272"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allocate and delegate its responsibilities under the Plan and to designate other persons to carry out any of its responsibilities under the Plan, any such allocation, delegation or designation to be in writing;</w:t>
      </w:r>
    </w:p>
    <w:p>
      <w:pPr>
        <w:spacing w:after="0" w:line="182" w:lineRule="exact"/>
        <w:rPr>
          <w:rFonts w:ascii="Arial" w:cs="Arial" w:eastAsia="Arial" w:hAnsi="Arial"/>
          <w:sz w:val="22"/>
          <w:szCs w:val="22"/>
          <w:color w:val="auto"/>
        </w:rPr>
      </w:pPr>
    </w:p>
    <w:p>
      <w:pPr>
        <w:ind w:left="1300" w:hanging="667"/>
        <w:spacing w:after="0"/>
        <w:tabs>
          <w:tab w:leader="none" w:pos="1300"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sue or cause suit to be brought in the name of the Plan; and</w:t>
      </w:r>
    </w:p>
    <w:p>
      <w:pPr>
        <w:spacing w:after="0" w:line="246" w:lineRule="exact"/>
        <w:rPr>
          <w:rFonts w:ascii="Arial" w:cs="Arial" w:eastAsia="Arial" w:hAnsi="Arial"/>
          <w:sz w:val="22"/>
          <w:szCs w:val="22"/>
          <w:color w:val="auto"/>
        </w:rPr>
      </w:pPr>
    </w:p>
    <w:p>
      <w:pPr>
        <w:ind w:firstLine="585"/>
        <w:spacing w:after="0" w:line="285" w:lineRule="auto"/>
        <w:tabs>
          <w:tab w:leader="none" w:pos="1296"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to obtain from the Company, its Affiliates and from Eligible Executives such information as is necessary for the proper administration of the Plan.</w:t>
      </w:r>
    </w:p>
    <w:p>
      <w:pPr>
        <w:spacing w:after="0" w:line="168" w:lineRule="exact"/>
        <w:rPr>
          <w:rFonts w:ascii="Arial" w:cs="Arial" w:eastAsia="Arial" w:hAnsi="Arial"/>
          <w:sz w:val="22"/>
          <w:szCs w:val="22"/>
          <w:color w:val="auto"/>
        </w:rPr>
      </w:pPr>
    </w:p>
    <w:p>
      <w:pPr>
        <w:jc w:val="both"/>
        <w:ind w:firstLine="656"/>
        <w:spacing w:after="0" w:line="250" w:lineRule="auto"/>
        <w:tabs>
          <w:tab w:leader="none" w:pos="1290" w:val="left"/>
        </w:tabs>
        <w:numPr>
          <w:ilvl w:val="1"/>
          <w:numId w:val="148"/>
        </w:numPr>
        <w:rPr>
          <w:rFonts w:ascii="Arial" w:cs="Arial" w:eastAsia="Arial" w:hAnsi="Arial"/>
          <w:sz w:val="22"/>
          <w:szCs w:val="22"/>
          <w:color w:val="auto"/>
        </w:rPr>
      </w:pPr>
      <w:r>
        <w:rPr>
          <w:rFonts w:ascii="Arial" w:cs="Arial" w:eastAsia="Arial" w:hAnsi="Arial"/>
          <w:sz w:val="22"/>
          <w:szCs w:val="22"/>
          <w:u w:val="single" w:color="auto"/>
          <w:color w:val="auto"/>
        </w:rPr>
        <w:t>Indemnification of the Committee</w:t>
      </w:r>
      <w:r>
        <w:rPr>
          <w:rFonts w:ascii="Arial" w:cs="Arial" w:eastAsia="Arial" w:hAnsi="Arial"/>
          <w:sz w:val="22"/>
          <w:szCs w:val="22"/>
          <w:color w:val="auto"/>
        </w:rPr>
        <w:t>. The Company shall, without limiting any rights that the Committee may have under the Company’s charter or bylaws, applicable law or otherwise, indemnify and hold harmless the Committee and each member thereof (and any other individual acting on behalf of the Committee or any member thereof) against any and all expenses and liabilities arising out of such person’s administrative functions or fiduciary responsibilities, excepting only expenses and liabilities arising out of the person’s own gross negligence or willful misconduct. Expenses against which such person shall be indemnified hereunder include the amounts of any settlement, judgment, attorneys’ fees, costs of court, and any other related charges reasonably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937" w:right="3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incurred in connection with a claim, proceeding, settlement, or other action under the Plan.</w:t>
      </w:r>
    </w:p>
    <w:p>
      <w:pPr>
        <w:spacing w:after="0" w:line="24" w:lineRule="exact"/>
        <w:rPr>
          <w:sz w:val="20"/>
          <w:szCs w:val="20"/>
          <w:color w:val="auto"/>
        </w:rPr>
      </w:pPr>
    </w:p>
    <w:p>
      <w:pPr>
        <w:jc w:val="both"/>
        <w:ind w:firstLine="656"/>
        <w:spacing w:after="0" w:line="249" w:lineRule="auto"/>
        <w:tabs>
          <w:tab w:leader="none" w:pos="1291" w:val="left"/>
        </w:tabs>
        <w:numPr>
          <w:ilvl w:val="1"/>
          <w:numId w:val="149"/>
        </w:numPr>
        <w:rPr>
          <w:rFonts w:ascii="Arial" w:cs="Arial" w:eastAsia="Arial" w:hAnsi="Arial"/>
          <w:sz w:val="22"/>
          <w:szCs w:val="22"/>
          <w:color w:val="auto"/>
        </w:rPr>
      </w:pPr>
      <w:r>
        <w:rPr>
          <w:rFonts w:ascii="Arial" w:cs="Arial" w:eastAsia="Arial" w:hAnsi="Arial"/>
          <w:sz w:val="22"/>
          <w:szCs w:val="22"/>
          <w:u w:val="single" w:color="auto"/>
          <w:color w:val="auto"/>
        </w:rPr>
        <w:t>Compensation and Expenses</w:t>
      </w:r>
      <w:r>
        <w:rPr>
          <w:rFonts w:ascii="Arial" w:cs="Arial" w:eastAsia="Arial" w:hAnsi="Arial"/>
          <w:sz w:val="22"/>
          <w:szCs w:val="22"/>
          <w:color w:val="auto"/>
        </w:rPr>
        <w:t>. The Committee shall not receive additional compensation with respect to services for the Plan. To the extent required by applicable law, but not otherwise, the Committee shall furnish bond or security for the performance of their duties hereunder. Any expenses properly incurred by the Committee incident to the administration, termination or protection of the Plan, including the cost of furnishing bond, shall be paid by the Company.</w:t>
      </w:r>
    </w:p>
    <w:p>
      <w:pPr>
        <w:spacing w:after="0" w:line="204" w:lineRule="exact"/>
        <w:rPr>
          <w:rFonts w:ascii="Arial" w:cs="Arial" w:eastAsia="Arial" w:hAnsi="Arial"/>
          <w:sz w:val="22"/>
          <w:szCs w:val="22"/>
          <w:color w:val="auto"/>
        </w:rPr>
      </w:pPr>
    </w:p>
    <w:p>
      <w:pPr>
        <w:jc w:val="both"/>
        <w:ind w:firstLine="413"/>
        <w:spacing w:after="0" w:line="263" w:lineRule="auto"/>
        <w:tabs>
          <w:tab w:leader="none" w:pos="639" w:val="left"/>
        </w:tabs>
        <w:numPr>
          <w:ilvl w:val="0"/>
          <w:numId w:val="150"/>
        </w:numPr>
        <w:rPr>
          <w:rFonts w:ascii="Arial" w:cs="Arial" w:eastAsia="Arial" w:hAnsi="Arial"/>
          <w:sz w:val="21"/>
          <w:szCs w:val="21"/>
          <w:color w:val="auto"/>
        </w:rPr>
      </w:pPr>
      <w:r>
        <w:rPr>
          <w:rFonts w:ascii="Arial" w:cs="Arial" w:eastAsia="Arial" w:hAnsi="Arial"/>
          <w:sz w:val="21"/>
          <w:szCs w:val="21"/>
          <w:b w:val="1"/>
          <w:bCs w:val="1"/>
          <w:u w:val="single" w:color="auto"/>
          <w:color w:val="auto"/>
        </w:rPr>
        <w:t>Eligibility</w:t>
      </w:r>
      <w:r>
        <w:rPr>
          <w:rFonts w:ascii="Arial" w:cs="Arial" w:eastAsia="Arial" w:hAnsi="Arial"/>
          <w:sz w:val="21"/>
          <w:szCs w:val="21"/>
          <w:color w:val="auto"/>
        </w:rPr>
        <w:t>. Only individuals who are Eligible Executives may participate in the Plan. The Committee has full</w:t>
      </w:r>
      <w:r>
        <w:rPr>
          <w:rFonts w:ascii="Arial" w:cs="Arial" w:eastAsia="Arial" w:hAnsi="Arial"/>
          <w:sz w:val="21"/>
          <w:szCs w:val="21"/>
          <w:b w:val="1"/>
          <w:bCs w:val="1"/>
          <w:color w:val="auto"/>
        </w:rPr>
        <w:t xml:space="preserve"> </w:t>
      </w:r>
      <w:r>
        <w:rPr>
          <w:rFonts w:ascii="Arial" w:cs="Arial" w:eastAsia="Arial" w:hAnsi="Arial"/>
          <w:sz w:val="21"/>
          <w:szCs w:val="21"/>
          <w:color w:val="auto"/>
        </w:rPr>
        <w:t>and absolute discretion to determine and select which employees of the Company and its Affiliates are Eligible Executives. Once an employee has been designated as an Eligible Executive, he or she shall automatically continue to be an Eligible Executive until he or she ceases to be an employee or is removed as an Eligible Executive by the Committee; provided, however, that if an employee is an Eligible Executive as of the date of a Change in Control, then he or she may not be removed as an Eligible Executive by the Committee during the 12 -month period following the date of such Change in Control. The Plan shall supersede all prior practices, policies, procedures and plans relating to severance benefits from the Company and its Affiliates with respect to the Eligible Executives.</w:t>
      </w:r>
    </w:p>
    <w:p>
      <w:pPr>
        <w:spacing w:after="0" w:line="205" w:lineRule="exact"/>
        <w:rPr>
          <w:rFonts w:ascii="Arial" w:cs="Arial" w:eastAsia="Arial" w:hAnsi="Arial"/>
          <w:sz w:val="21"/>
          <w:szCs w:val="21"/>
          <w:color w:val="auto"/>
        </w:rPr>
      </w:pPr>
    </w:p>
    <w:p>
      <w:pPr>
        <w:ind w:left="640" w:hanging="227"/>
        <w:spacing w:after="0"/>
        <w:tabs>
          <w:tab w:leader="none" w:pos="640" w:val="left"/>
        </w:tabs>
        <w:numPr>
          <w:ilvl w:val="0"/>
          <w:numId w:val="150"/>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Benefits</w:t>
      </w:r>
      <w:r>
        <w:rPr>
          <w:rFonts w:ascii="Arial" w:cs="Arial" w:eastAsia="Arial" w:hAnsi="Arial"/>
          <w:sz w:val="22"/>
          <w:szCs w:val="22"/>
          <w:color w:val="auto"/>
        </w:rPr>
        <w:t>.</w:t>
      </w:r>
    </w:p>
    <w:p>
      <w:pPr>
        <w:spacing w:after="0" w:line="248" w:lineRule="exact"/>
        <w:rPr>
          <w:rFonts w:ascii="Arial" w:cs="Arial" w:eastAsia="Arial" w:hAnsi="Arial"/>
          <w:sz w:val="22"/>
          <w:szCs w:val="22"/>
          <w:color w:val="auto"/>
        </w:rPr>
      </w:pPr>
    </w:p>
    <w:p>
      <w:pPr>
        <w:jc w:val="both"/>
        <w:ind w:firstLine="656"/>
        <w:spacing w:after="0" w:line="253" w:lineRule="auto"/>
        <w:tabs>
          <w:tab w:leader="none" w:pos="1290" w:val="left"/>
        </w:tabs>
        <w:numPr>
          <w:ilvl w:val="1"/>
          <w:numId w:val="150"/>
        </w:numPr>
        <w:rPr>
          <w:rFonts w:ascii="Arial" w:cs="Arial" w:eastAsia="Arial" w:hAnsi="Arial"/>
          <w:sz w:val="22"/>
          <w:szCs w:val="22"/>
          <w:color w:val="auto"/>
        </w:rPr>
      </w:pPr>
      <w:r>
        <w:rPr>
          <w:rFonts w:ascii="Arial" w:cs="Arial" w:eastAsia="Arial" w:hAnsi="Arial"/>
          <w:sz w:val="22"/>
          <w:szCs w:val="22"/>
          <w:u w:val="single" w:color="auto"/>
          <w:color w:val="auto"/>
        </w:rPr>
        <w:t>Qualifying Termination Outside of a Change in Control Protection Period</w:t>
      </w:r>
      <w:r>
        <w:rPr>
          <w:rFonts w:ascii="Arial" w:cs="Arial" w:eastAsia="Arial" w:hAnsi="Arial"/>
          <w:sz w:val="22"/>
          <w:szCs w:val="22"/>
          <w:color w:val="auto"/>
        </w:rPr>
        <w:t>. In the event an Eligible Executive’s employment with any member of the Company Group, ends due to a Qualifying Termination that occurs outside of a Change in Control Protection Period, such Eligible Executive shall be entitled to receive the Accrued Amounts, and so long as such Eligible Executive satisfies the Release Requirement and abides by the terms of Sections 8, 9, 10, 11 and 12 below, such Eligible Executive shall also be entitled to receive:</w:t>
      </w:r>
    </w:p>
    <w:p>
      <w:pPr>
        <w:spacing w:after="0" w:line="205" w:lineRule="exact"/>
        <w:rPr>
          <w:rFonts w:ascii="Arial" w:cs="Arial" w:eastAsia="Arial" w:hAnsi="Arial"/>
          <w:sz w:val="22"/>
          <w:szCs w:val="22"/>
          <w:color w:val="auto"/>
        </w:rPr>
      </w:pPr>
    </w:p>
    <w:p>
      <w:pPr>
        <w:jc w:val="both"/>
        <w:ind w:firstLine="788"/>
        <w:spacing w:after="0" w:line="247" w:lineRule="auto"/>
        <w:tabs>
          <w:tab w:leader="none" w:pos="1296" w:val="left"/>
        </w:tabs>
        <w:numPr>
          <w:ilvl w:val="2"/>
          <w:numId w:val="150"/>
        </w:numPr>
        <w:rPr>
          <w:rFonts w:ascii="Arial" w:cs="Arial" w:eastAsia="Arial" w:hAnsi="Arial"/>
          <w:sz w:val="22"/>
          <w:szCs w:val="22"/>
          <w:color w:val="auto"/>
        </w:rPr>
      </w:pPr>
      <w:r>
        <w:rPr>
          <w:rFonts w:ascii="Arial" w:cs="Arial" w:eastAsia="Arial" w:hAnsi="Arial"/>
          <w:sz w:val="22"/>
          <w:szCs w:val="22"/>
          <w:color w:val="auto"/>
        </w:rPr>
        <w:t>A cash severance payment in an amount equal to the Severance Amount, payable in substantially equal installments on the Company’s regular payroll schedule for the period commencing on the Eligible Executive’s Date of Termination and continuing until the expiration of the Eligible Executive’s Applicable Period; provided, however, that the payment of any Severance Amount that is otherwise due and payable to a Participant prior to date the Participant’s Release becomes final, binding and irrevocable shall be suspended and shall not be paid to the Eligible Executive until the Company’s first regularly scheduled pay date on or after the date that is 60 days after such Eligible Executive’s Date of Termination; provided, further, that to the extent, if any, that the aggregate amount of the installments of the Severance Amount that would otherwise be paid pursuant to this section after the Applicable March 15 exceeds the maximum exemption amount under Treasury Regulation Section 1.409A-1(b)(9)(iii)(A), then such excess shall be paid to the Eligible Executive in a lump sum on the Applicable March 15 (or the first business day preceding the Applicable March 15 if the Applicable March 15 is not a business day) and the installments of the Severance Amount payable after the Applicable March 15 shall be reduced by such excess (beginning with the installment first payable after the Applicable March 15 and continuing with the next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937" w:right="339" w:bottom="1440" w:gutter="0" w:footer="0" w:header="0"/>
        </w:sectPr>
      </w:pPr>
    </w:p>
    <w:bookmarkStart w:id="206" w:name="page207"/>
    <w:bookmarkEnd w:id="206"/>
    <w:p>
      <w:pPr>
        <w:jc w:val="both"/>
        <w:spacing w:after="0" w:line="265" w:lineRule="auto"/>
        <w:rPr>
          <w:sz w:val="20"/>
          <w:szCs w:val="20"/>
          <w:color w:val="auto"/>
        </w:rPr>
      </w:pPr>
      <w:r>
        <w:rPr>
          <w:rFonts w:ascii="Arial" w:cs="Arial" w:eastAsia="Arial" w:hAnsi="Arial"/>
          <w:sz w:val="21"/>
          <w:szCs w:val="21"/>
          <w:color w:val="auto"/>
        </w:rPr>
        <w:t>succeeding installment until the aggregate reduction equals such excess). Notwithstanding the foregoing, the Committee may, in its sole discretion, elect for the Company to pay an Eligible Executive’s Severance Amount under this Section 5(a)(i) in a lump sum cash payment on the Company’s first regularly scheduled pay date that is on or after the date that is 60 days after such Eligible Executive’s Date of Termination (and any election by the Committee for the Company to pay an Eligible Executive’s Severance Amount in a lump sum shall not be binding on the Committee, the Company or any of its Affiliates with respect to payments to any other Eligible Executive); and</w:t>
      </w:r>
    </w:p>
    <w:p>
      <w:pPr>
        <w:spacing w:after="0" w:line="196" w:lineRule="exact"/>
        <w:rPr>
          <w:sz w:val="20"/>
          <w:szCs w:val="20"/>
          <w:color w:val="auto"/>
        </w:rPr>
      </w:pPr>
    </w:p>
    <w:p>
      <w:pPr>
        <w:ind w:firstLine="741"/>
        <w:spacing w:after="0" w:line="296" w:lineRule="auto"/>
        <w:tabs>
          <w:tab w:leader="none" w:pos="1296" w:val="left"/>
        </w:tabs>
        <w:numPr>
          <w:ilvl w:val="1"/>
          <w:numId w:val="151"/>
        </w:numPr>
        <w:rPr>
          <w:rFonts w:ascii="Arial" w:cs="Arial" w:eastAsia="Arial" w:hAnsi="Arial"/>
          <w:sz w:val="21"/>
          <w:szCs w:val="21"/>
          <w:color w:val="auto"/>
        </w:rPr>
      </w:pPr>
      <w:r>
        <w:rPr>
          <w:rFonts w:ascii="Arial" w:cs="Arial" w:eastAsia="Arial" w:hAnsi="Arial"/>
          <w:sz w:val="21"/>
          <w:szCs w:val="21"/>
          <w:color w:val="auto"/>
        </w:rPr>
        <w:t>The Group Health Plan Amount, payable in a lump sum cash payment on the Company’s first regularly scheduled pay date that is on or after the date that is 60 days after such Eligible Executive’s Date of Termination.</w:t>
      </w:r>
    </w:p>
    <w:p>
      <w:pPr>
        <w:spacing w:after="0" w:line="173" w:lineRule="exact"/>
        <w:rPr>
          <w:rFonts w:ascii="Arial" w:cs="Arial" w:eastAsia="Arial" w:hAnsi="Arial"/>
          <w:sz w:val="21"/>
          <w:szCs w:val="21"/>
          <w:color w:val="auto"/>
        </w:rPr>
      </w:pPr>
    </w:p>
    <w:p>
      <w:pPr>
        <w:jc w:val="both"/>
        <w:ind w:firstLine="656"/>
        <w:spacing w:after="0" w:line="250" w:lineRule="auto"/>
        <w:tabs>
          <w:tab w:leader="none" w:pos="1290"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Qualifying Termination During a Change in Control Protection Period</w:t>
      </w:r>
      <w:r>
        <w:rPr>
          <w:rFonts w:ascii="Arial" w:cs="Arial" w:eastAsia="Arial" w:hAnsi="Arial"/>
          <w:sz w:val="22"/>
          <w:szCs w:val="22"/>
          <w:color w:val="auto"/>
        </w:rPr>
        <w:t>. In the event an Eligible Executive’s employment with any member of the Company Group, ends due to a Qualifying Termination that occurs during a Change in Control Protection Period, such Eligible Executive shall be entitled to receive the Accrued Amounts, and so long as such Eligible Executive satisfies the Release Requirement and abides by the terms of Sections 8, 9, 10, 11 and 12 below, such Eligible Executive shall also be entitled to receive:</w:t>
      </w:r>
    </w:p>
    <w:p>
      <w:pPr>
        <w:spacing w:after="0" w:line="207" w:lineRule="exact"/>
        <w:rPr>
          <w:rFonts w:ascii="Arial" w:cs="Arial" w:eastAsia="Arial" w:hAnsi="Arial"/>
          <w:sz w:val="22"/>
          <w:szCs w:val="22"/>
          <w:color w:val="auto"/>
        </w:rPr>
      </w:pPr>
    </w:p>
    <w:p>
      <w:pPr>
        <w:jc w:val="both"/>
        <w:ind w:firstLine="788"/>
        <w:spacing w:after="0" w:line="264" w:lineRule="auto"/>
        <w:tabs>
          <w:tab w:leader="none" w:pos="1296" w:val="left"/>
        </w:tabs>
        <w:numPr>
          <w:ilvl w:val="1"/>
          <w:numId w:val="152"/>
        </w:numPr>
        <w:rPr>
          <w:rFonts w:ascii="Arial" w:cs="Arial" w:eastAsia="Arial" w:hAnsi="Arial"/>
          <w:sz w:val="22"/>
          <w:szCs w:val="22"/>
          <w:color w:val="auto"/>
        </w:rPr>
      </w:pPr>
      <w:r>
        <w:rPr>
          <w:rFonts w:ascii="Arial" w:cs="Arial" w:eastAsia="Arial" w:hAnsi="Arial"/>
          <w:sz w:val="22"/>
          <w:szCs w:val="22"/>
          <w:color w:val="auto"/>
        </w:rPr>
        <w:t>A lump sum cash severance payment in an amount equal to the CIC Severance Amount, payable on the Company’s first regularly scheduled pay date that is on or after the date that is 60 days after such Eligible Executive’s Date of Termination; and</w:t>
      </w:r>
    </w:p>
    <w:p>
      <w:pPr>
        <w:spacing w:after="0" w:line="191" w:lineRule="exact"/>
        <w:rPr>
          <w:sz w:val="20"/>
          <w:szCs w:val="20"/>
          <w:color w:val="auto"/>
        </w:rPr>
      </w:pPr>
    </w:p>
    <w:p>
      <w:pPr>
        <w:ind w:firstLine="741"/>
        <w:spacing w:after="0" w:line="264" w:lineRule="auto"/>
        <w:tabs>
          <w:tab w:leader="none" w:pos="1296" w:val="left"/>
        </w:tabs>
        <w:numPr>
          <w:ilvl w:val="1"/>
          <w:numId w:val="153"/>
        </w:numPr>
        <w:rPr>
          <w:rFonts w:ascii="Arial" w:cs="Arial" w:eastAsia="Arial" w:hAnsi="Arial"/>
          <w:sz w:val="21"/>
          <w:szCs w:val="21"/>
          <w:color w:val="auto"/>
        </w:rPr>
      </w:pPr>
      <w:r>
        <w:rPr>
          <w:rFonts w:ascii="Arial" w:cs="Arial" w:eastAsia="Arial" w:hAnsi="Arial"/>
          <w:sz w:val="21"/>
          <w:szCs w:val="21"/>
          <w:color w:val="auto"/>
        </w:rPr>
        <w:t>The Group Health Plan Amount, payable in a lump sum cash payment on the Company’s first regularly scheduled pay date that is on or after the date that is 60 days after such Eligible Executive’s Date of Termination.</w:t>
      </w:r>
    </w:p>
    <w:p>
      <w:pPr>
        <w:spacing w:after="0" w:line="1" w:lineRule="exact"/>
        <w:rPr>
          <w:rFonts w:ascii="Arial" w:cs="Arial" w:eastAsia="Arial" w:hAnsi="Arial"/>
          <w:sz w:val="21"/>
          <w:szCs w:val="21"/>
          <w:color w:val="auto"/>
        </w:rPr>
      </w:pPr>
    </w:p>
    <w:p>
      <w:pPr>
        <w:spacing w:after="0" w:line="266" w:lineRule="auto"/>
        <w:rPr>
          <w:rFonts w:ascii="Arial" w:cs="Arial" w:eastAsia="Arial" w:hAnsi="Arial"/>
          <w:sz w:val="21"/>
          <w:szCs w:val="21"/>
          <w:color w:val="auto"/>
        </w:rPr>
      </w:pPr>
      <w:r>
        <w:rPr>
          <w:rFonts w:ascii="Arial" w:cs="Arial" w:eastAsia="Arial" w:hAnsi="Arial"/>
          <w:sz w:val="22"/>
          <w:szCs w:val="22"/>
          <w:color w:val="auto"/>
        </w:rPr>
        <w:t>For clarity, all outstanding equity incentive awards then held by such Eligible Executive, pursuant to the LTIP or otherwise, will be treated in accordance with the award agreement applicable to such award.</w:t>
      </w:r>
    </w:p>
    <w:p>
      <w:pPr>
        <w:spacing w:after="0" w:line="188" w:lineRule="exact"/>
        <w:rPr>
          <w:rFonts w:ascii="Arial" w:cs="Arial" w:eastAsia="Arial" w:hAnsi="Arial"/>
          <w:sz w:val="21"/>
          <w:szCs w:val="21"/>
          <w:color w:val="auto"/>
        </w:rPr>
      </w:pPr>
    </w:p>
    <w:p>
      <w:pPr>
        <w:jc w:val="both"/>
        <w:ind w:firstLine="760"/>
        <w:spacing w:after="0" w:line="253" w:lineRule="auto"/>
        <w:tabs>
          <w:tab w:leader="none" w:pos="1287" w:val="left"/>
        </w:tabs>
        <w:numPr>
          <w:ilvl w:val="2"/>
          <w:numId w:val="153"/>
        </w:numPr>
        <w:rPr>
          <w:rFonts w:ascii="Arial" w:cs="Arial" w:eastAsia="Arial" w:hAnsi="Arial"/>
          <w:sz w:val="22"/>
          <w:szCs w:val="22"/>
          <w:color w:val="auto"/>
        </w:rPr>
      </w:pPr>
      <w:r>
        <w:rPr>
          <w:rFonts w:ascii="Arial" w:cs="Arial" w:eastAsia="Arial" w:hAnsi="Arial"/>
          <w:sz w:val="22"/>
          <w:szCs w:val="22"/>
          <w:u w:val="single" w:color="auto"/>
          <w:color w:val="auto"/>
        </w:rPr>
        <w:t>Non-Qualifying Terminations of Employment</w:t>
      </w:r>
      <w:r>
        <w:rPr>
          <w:rFonts w:ascii="Arial" w:cs="Arial" w:eastAsia="Arial" w:hAnsi="Arial"/>
          <w:sz w:val="22"/>
          <w:szCs w:val="22"/>
          <w:color w:val="auto"/>
        </w:rPr>
        <w:t>. In the event that an Eligible Executive’s employment with any member of the Company Group terminates other than pursuant to a Qualifying Termination, including as a result of death or Disability, then all compensation and benefits to such Eligible Executive shall terminate contemporaneously with such termination of employment, except that such Eligible Executive shall be entitled to the Accrued Amounts.</w:t>
      </w:r>
    </w:p>
    <w:p>
      <w:pPr>
        <w:spacing w:after="0" w:line="205" w:lineRule="exact"/>
        <w:rPr>
          <w:rFonts w:ascii="Arial" w:cs="Arial" w:eastAsia="Arial" w:hAnsi="Arial"/>
          <w:sz w:val="22"/>
          <w:szCs w:val="22"/>
          <w:color w:val="auto"/>
        </w:rPr>
      </w:pPr>
    </w:p>
    <w:p>
      <w:pPr>
        <w:jc w:val="both"/>
        <w:ind w:firstLine="656"/>
        <w:spacing w:after="0" w:line="265" w:lineRule="auto"/>
        <w:tabs>
          <w:tab w:leader="none" w:pos="1290" w:val="left"/>
        </w:tabs>
        <w:numPr>
          <w:ilvl w:val="0"/>
          <w:numId w:val="154"/>
        </w:numPr>
        <w:rPr>
          <w:rFonts w:ascii="Arial" w:cs="Arial" w:eastAsia="Arial" w:hAnsi="Arial"/>
          <w:sz w:val="21"/>
          <w:szCs w:val="21"/>
          <w:color w:val="auto"/>
        </w:rPr>
      </w:pPr>
      <w:r>
        <w:rPr>
          <w:rFonts w:ascii="Arial" w:cs="Arial" w:eastAsia="Arial" w:hAnsi="Arial"/>
          <w:sz w:val="21"/>
          <w:szCs w:val="21"/>
          <w:u w:val="single" w:color="auto"/>
          <w:color w:val="auto"/>
        </w:rPr>
        <w:t>After-Acquired Evidence</w:t>
      </w:r>
      <w:r>
        <w:rPr>
          <w:rFonts w:ascii="Arial" w:cs="Arial" w:eastAsia="Arial" w:hAnsi="Arial"/>
          <w:sz w:val="21"/>
          <w:szCs w:val="21"/>
          <w:color w:val="auto"/>
        </w:rPr>
        <w:t>. Notwithstanding any provision of the Plan to the contrary, in the event that the Company determines that an Eligible Executive is eligible to receive the Severance Amount and other severance benefits pursuant to Section 5(a) or Section 5(b) but, after such determination, the Company subsequently acquires evidence or determines that: (i) such Eligible Executive has failed to abide by the terms of Sections 8, 9, 10, 11 or 12; or (ii) a Cause condition existed prior to the Date of Termination that, had the Company been fully aware of such condition, would have given the Company the right to terminate such Eligible Executive’s employment for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937" w:right="339" w:bottom="1440" w:gutter="0" w:footer="0" w:header="0"/>
        </w:sectPr>
      </w:pPr>
    </w:p>
    <w:bookmarkStart w:id="207" w:name="page208"/>
    <w:bookmarkEnd w:id="207"/>
    <w:p>
      <w:pPr>
        <w:jc w:val="both"/>
        <w:spacing w:after="0" w:line="253" w:lineRule="auto"/>
        <w:rPr>
          <w:sz w:val="20"/>
          <w:szCs w:val="20"/>
          <w:color w:val="auto"/>
        </w:rPr>
      </w:pPr>
      <w:r>
        <w:rPr>
          <w:rFonts w:ascii="Arial" w:cs="Arial" w:eastAsia="Arial" w:hAnsi="Arial"/>
          <w:sz w:val="22"/>
          <w:szCs w:val="22"/>
          <w:color w:val="auto"/>
        </w:rPr>
        <w:t>Cause, then the Company shall have the right to cease the payment of the Severance Amount and to cease providing any other severance benefits under Section 5(a) or Section 5(b), and such Eligible Executive shall promptly return to the Company any payment of the Severance Amount and any other severance benefits received by such Eligible Executive prior to the date that the Company determines that the conditions of this Section 5(d) have been satisfied.</w:t>
      </w:r>
    </w:p>
    <w:p>
      <w:pPr>
        <w:spacing w:after="0" w:line="204" w:lineRule="exact"/>
        <w:rPr>
          <w:sz w:val="20"/>
          <w:szCs w:val="20"/>
          <w:color w:val="auto"/>
        </w:rPr>
      </w:pPr>
    </w:p>
    <w:p>
      <w:pPr>
        <w:jc w:val="both"/>
        <w:ind w:firstLine="413"/>
        <w:spacing w:after="0" w:line="257" w:lineRule="auto"/>
        <w:tabs>
          <w:tab w:leader="none" w:pos="639"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In the event that the acquiring entity in a Change in Control does not assume the</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 equity incentives then held by such Eligible Executive pursuant to the LTIP or otherwise, then such awards will vest as of the Change in Control with the achievement of performance-based vesting conditions determined by the award agreement applicable to such award.</w:t>
      </w:r>
    </w:p>
    <w:p>
      <w:pPr>
        <w:spacing w:after="0" w:line="198" w:lineRule="exact"/>
        <w:rPr>
          <w:rFonts w:ascii="Arial" w:cs="Arial" w:eastAsia="Arial" w:hAnsi="Arial"/>
          <w:sz w:val="22"/>
          <w:szCs w:val="22"/>
          <w:color w:val="auto"/>
        </w:rPr>
      </w:pPr>
    </w:p>
    <w:p>
      <w:pPr>
        <w:jc w:val="both"/>
        <w:ind w:firstLine="413"/>
        <w:spacing w:after="0" w:line="247" w:lineRule="auto"/>
        <w:tabs>
          <w:tab w:leader="none" w:pos="639"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Certain Excise Taxes</w:t>
      </w:r>
      <w:r>
        <w:rPr>
          <w:rFonts w:ascii="Arial" w:cs="Arial" w:eastAsia="Arial" w:hAnsi="Arial"/>
          <w:sz w:val="22"/>
          <w:szCs w:val="22"/>
          <w:color w:val="auto"/>
        </w:rPr>
        <w:t>. Notwithstanding anything to the contrary in the Plan, if an Eligible Executive is a</w:t>
      </w:r>
      <w:r>
        <w:rPr>
          <w:rFonts w:ascii="Arial" w:cs="Arial" w:eastAsia="Arial" w:hAnsi="Arial"/>
          <w:sz w:val="22"/>
          <w:szCs w:val="22"/>
          <w:b w:val="1"/>
          <w:bCs w:val="1"/>
          <w:color w:val="auto"/>
        </w:rPr>
        <w:t xml:space="preserve"> </w:t>
      </w:r>
      <w:r>
        <w:rPr>
          <w:rFonts w:ascii="Arial" w:cs="Arial" w:eastAsia="Arial" w:hAnsi="Arial"/>
          <w:sz w:val="22"/>
          <w:szCs w:val="22"/>
          <w:color w:val="auto"/>
        </w:rPr>
        <w:t>“disqualified individual” (as defined in Section 280G(c) of the Code), and the payments and benefits provided for in the Plan, together with any other payments and benefits which such Eligible Executive has the right to receive from the Company or any of its Affiliates, would constitute a “parachute payment” (as defined in Section 280G(b)(2) of the Code), then the payments and benefits provided for in the Plan shall be either (a) reduced (but not below zero) so that the present value of such total amounts and benefits received by such Eligible Executive from the Company and its Affiliates will be one dollar ($1.00) less than three times such Eligible Executive’s “base amount” (as defined in Section 280G(b)(3) of the Code) and so that no portion of such amounts and benefits received by such Eligible Executive shall be subject to the excise tax imposed by Section 4999 of the Code or (b) paid in full, whichever produces the better net after-tax position to such Eligible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such Eligible Executive’s base amount, then such Eligible Executive shall immediately repay such excess to the Company upon notification that an overpayment has been made. Nothing in this Section 6 shall require the Company to be responsible for, or have any liability or obligation with respect to, such Eligible Executives’ excise tax liabilities under Section 4999 of the Code.</w:t>
      </w:r>
    </w:p>
    <w:p>
      <w:pPr>
        <w:spacing w:after="0" w:line="208" w:lineRule="exact"/>
        <w:rPr>
          <w:rFonts w:ascii="Arial" w:cs="Arial" w:eastAsia="Arial" w:hAnsi="Arial"/>
          <w:sz w:val="22"/>
          <w:szCs w:val="22"/>
          <w:color w:val="auto"/>
        </w:rPr>
      </w:pPr>
    </w:p>
    <w:p>
      <w:pPr>
        <w:jc w:val="both"/>
        <w:ind w:firstLine="413"/>
        <w:spacing w:after="0" w:line="258" w:lineRule="auto"/>
        <w:tabs>
          <w:tab w:leader="none" w:pos="639" w:val="left"/>
        </w:tabs>
        <w:numPr>
          <w:ilvl w:val="0"/>
          <w:numId w:val="155"/>
        </w:numPr>
        <w:rPr>
          <w:rFonts w:ascii="Arial" w:cs="Arial" w:eastAsia="Arial" w:hAnsi="Arial"/>
          <w:sz w:val="22"/>
          <w:szCs w:val="22"/>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 During the period in which an Eligible Executive participates in the Plan, the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shall be provided with, and will have access to, Confidential Information. In consideration of such Eligible Executive’s receipt of Confidential Information and access to such Confidential Information and in exchange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937" w:right="339" w:bottom="1440" w:gutter="0" w:footer="0" w:header="0"/>
        </w:sectPr>
      </w:pPr>
    </w:p>
    <w:bookmarkStart w:id="208" w:name="page209"/>
    <w:bookmarkEnd w:id="208"/>
    <w:p>
      <w:pPr>
        <w:spacing w:after="0" w:line="272" w:lineRule="auto"/>
        <w:rPr>
          <w:sz w:val="20"/>
          <w:szCs w:val="20"/>
          <w:color w:val="auto"/>
        </w:rPr>
      </w:pPr>
      <w:r>
        <w:rPr>
          <w:rFonts w:ascii="Arial" w:cs="Arial" w:eastAsia="Arial" w:hAnsi="Arial"/>
          <w:sz w:val="22"/>
          <w:szCs w:val="22"/>
          <w:color w:val="auto"/>
        </w:rPr>
        <w:t>for other valuable consideration provided hereunder, and as a condition to participation in the Plan, each Eligible Executive shall be subject to the covenants and restrictions in this Section 8 and in Sections 9, 10, 11, 12 and 13.</w:t>
      </w:r>
    </w:p>
    <w:p>
      <w:pPr>
        <w:spacing w:after="0" w:line="183" w:lineRule="exact"/>
        <w:rPr>
          <w:sz w:val="20"/>
          <w:szCs w:val="20"/>
          <w:color w:val="auto"/>
        </w:rPr>
      </w:pPr>
    </w:p>
    <w:p>
      <w:pPr>
        <w:jc w:val="both"/>
        <w:ind w:firstLine="656"/>
        <w:spacing w:after="0" w:line="248" w:lineRule="auto"/>
        <w:tabs>
          <w:tab w:leader="none" w:pos="129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In General</w:t>
      </w:r>
      <w:r>
        <w:rPr>
          <w:rFonts w:ascii="Arial" w:cs="Arial" w:eastAsia="Arial" w:hAnsi="Arial"/>
          <w:sz w:val="22"/>
          <w:szCs w:val="22"/>
          <w:color w:val="auto"/>
        </w:rPr>
        <w:t>. Both during the period in which an Eligible Executive is employed by or affiliated with the Company and thereafter, except as expressly permitted by the Plan or by directive of the Board, the Eligible Executive shall not disclose any Confidential Information to any person or entity and shall not use any Confidential Information except for the benefit of the Company Group. Each Eligible Executive acknowledges and agrees that such Eligible Executive would inevitably use and disclose Confidential Information in violation of this Section 8 if such Eligible Executive were to violate any of the covenants set forth in Section 9. Each Eligible Executive shall follow all Company policies and protocols regarding the physical security of all documents and other materials containing Confidential Information (regardless of the medium on which Confidential Information is stored). The covenants of this Section 8(a) shall apply to all Confidential Information, whether now known or later to become known to an Eligible Executive during the period that such Eligible Executive is employed by or affiliated with the Company or any other member of the Company Group.</w:t>
      </w:r>
    </w:p>
    <w:p>
      <w:pPr>
        <w:spacing w:after="0" w:line="216" w:lineRule="exact"/>
        <w:rPr>
          <w:rFonts w:ascii="Arial" w:cs="Arial" w:eastAsia="Arial" w:hAnsi="Arial"/>
          <w:sz w:val="22"/>
          <w:szCs w:val="22"/>
          <w:color w:val="auto"/>
        </w:rPr>
      </w:pPr>
    </w:p>
    <w:p>
      <w:pPr>
        <w:jc w:val="both"/>
        <w:ind w:firstLine="656"/>
        <w:spacing w:after="0" w:line="250" w:lineRule="auto"/>
        <w:tabs>
          <w:tab w:leader="none" w:pos="129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Permitted Disclosures</w:t>
      </w:r>
      <w:r>
        <w:rPr>
          <w:rFonts w:ascii="Arial" w:cs="Arial" w:eastAsia="Arial" w:hAnsi="Arial"/>
          <w:sz w:val="22"/>
          <w:szCs w:val="22"/>
          <w:color w:val="auto"/>
        </w:rPr>
        <w:t>. Notwithstanding any provision of Section 8(a) to the contrary, an Eligible Executive may make the following disclosures and uses of Confidential Information: (i) disclosures to other employees of the Company Group who have a need to know the information in connection with the businesses of the Company Group; (ii) disclosures to customers and suppliers when, in the reasonable and good faith belief of the Eligible Executive, such disclosure is in connection with the Eligible Executive’s performance of his or her duties for the Company and is in the best interests of the Company; (iii) disclosures and uses that are approved in writing by the Company; or (iv) disclosures to a person or entity that has (A) been retained by a member of the Company Group to provide services to one or more members of the Company Group and (B) agreed in writing to abide by the terms of a confidentiality agreement.</w:t>
      </w:r>
    </w:p>
    <w:p>
      <w:pPr>
        <w:spacing w:after="0" w:line="206"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Upon the termination of the Eligible Executive’s employment with any member of the Company Group and at any other time upon request of the Company, an Eligible Executive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the Eligible Executive’s possession, custody or control and the Eligible Executive shall not retain any such documents or other materials or property of the Company Group. Within 10 days of any such request, the Eligible Executive shall certify to the Company in writing that all such documents, materials and property have been returned to the Company.</w:t>
      </w:r>
    </w:p>
    <w:p>
      <w:pPr>
        <w:spacing w:after="0" w:line="206" w:lineRule="exact"/>
        <w:rPr>
          <w:rFonts w:ascii="Arial" w:cs="Arial" w:eastAsia="Arial" w:hAnsi="Arial"/>
          <w:sz w:val="22"/>
          <w:szCs w:val="22"/>
          <w:color w:val="auto"/>
        </w:rPr>
      </w:pPr>
    </w:p>
    <w:p>
      <w:pPr>
        <w:jc w:val="both"/>
        <w:ind w:firstLine="656"/>
        <w:spacing w:after="0" w:line="257" w:lineRule="auto"/>
        <w:tabs>
          <w:tab w:leader="none" w:pos="129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Additional Permitted Disclosures</w:t>
      </w:r>
      <w:r>
        <w:rPr>
          <w:rFonts w:ascii="Arial" w:cs="Arial" w:eastAsia="Arial" w:hAnsi="Arial"/>
          <w:sz w:val="22"/>
          <w:szCs w:val="22"/>
          <w:color w:val="auto"/>
        </w:rPr>
        <w:t>. Nothing in the Plan (whether in this Section 8 or otherwise) shall prohibit or restrict an Eligible Executive from lawfully (i) initiating communications directly with, cooperating with, providing information to, causing information to be provided to, or otherwise assisting in an investigation by any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937" w:right="339" w:bottom="1440" w:gutter="0" w:footer="0" w:header="0"/>
        </w:sectPr>
      </w:pPr>
    </w:p>
    <w:bookmarkStart w:id="209" w:name="page210"/>
    <w:bookmarkEnd w:id="209"/>
    <w:p>
      <w:pPr>
        <w:jc w:val="both"/>
        <w:spacing w:after="0" w:line="247" w:lineRule="auto"/>
        <w:rPr>
          <w:sz w:val="20"/>
          <w:szCs w:val="20"/>
          <w:color w:val="auto"/>
        </w:rPr>
      </w:pPr>
      <w:r>
        <w:rPr>
          <w:rFonts w:ascii="Arial" w:cs="Arial" w:eastAsia="Arial" w:hAnsi="Arial"/>
          <w:sz w:val="22"/>
          <w:szCs w:val="22"/>
          <w:color w:val="auto"/>
        </w:rPr>
        <w:t>governmental or regulatory agency, entity, or official(s) (collectively, “</w:t>
      </w:r>
      <w:r>
        <w:rPr>
          <w:rFonts w:ascii="Arial" w:cs="Arial" w:eastAsia="Arial" w:hAnsi="Arial"/>
          <w:sz w:val="22"/>
          <w:szCs w:val="22"/>
          <w:i w:val="1"/>
          <w:iCs w:val="1"/>
          <w:color w:val="auto"/>
        </w:rPr>
        <w:t>Governmental Authorities</w:t>
      </w:r>
      <w:r>
        <w:rPr>
          <w:rFonts w:ascii="Arial" w:cs="Arial" w:eastAsia="Arial" w:hAnsi="Arial"/>
          <w:sz w:val="22"/>
          <w:szCs w:val="22"/>
          <w:color w:val="auto"/>
        </w:rPr>
        <w:t>”) regarding a possible violation of any law; (ii) responding to any inquiry or legal process directed to such Eligible Executive individually from any such Governmental Authorities; (iii) testifying, participating or otherwise assisting in an action or proceeding by any such Governmental Authorities relating to a possible violation of law; (iv) making any other disclosures that are protected under the whistleblower provisions of any applicable law; or (v) making disclosures to such Eligible Executive’s retained attorneys for the purposes of seeking legal advice as to such Eligible Executive’s rights and obligations under the Plan and/or relating to legal recourse for possible violations of the Plan or any law by the Company. Additionally, pursuant to the federal Defend Trade Secrets Act of 2016, an Eligible Executive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(B) is made to such Eligible Executive’s attorney in relation to a lawsuit for retaliation against such Eligible Executive for reporting a suspected violation of law; or (C) is made in a complaint or other document filed in a lawsuit or other proceeding, if such filing is made under seal. Nor does the Plan require an Eligible Executive to obtain prior authorization from any member of the Company Group before engaging in any conduct described in this Section 8(d), or to notify any member of the Company Group that such Eligible Executive has engaged in any such conduct.</w:t>
      </w:r>
    </w:p>
    <w:p>
      <w:pPr>
        <w:spacing w:after="0" w:line="220" w:lineRule="exact"/>
        <w:rPr>
          <w:sz w:val="20"/>
          <w:szCs w:val="20"/>
          <w:color w:val="auto"/>
        </w:rPr>
      </w:pPr>
    </w:p>
    <w:p>
      <w:pPr>
        <w:ind w:left="640" w:hanging="227"/>
        <w:spacing w:after="0"/>
        <w:tabs>
          <w:tab w:leader="none" w:pos="640" w:val="left"/>
        </w:tabs>
        <w:numPr>
          <w:ilvl w:val="0"/>
          <w:numId w:val="157"/>
        </w:numPr>
        <w:rPr>
          <w:rFonts w:ascii="Arial" w:cs="Arial" w:eastAsia="Arial" w:hAnsi="Arial"/>
          <w:sz w:val="22"/>
          <w:szCs w:val="22"/>
          <w:color w:val="auto"/>
        </w:rPr>
      </w:pPr>
      <w:r>
        <w:rPr>
          <w:rFonts w:ascii="Arial" w:cs="Arial" w:eastAsia="Arial" w:hAnsi="Arial"/>
          <w:sz w:val="22"/>
          <w:szCs w:val="22"/>
          <w:b w:val="1"/>
          <w:bCs w:val="1"/>
          <w:u w:val="single" w:color="auto"/>
          <w:color w:val="auto"/>
        </w:rPr>
        <w:t>Non-Solicitation</w:t>
      </w:r>
      <w:r>
        <w:rPr>
          <w:rFonts w:ascii="Arial" w:cs="Arial" w:eastAsia="Arial" w:hAnsi="Arial"/>
          <w:sz w:val="22"/>
          <w:szCs w:val="22"/>
          <w:color w:val="auto"/>
        </w:rPr>
        <w:t>.</w:t>
      </w:r>
    </w:p>
    <w:p>
      <w:pPr>
        <w:spacing w:after="0" w:line="248" w:lineRule="exact"/>
        <w:rPr>
          <w:rFonts w:ascii="Arial" w:cs="Arial" w:eastAsia="Arial" w:hAnsi="Arial"/>
          <w:sz w:val="22"/>
          <w:szCs w:val="22"/>
          <w:color w:val="auto"/>
        </w:rPr>
      </w:pPr>
    </w:p>
    <w:p>
      <w:pPr>
        <w:jc w:val="both"/>
        <w:ind w:firstLine="656"/>
        <w:spacing w:after="0" w:line="248" w:lineRule="auto"/>
        <w:tabs>
          <w:tab w:leader="none" w:pos="1290" w:val="left"/>
        </w:tabs>
        <w:numPr>
          <w:ilvl w:val="1"/>
          <w:numId w:val="157"/>
        </w:numPr>
        <w:rPr>
          <w:rFonts w:ascii="Arial" w:cs="Arial" w:eastAsia="Arial" w:hAnsi="Arial"/>
          <w:sz w:val="22"/>
          <w:szCs w:val="22"/>
          <w:color w:val="auto"/>
        </w:rPr>
      </w:pPr>
      <w:r>
        <w:rPr>
          <w:rFonts w:ascii="Arial" w:cs="Arial" w:eastAsia="Arial" w:hAnsi="Arial"/>
          <w:sz w:val="22"/>
          <w:szCs w:val="22"/>
          <w:u w:val="single" w:color="auto"/>
          <w:color w:val="auto"/>
        </w:rPr>
        <w:t>Access to Confidential Information and Development of Goodwill</w:t>
      </w:r>
      <w:r>
        <w:rPr>
          <w:rFonts w:ascii="Arial" w:cs="Arial" w:eastAsia="Arial" w:hAnsi="Arial"/>
          <w:sz w:val="22"/>
          <w:szCs w:val="22"/>
          <w:color w:val="auto"/>
        </w:rPr>
        <w:t>. The Company shall provide each Eligible Executive access to Confidential Information for use only during the period during which such Eligible Executive is employed by any member of the Company Group, and each Eligible Executive acknowledges and agrees that the Company will be entrusting the Eligible Executive, in his unique and special capacity, with developing the goodwill of the Company, and in consideration thereof and in consideration of the Company providing the Eligible Executive with access to Confidential Information and as an express incentive for the Company to allow the Eligible Executive to participate in the Plan, the Eligible Executive has voluntarily agreed to the covenants set forth in this Section 9. Each Eligible Executive further agrees and acknowledges that the limitations and restrictions set forth herein are reasonable in all respects and not oppressive, will not cause the Eligible Executive undue hardship, and are material and substantial parts of the Plan intended and necessary to protect the Confidential Information, goodwill and substantial and legitimate business interests.</w:t>
      </w:r>
    </w:p>
    <w:p>
      <w:pPr>
        <w:spacing w:after="0" w:line="216" w:lineRule="exact"/>
        <w:rPr>
          <w:rFonts w:ascii="Arial" w:cs="Arial" w:eastAsia="Arial" w:hAnsi="Arial"/>
          <w:sz w:val="22"/>
          <w:szCs w:val="22"/>
          <w:color w:val="auto"/>
        </w:rPr>
      </w:pPr>
    </w:p>
    <w:p>
      <w:pPr>
        <w:jc w:val="both"/>
        <w:ind w:firstLine="656"/>
        <w:spacing w:after="0" w:line="251" w:lineRule="auto"/>
        <w:tabs>
          <w:tab w:leader="none" w:pos="1290" w:val="left"/>
        </w:tabs>
        <w:numPr>
          <w:ilvl w:val="1"/>
          <w:numId w:val="157"/>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During the Prohibited Period, an Eligible Executive shall not (i) directly solicit goods, services or a combination of goods and services from any “Established Customers” of the Company or (ii) directly or indirectly induce or attempt to induce any executive, employee or independent contractor of the Company Group to terminate his/her employment relationship with any member of the Company Group to go to work for any other company or third party. For purposes of the Plan, “</w:t>
      </w:r>
      <w:r>
        <w:rPr>
          <w:rFonts w:ascii="Arial" w:cs="Arial" w:eastAsia="Arial" w:hAnsi="Arial"/>
          <w:sz w:val="22"/>
          <w:szCs w:val="22"/>
          <w:i w:val="1"/>
          <w:iCs w:val="1"/>
          <w:color w:val="auto"/>
        </w:rPr>
        <w:t>Established Customer</w:t>
      </w:r>
      <w:r>
        <w:rPr>
          <w:rFonts w:ascii="Arial" w:cs="Arial" w:eastAsia="Arial" w:hAnsi="Arial"/>
          <w:sz w:val="22"/>
          <w:szCs w:val="22"/>
          <w:color w:val="auto"/>
        </w:rPr>
        <w:t>” means a customer, regardless of location, of the Company as of the date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937" w:right="339" w:bottom="1440" w:gutter="0" w:footer="0" w:header="0"/>
        </w:sectPr>
      </w:pPr>
    </w:p>
    <w:bookmarkStart w:id="210" w:name="page211"/>
    <w:bookmarkEnd w:id="210"/>
    <w:p>
      <w:pPr>
        <w:spacing w:after="0" w:line="272" w:lineRule="auto"/>
        <w:rPr>
          <w:sz w:val="20"/>
          <w:szCs w:val="20"/>
          <w:color w:val="auto"/>
        </w:rPr>
      </w:pPr>
      <w:r>
        <w:rPr>
          <w:rFonts w:ascii="Arial" w:cs="Arial" w:eastAsia="Arial" w:hAnsi="Arial"/>
          <w:sz w:val="22"/>
          <w:szCs w:val="22"/>
          <w:color w:val="auto"/>
        </w:rPr>
        <w:t>Executive's employment terminates who continues to be a customer or who the Company reasonably anticipates will continue to be a customer.</w:t>
      </w:r>
    </w:p>
    <w:p>
      <w:pPr>
        <w:spacing w:after="0" w:line="183" w:lineRule="exact"/>
        <w:rPr>
          <w:sz w:val="20"/>
          <w:szCs w:val="20"/>
          <w:color w:val="auto"/>
        </w:rPr>
      </w:pPr>
    </w:p>
    <w:p>
      <w:pPr>
        <w:jc w:val="both"/>
        <w:ind w:firstLine="656"/>
        <w:spacing w:after="0" w:line="249" w:lineRule="auto"/>
        <w:tabs>
          <w:tab w:leader="none" w:pos="1291" w:val="left"/>
        </w:tabs>
        <w:numPr>
          <w:ilvl w:val="1"/>
          <w:numId w:val="158"/>
        </w:numPr>
        <w:rPr>
          <w:rFonts w:ascii="Arial" w:cs="Arial" w:eastAsia="Arial" w:hAnsi="Arial"/>
          <w:sz w:val="22"/>
          <w:szCs w:val="22"/>
          <w:color w:val="auto"/>
        </w:rPr>
      </w:pPr>
      <w:r>
        <w:rPr>
          <w:rFonts w:ascii="Arial" w:cs="Arial" w:eastAsia="Arial" w:hAnsi="Arial"/>
          <w:sz w:val="22"/>
          <w:szCs w:val="22"/>
          <w:u w:val="single" w:color="auto"/>
          <w:color w:val="auto"/>
        </w:rPr>
        <w:t>Enforcement</w:t>
      </w:r>
      <w:r>
        <w:rPr>
          <w:rFonts w:ascii="Arial" w:cs="Arial" w:eastAsia="Arial" w:hAnsi="Arial"/>
          <w:sz w:val="22"/>
          <w:szCs w:val="22"/>
          <w:color w:val="auto"/>
        </w:rPr>
        <w:t>. Because of the difficulty of measuring economic losses to the Company Group as a result of a breach or threatened breach of the covenants set forth in Section 8 and this Section 9, and because of the immediate and irreparable damage that would be caused to members of the Company Group for which they would have no other adequate remedy, the Company and each other member of the Company Group shall be entitled to enforce the foregoing covenants, in the event of a breach or threatened breach, by injunctions and restraining orders from any court of competent jurisdiction, without the necessity of showing any actual damages or that money damages would not afford an adequate remedy, and without the necessity of posting any bond or other security. The aforementioned equitable relief shall not be the Company’s or any other member of the Company Group’s exclusive remedy for a breach but instead shall be in addition to all other rights and remedies available to the Company and each other member of the Company Group at law and equity.</w:t>
      </w:r>
    </w:p>
    <w:p>
      <w:pPr>
        <w:spacing w:after="0" w:line="208" w:lineRule="exact"/>
        <w:rPr>
          <w:rFonts w:ascii="Arial" w:cs="Arial" w:eastAsia="Arial" w:hAnsi="Arial"/>
          <w:sz w:val="22"/>
          <w:szCs w:val="22"/>
          <w:color w:val="auto"/>
        </w:rPr>
      </w:pPr>
    </w:p>
    <w:p>
      <w:pPr>
        <w:jc w:val="both"/>
        <w:ind w:firstLine="413"/>
        <w:spacing w:after="0" w:line="259" w:lineRule="auto"/>
        <w:tabs>
          <w:tab w:leader="none" w:pos="1286" w:val="left"/>
        </w:tabs>
        <w:numPr>
          <w:ilvl w:val="0"/>
          <w:numId w:val="159"/>
        </w:numPr>
        <w:rPr>
          <w:rFonts w:ascii="Arial" w:cs="Arial" w:eastAsia="Arial" w:hAnsi="Arial"/>
          <w:sz w:val="21"/>
          <w:szCs w:val="21"/>
          <w:color w:val="auto"/>
        </w:rPr>
      </w:pPr>
      <w:r>
        <w:rPr>
          <w:rFonts w:ascii="Arial" w:cs="Arial" w:eastAsia="Arial" w:hAnsi="Arial"/>
          <w:sz w:val="21"/>
          <w:szCs w:val="21"/>
          <w:b w:val="1"/>
          <w:bCs w:val="1"/>
          <w:u w:val="single" w:color="auto"/>
          <w:color w:val="auto"/>
        </w:rPr>
        <w:t>Ownership of Intellectual Property</w:t>
      </w:r>
      <w:r>
        <w:rPr>
          <w:rFonts w:ascii="Arial" w:cs="Arial" w:eastAsia="Arial" w:hAnsi="Arial"/>
          <w:sz w:val="21"/>
          <w:szCs w:val="21"/>
          <w:color w:val="auto"/>
        </w:rPr>
        <w:t>. The Company shall own, and, by agreeing to participate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Plan, each Eligible Executive assigns, all right, title and interest (including patent rights, copyrights, trade secret rights, mask work rights, trademark rights, and all other intellectual and industrial property rights of any sort throughout the world) relating to any and all inventions (whether or not patentable), works of authorship, mask works, designs, know-how, ideas and information authored, created, contributed to, made or conceived or reduced to practice, in whole or in part, by the Eligible Executive during the period in which the Eligible Executive is or has been employed by or affiliated with the Company or any other member of the Company Group that either (a) relate, at the time of conception, reduction to practice, creation, derivation or development, to any member of the Company Group’s businesses or actual or anticipated research or development, or (b) were developed on any amount of the Company’s or any other member of the Company Group’s time or with the use of any member of the Company Group’s equipment, supplies, facilities or trade secret information (all of the foregoing collectively referred to herein as “Company Intellectual Property”), and the Eligible Executive shall promptly disclose all Company Intellectual Property to the Company. All of each Eligible Executive’s works of authorship and associated copyrights created during the period in which the Eligible Executive is employed by or affiliated with the Company or any other member of the Company Group and in the scope of the Eligible Executive’s employment shall be deemed to be “works made for hire” within the meaning of the Copyright Act. Each Eligible Executive shall perform, during and after the period in which the Eligible Executive is or has been employed by or affiliated with the Company or any other member of the Company Group, all reasonable acts deemed necessary by the Company to assist each member of the Company Group, at the Company’s expense, in obtaining and enforcing its rights throughout the world in the Company Intellectual Property.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937" w:right="339" w:bottom="1440" w:gutter="0" w:footer="0" w:header="0"/>
        </w:sectPr>
      </w:pPr>
    </w:p>
    <w:bookmarkStart w:id="211" w:name="page212"/>
    <w:bookmarkEnd w:id="211"/>
    <w:p>
      <w:pPr>
        <w:jc w:val="both"/>
        <w:ind w:firstLine="413"/>
        <w:spacing w:after="0" w:line="249" w:lineRule="auto"/>
        <w:tabs>
          <w:tab w:leader="none" w:pos="1270"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Non-Disparagement</w:t>
      </w:r>
      <w:r>
        <w:rPr>
          <w:rFonts w:ascii="Arial" w:cs="Arial" w:eastAsia="Arial" w:hAnsi="Arial"/>
          <w:sz w:val="22"/>
          <w:szCs w:val="22"/>
          <w:color w:val="auto"/>
        </w:rPr>
        <w:t>. Each Eligible Executive shall refrain, both during the Eligible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any member of the Company Group and thereafter, from publishing or otherwise making any oral or written statements about the Company, any member of the Company Group or any of their respective directors, officers, employees, consultants, agents or representatives that (a) are slanderous, libelous or defamatory, (b) disclose Confidential Information of or regarding the Company’s or any member of the Company Group’s business affairs, directors, officers, managers, members, employees, consultants, agents or representatives, or (c) place the Company, any member of the Company Group or any of their respective directors, officers, managers, members, employees, consultants, agents or representatives in a false light before the public.</w:t>
      </w:r>
    </w:p>
    <w:p>
      <w:pPr>
        <w:spacing w:after="0" w:line="222" w:lineRule="exact"/>
        <w:rPr>
          <w:rFonts w:ascii="Arial" w:cs="Arial" w:eastAsia="Arial" w:hAnsi="Arial"/>
          <w:sz w:val="22"/>
          <w:szCs w:val="22"/>
          <w:color w:val="auto"/>
        </w:rPr>
      </w:pPr>
    </w:p>
    <w:p>
      <w:pPr>
        <w:jc w:val="both"/>
        <w:ind w:firstLine="413"/>
        <w:spacing w:after="0" w:line="250" w:lineRule="auto"/>
        <w:tabs>
          <w:tab w:leader="none" w:pos="1286"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Defense and Pursuit of Claims</w:t>
      </w:r>
      <w:r>
        <w:rPr>
          <w:rFonts w:ascii="Arial" w:cs="Arial" w:eastAsia="Arial" w:hAnsi="Arial"/>
          <w:sz w:val="22"/>
          <w:szCs w:val="22"/>
          <w:color w:val="auto"/>
        </w:rPr>
        <w:t>. An Eligible Executive shall, following the termination of his or 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cooperate with the Company Group and its counsel in any litigation or human resources matters in which such Eligible Executive may be a witness or potential witness or with respect to which such Eligible Executive may have knowledge of relevant facts or evidence. The Company shall reimburse such Eligible Executive for reasonable and necessary expenses incurred in the course of complying with this Section provided that the Eligible Executive provides reasonable documentation of the same and obtains the Company’s prior approval for incurring such expenses.</w:t>
      </w:r>
    </w:p>
    <w:p>
      <w:pPr>
        <w:spacing w:after="0" w:line="207" w:lineRule="exact"/>
        <w:rPr>
          <w:rFonts w:ascii="Arial" w:cs="Arial" w:eastAsia="Arial" w:hAnsi="Arial"/>
          <w:sz w:val="22"/>
          <w:szCs w:val="22"/>
          <w:color w:val="auto"/>
        </w:rPr>
      </w:pPr>
    </w:p>
    <w:p>
      <w:pPr>
        <w:jc w:val="both"/>
        <w:ind w:firstLine="413"/>
        <w:spacing w:after="0" w:line="260" w:lineRule="auto"/>
        <w:tabs>
          <w:tab w:leader="none" w:pos="1286" w:val="left"/>
        </w:tabs>
        <w:numPr>
          <w:ilvl w:val="0"/>
          <w:numId w:val="160"/>
        </w:numPr>
        <w:rPr>
          <w:rFonts w:ascii="Arial" w:cs="Arial" w:eastAsia="Arial" w:hAnsi="Arial"/>
          <w:sz w:val="21"/>
          <w:szCs w:val="21"/>
          <w:color w:val="auto"/>
        </w:rPr>
      </w:pPr>
      <w:r>
        <w:rPr>
          <w:rFonts w:ascii="Arial" w:cs="Arial" w:eastAsia="Arial" w:hAnsi="Arial"/>
          <w:sz w:val="21"/>
          <w:szCs w:val="21"/>
          <w:b w:val="1"/>
          <w:bCs w:val="1"/>
          <w:u w:val="single" w:color="auto"/>
          <w:color w:val="auto"/>
        </w:rPr>
        <w:t>Enforcement</w:t>
      </w:r>
      <w:r>
        <w:rPr>
          <w:rFonts w:ascii="Arial" w:cs="Arial" w:eastAsia="Arial" w:hAnsi="Arial"/>
          <w:sz w:val="21"/>
          <w:szCs w:val="21"/>
          <w:color w:val="auto"/>
        </w:rPr>
        <w:t>. Money damages would not be a sufficient remedy for any breach of Sections 8, 9, 10, 11</w:t>
      </w:r>
      <w:r>
        <w:rPr>
          <w:rFonts w:ascii="Arial" w:cs="Arial" w:eastAsia="Arial" w:hAnsi="Arial"/>
          <w:sz w:val="21"/>
          <w:szCs w:val="21"/>
          <w:b w:val="1"/>
          <w:bCs w:val="1"/>
          <w:color w:val="auto"/>
        </w:rPr>
        <w:t xml:space="preserve"> </w:t>
      </w:r>
      <w:r>
        <w:rPr>
          <w:rFonts w:ascii="Arial" w:cs="Arial" w:eastAsia="Arial" w:hAnsi="Arial"/>
          <w:sz w:val="21"/>
          <w:szCs w:val="21"/>
          <w:color w:val="auto"/>
        </w:rPr>
        <w:t>or 12 by an Eligible Executive, and any member of the Company Group shall be entitled to enforce the provisions of such Sections by terminating payments or additional benefits then owing to the Eligible Executive and to specific performance, injunctive relief and other equitable relief, without bond, as remedies for such breach or any threatened breach. In addition, in the event of a breach by an Eligible Executive, the Eligible Executive shall repay to the Company any and all payments received or paid or deemed paid by the Company for the benefit of the Eligible Executive pursuant to the Plan. Such remedies shall not be deemed the exclusive remedies for a breach of Sections 8, 9, 10, 11 or 12, but shall be in addition to all remedies available at law or in equity, including the recovery of damages from the Eligible Executive and the Eligible Executive’s agents. This Section and Sections 8, 9, 10, 11 or 12, and each provision and portion hereof, are severable and separate, and the unenforceability of any specific Section (or portion thereof) shall not affect the provisions of any other Section (or portion thereof). Moreover, in the event any arbitrator or court of competent jurisdiction shall determine that the scope, time or territorial restrictions set forth are unreasonable, then it is the intention of the parties that such restrictions be enforced to the fullest extent which such arbitrator or court deems reasonable, and the Plan shall thereby be reformed.</w:t>
      </w:r>
    </w:p>
    <w:p>
      <w:pPr>
        <w:spacing w:after="0" w:line="198" w:lineRule="exact"/>
        <w:rPr>
          <w:rFonts w:ascii="Arial" w:cs="Arial" w:eastAsia="Arial" w:hAnsi="Arial"/>
          <w:sz w:val="21"/>
          <w:szCs w:val="21"/>
          <w:color w:val="auto"/>
        </w:rPr>
      </w:pPr>
    </w:p>
    <w:p>
      <w:pPr>
        <w:ind w:left="1300" w:hanging="887"/>
        <w:spacing w:after="0"/>
        <w:tabs>
          <w:tab w:leader="none" w:pos="1300"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Claims Procedure and Review</w:t>
      </w:r>
      <w:r>
        <w:rPr>
          <w:rFonts w:ascii="Arial" w:cs="Arial" w:eastAsia="Arial" w:hAnsi="Arial"/>
          <w:sz w:val="22"/>
          <w:szCs w:val="22"/>
          <w:color w:val="auto"/>
        </w:rPr>
        <w:t>.</w:t>
      </w:r>
    </w:p>
    <w:p>
      <w:pPr>
        <w:spacing w:after="0" w:line="262" w:lineRule="exact"/>
        <w:rPr>
          <w:rFonts w:ascii="Arial" w:cs="Arial" w:eastAsia="Arial" w:hAnsi="Arial"/>
          <w:sz w:val="22"/>
          <w:szCs w:val="22"/>
          <w:color w:val="auto"/>
        </w:rPr>
      </w:pPr>
    </w:p>
    <w:p>
      <w:pPr>
        <w:jc w:val="both"/>
        <w:ind w:firstLine="656"/>
        <w:spacing w:after="0" w:line="257" w:lineRule="auto"/>
        <w:tabs>
          <w:tab w:leader="none" w:pos="129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Filing a Claim. Any Eligible Executive that the Committee determines is entitled to severance benefits under the Plan is not required to file a claim for benefits. Any Eligible Executive (i) who is not paid severance benefits hereunder and who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178" w:right="339" w:bottom="1440" w:gutter="0" w:footer="0" w:header="0"/>
        </w:sectPr>
      </w:pPr>
    </w:p>
    <w:bookmarkStart w:id="212" w:name="page213"/>
    <w:bookmarkEnd w:id="212"/>
    <w:p>
      <w:pPr>
        <w:jc w:val="both"/>
        <w:spacing w:after="0" w:line="257" w:lineRule="auto"/>
        <w:rPr>
          <w:sz w:val="20"/>
          <w:szCs w:val="20"/>
          <w:color w:val="auto"/>
        </w:rPr>
      </w:pPr>
      <w:r>
        <w:rPr>
          <w:rFonts w:ascii="Arial" w:cs="Arial" w:eastAsia="Arial" w:hAnsi="Arial"/>
          <w:sz w:val="22"/>
          <w:szCs w:val="22"/>
          <w:color w:val="auto"/>
        </w:rPr>
        <w:t>believes that he or she is entitled to severance benefits hereunder or (ii) who has been paid severance benefits hereunder and believes that he or she is entitled to greater benefits hereunder may file a claim for severance benefits under the Plan in writing with the Committee.</w:t>
      </w:r>
    </w:p>
    <w:p>
      <w:pPr>
        <w:spacing w:after="0" w:line="213" w:lineRule="exact"/>
        <w:rPr>
          <w:sz w:val="20"/>
          <w:szCs w:val="20"/>
          <w:color w:val="auto"/>
        </w:rPr>
      </w:pPr>
    </w:p>
    <w:p>
      <w:pPr>
        <w:jc w:val="both"/>
        <w:ind w:firstLine="656"/>
        <w:spacing w:after="0" w:line="261" w:lineRule="auto"/>
        <w:tabs>
          <w:tab w:leader="none" w:pos="1290" w:val="left"/>
        </w:tabs>
        <w:numPr>
          <w:ilvl w:val="1"/>
          <w:numId w:val="161"/>
        </w:numPr>
        <w:rPr>
          <w:rFonts w:ascii="Arial" w:cs="Arial" w:eastAsia="Arial" w:hAnsi="Arial"/>
          <w:sz w:val="21"/>
          <w:szCs w:val="21"/>
          <w:color w:val="auto"/>
        </w:rPr>
      </w:pPr>
      <w:r>
        <w:rPr>
          <w:rFonts w:ascii="Arial" w:cs="Arial" w:eastAsia="Arial" w:hAnsi="Arial"/>
          <w:sz w:val="21"/>
          <w:szCs w:val="21"/>
          <w:color w:val="auto"/>
        </w:rPr>
        <w:t>Initial Determination of a Claim. If a claim for severance benefits hereunder is wholly or partially denied, the Committee shall, within a reasonable period of time but no later than 90 days after receipt of the claim (or 180 days after receipt of the claim if special circumstances require an extension of time for processing the claim), notify the claimant of the denial. Such notice shall (i) be in writing, (ii) be written in a manner calculated to be understood by the claimant, (iii) contain the specific reason or reasons for denial of the claim, (iv) refer specifically to the pertinent Plan provisions upon which the denial is based, (v) describe any additional material or information necessary for the claimant to perfect the claim (and explain why such material or information is necessary), and (vi) describe the Plan’s claim review procedures and time limits applicable to such procedures, including a statement of the claimant’s right to bring a civil action under Section 502(a) of ERISA following an adverse benefit determination on review.</w:t>
      </w:r>
    </w:p>
    <w:p>
      <w:pPr>
        <w:spacing w:after="0" w:line="201" w:lineRule="exact"/>
        <w:rPr>
          <w:rFonts w:ascii="Arial" w:cs="Arial" w:eastAsia="Arial" w:hAnsi="Arial"/>
          <w:sz w:val="21"/>
          <w:szCs w:val="21"/>
          <w:color w:val="auto"/>
        </w:rPr>
      </w:pPr>
    </w:p>
    <w:p>
      <w:pPr>
        <w:jc w:val="both"/>
        <w:ind w:firstLine="656"/>
        <w:spacing w:after="0" w:line="248" w:lineRule="auto"/>
        <w:tabs>
          <w:tab w:leader="none" w:pos="1291"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Appeal of a Denied Claim. Within 60 days of the receipt by the claimant of this notice, the claimant may file a written appeal with the Committee. In connection with the appeal, the claimant may review Plan documents and may submit written issues and comments. The Committee shall deliver to the claimant a written decision on the appeal promptly, but not later than 60 days after the receipt of the claimant’s appeal (or 120 days after receipt of the claimant’s appeal if there are special circumstances which require an extension of time for processing). Such decision shall (i) be in writing, (ii) be written in a manner calculated to be understood by the claimant, (iii) include specific reasons for the decision, (iv) refer specifically to the Plan provisions upon which the decision is based, (v) state that the claimant is entitled to receive, on request and free of charge, reasonable access to and copies of all documents, records, and other information relevant to the claimant’s claim for benefits, and (vi) a statement of the Participant’s right to bring an action under Section 502(a) of ERISA. If special circumstances require an extension of up to 180 days for an initial claim or 120 days for an appeal, whichever applies, the Committee shall send written notice of the extension. This notice shall indicate the special circumstances requiring the extension and state when the Committee expects to render the decision.</w:t>
      </w:r>
    </w:p>
    <w:p>
      <w:pPr>
        <w:spacing w:after="0" w:line="219" w:lineRule="exact"/>
        <w:rPr>
          <w:rFonts w:ascii="Arial" w:cs="Arial" w:eastAsia="Arial" w:hAnsi="Arial"/>
          <w:sz w:val="22"/>
          <w:szCs w:val="22"/>
          <w:color w:val="auto"/>
        </w:rPr>
      </w:pPr>
    </w:p>
    <w:p>
      <w:pPr>
        <w:jc w:val="both"/>
        <w:ind w:firstLine="656"/>
        <w:spacing w:after="0" w:line="257" w:lineRule="auto"/>
        <w:tabs>
          <w:tab w:leader="none" w:pos="129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The benefits claim procedure provided in this Section 14 is intended to comply with the provisions of 29 C.F.R. §2560.503-1. All provisions of this Section 14 shall be interpreted, construed, and limited in accordance with such intent.</w:t>
      </w:r>
    </w:p>
    <w:p>
      <w:pPr>
        <w:spacing w:after="0" w:line="197" w:lineRule="exact"/>
        <w:rPr>
          <w:rFonts w:ascii="Arial" w:cs="Arial" w:eastAsia="Arial" w:hAnsi="Arial"/>
          <w:sz w:val="22"/>
          <w:szCs w:val="22"/>
          <w:color w:val="auto"/>
        </w:rPr>
      </w:pPr>
    </w:p>
    <w:p>
      <w:pPr>
        <w:ind w:left="1300" w:hanging="887"/>
        <w:spacing w:after="0"/>
        <w:tabs>
          <w:tab w:leader="none" w:pos="1300"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General Provisions</w:t>
      </w:r>
      <w:r>
        <w:rPr>
          <w:rFonts w:ascii="Arial" w:cs="Arial" w:eastAsia="Arial" w:hAnsi="Arial"/>
          <w:sz w:val="22"/>
          <w:szCs w:val="22"/>
          <w:color w:val="auto"/>
        </w:rPr>
        <w:t>.</w:t>
      </w:r>
    </w:p>
    <w:p>
      <w:pPr>
        <w:spacing w:after="0" w:line="248" w:lineRule="exact"/>
        <w:rPr>
          <w:rFonts w:ascii="Arial" w:cs="Arial" w:eastAsia="Arial" w:hAnsi="Arial"/>
          <w:sz w:val="22"/>
          <w:szCs w:val="22"/>
          <w:color w:val="auto"/>
        </w:rPr>
      </w:pPr>
    </w:p>
    <w:p>
      <w:pPr>
        <w:jc w:val="both"/>
        <w:ind w:firstLine="656"/>
        <w:spacing w:after="0" w:line="264" w:lineRule="auto"/>
        <w:tabs>
          <w:tab w:leader="none" w:pos="1290" w:val="left"/>
        </w:tabs>
        <w:numPr>
          <w:ilvl w:val="1"/>
          <w:numId w:val="162"/>
        </w:numPr>
        <w:rPr>
          <w:rFonts w:ascii="Arial" w:cs="Arial" w:eastAsia="Arial" w:hAnsi="Arial"/>
          <w:sz w:val="22"/>
          <w:szCs w:val="22"/>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The Company is authorized to withhold from all payments made hereunder amounts of withholding and other taxes due or potentially payable in connection therewith, and to take such other action as the Company may deem advisable to enable the Company and the Eligible Executive to satisfy obligations for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937"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payment of withholding taxes and other tax obligations relating to any payments made under the Plan.</w:t>
      </w:r>
    </w:p>
    <w:p>
      <w:pPr>
        <w:spacing w:after="0" w:line="247" w:lineRule="exact"/>
        <w:rPr>
          <w:sz w:val="20"/>
          <w:szCs w:val="20"/>
          <w:color w:val="auto"/>
        </w:rPr>
      </w:pPr>
    </w:p>
    <w:p>
      <w:pPr>
        <w:ind w:firstLine="656"/>
        <w:spacing w:after="0" w:line="272" w:lineRule="auto"/>
        <w:tabs>
          <w:tab w:leader="none" w:pos="129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No Mitigation</w:t>
      </w:r>
      <w:r>
        <w:rPr>
          <w:rFonts w:ascii="Arial" w:cs="Arial" w:eastAsia="Arial" w:hAnsi="Arial"/>
          <w:sz w:val="22"/>
          <w:szCs w:val="22"/>
          <w:color w:val="auto"/>
        </w:rPr>
        <w:t>. No Eligible Executive shall have any duty to mitigate the amounts payable under the Plan by seeking or accepting new employment or self-employment following a Qualifying Termination.</w:t>
      </w:r>
    </w:p>
    <w:p>
      <w:pPr>
        <w:spacing w:after="0" w:line="196" w:lineRule="exact"/>
        <w:rPr>
          <w:rFonts w:ascii="Arial" w:cs="Arial" w:eastAsia="Arial" w:hAnsi="Arial"/>
          <w:sz w:val="22"/>
          <w:szCs w:val="22"/>
          <w:color w:val="auto"/>
        </w:rPr>
      </w:pPr>
    </w:p>
    <w:p>
      <w:pPr>
        <w:jc w:val="both"/>
        <w:ind w:firstLine="656"/>
        <w:spacing w:after="0" w:line="251" w:lineRule="auto"/>
        <w:tabs>
          <w:tab w:leader="none" w:pos="1291"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Offset</w:t>
      </w:r>
      <w:r>
        <w:rPr>
          <w:rFonts w:ascii="Arial" w:cs="Arial" w:eastAsia="Arial" w:hAnsi="Arial"/>
          <w:sz w:val="22"/>
          <w:szCs w:val="22"/>
          <w:color w:val="auto"/>
        </w:rPr>
        <w:t>. The Company may set off against, and each Eligible Executive authorizes the Company to deduct from, any payments due to the Eligible Executive, or to his or her estate, heirs, legal representatives, or successors, any amounts which may be due and owing to the Company or an Affiliate of the Company by the Eligible Executive, whether arising under the Plan or otherwise; provided, however, that no such offset may be made with respect to amounts payable that are subject to the requirements of Section 409A unless the offset would not result in a violation of the requirements of Section 409A.</w:t>
      </w:r>
    </w:p>
    <w:p>
      <w:pPr>
        <w:spacing w:after="0" w:line="208" w:lineRule="exact"/>
        <w:rPr>
          <w:rFonts w:ascii="Arial" w:cs="Arial" w:eastAsia="Arial" w:hAnsi="Arial"/>
          <w:sz w:val="22"/>
          <w:szCs w:val="22"/>
          <w:color w:val="auto"/>
        </w:rPr>
      </w:pPr>
    </w:p>
    <w:p>
      <w:pPr>
        <w:jc w:val="both"/>
        <w:ind w:firstLine="656"/>
        <w:spacing w:after="0" w:line="247" w:lineRule="auto"/>
        <w:tabs>
          <w:tab w:leader="none" w:pos="129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Prior to a Change in Control, the Plan may be amended or modified in any respect, and may be terminated, in any such case, by the Board; provided, however, that the Plan may not be amended, modified or terminated in any manner that would in any way adversely affect the benefits or protections provided hereunder to any individual who is an Eligible Executive under the Plan at such time, (i) at the request of a third party who has indicated an intention or taken steps to effect a Change in Control and who effectuates a Change in Control, or (ii) otherwise in connection with, or in anticipation of, a Change in Control that actually occurs, and any such attempted amendment, modification or termination shall be null and void ab initio. Any action taken to amend, modify or terminate the Plan which is taken subsequent to the execution of an agreement providing for a transaction or transactions which, if consummated, would constitute a Change in Control shall conclusively be presumed to have been taken in connection with a Change in Control. For the duration of the 12-month period following a Change in Control, the Plan may not be amended or modified in any manner that would in any way adversely affect the benefits or protections provided hereunder to any individual who is an Eligible Executive under the Plan on the date a Change in Control occurs.</w:t>
      </w:r>
    </w:p>
    <w:p>
      <w:pPr>
        <w:spacing w:after="0" w:line="220" w:lineRule="exact"/>
        <w:rPr>
          <w:rFonts w:ascii="Arial" w:cs="Arial" w:eastAsia="Arial" w:hAnsi="Arial"/>
          <w:sz w:val="22"/>
          <w:szCs w:val="22"/>
          <w:color w:val="auto"/>
        </w:rPr>
      </w:pPr>
    </w:p>
    <w:p>
      <w:pPr>
        <w:jc w:val="both"/>
        <w:ind w:firstLine="656"/>
        <w:spacing w:after="0" w:line="253" w:lineRule="auto"/>
        <w:tabs>
          <w:tab w:leader="none" w:pos="129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Plan will be binding upon any successor to the Company, its assets, its businesses or its interest (whether as a result of the occurrence of a Change in Control or otherwise), in the same manner and to the same extent that the Company would be obligated under the Plan if no succession had taken place. All payments and benefits that become due to an Eligible Executive under the Plan will inure to the benefit of his or her heirs, assigns, designees or legal representatives.</w:t>
      </w:r>
    </w:p>
    <w:p>
      <w:pPr>
        <w:spacing w:after="0" w:line="205" w:lineRule="exact"/>
        <w:rPr>
          <w:rFonts w:ascii="Arial" w:cs="Arial" w:eastAsia="Arial" w:hAnsi="Arial"/>
          <w:sz w:val="22"/>
          <w:szCs w:val="22"/>
          <w:color w:val="auto"/>
        </w:rPr>
      </w:pPr>
    </w:p>
    <w:p>
      <w:pPr>
        <w:jc w:val="both"/>
        <w:ind w:firstLine="656"/>
        <w:spacing w:after="0" w:line="257" w:lineRule="auto"/>
        <w:tabs>
          <w:tab w:leader="none" w:pos="128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Transfer and Assignment</w:t>
      </w:r>
      <w:r>
        <w:rPr>
          <w:rFonts w:ascii="Arial" w:cs="Arial" w:eastAsia="Arial" w:hAnsi="Arial"/>
          <w:sz w:val="22"/>
          <w:szCs w:val="22"/>
          <w:color w:val="auto"/>
        </w:rPr>
        <w:t>. Neither an Eligible Executive nor any other person shall have any right to sell, assign, transfer, pledge, anticipate or otherwise encumber, transfer, hypothecate or convey any amounts payable under the Plan prior to the date that such amounts are paid.</w:t>
      </w:r>
    </w:p>
    <w:p>
      <w:pPr>
        <w:spacing w:after="0" w:line="213" w:lineRule="exact"/>
        <w:rPr>
          <w:rFonts w:ascii="Arial" w:cs="Arial" w:eastAsia="Arial" w:hAnsi="Arial"/>
          <w:sz w:val="22"/>
          <w:szCs w:val="22"/>
          <w:color w:val="auto"/>
        </w:rPr>
      </w:pPr>
    </w:p>
    <w:p>
      <w:pPr>
        <w:ind w:firstLine="656"/>
        <w:spacing w:after="0" w:line="272" w:lineRule="auto"/>
        <w:tabs>
          <w:tab w:leader="none" w:pos="129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Unfunded Obligation</w:t>
      </w:r>
      <w:r>
        <w:rPr>
          <w:rFonts w:ascii="Arial" w:cs="Arial" w:eastAsia="Arial" w:hAnsi="Arial"/>
          <w:sz w:val="22"/>
          <w:szCs w:val="22"/>
          <w:color w:val="auto"/>
        </w:rPr>
        <w:t>. All benefits due an Eligible Executive under the Plan are unfunded and unsecured and are payable out of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937" w:right="339" w:bottom="1440" w:gutter="0" w:footer="0" w:header="0"/>
        </w:sectPr>
      </w:pPr>
    </w:p>
    <w:bookmarkStart w:id="214" w:name="page215"/>
    <w:bookmarkEnd w:id="214"/>
    <w:p>
      <w:pPr>
        <w:jc w:val="both"/>
        <w:spacing w:after="0" w:line="257" w:lineRule="auto"/>
        <w:rPr>
          <w:sz w:val="20"/>
          <w:szCs w:val="20"/>
          <w:color w:val="auto"/>
        </w:rPr>
      </w:pPr>
      <w:r>
        <w:rPr>
          <w:rFonts w:ascii="Arial" w:cs="Arial" w:eastAsia="Arial" w:hAnsi="Arial"/>
          <w:sz w:val="22"/>
          <w:szCs w:val="22"/>
          <w:color w:val="auto"/>
        </w:rPr>
        <w:t>The Company is not required to segregate any monies or other assets from its general funds with respect to these obligations. Eligible Executives shall not have any preference or security interest in any assets of the Company other than as a general unsecured creditor.</w:t>
      </w:r>
    </w:p>
    <w:p>
      <w:pPr>
        <w:spacing w:after="0" w:line="213" w:lineRule="exact"/>
        <w:rPr>
          <w:sz w:val="20"/>
          <w:szCs w:val="20"/>
          <w:color w:val="auto"/>
        </w:rPr>
      </w:pPr>
    </w:p>
    <w:p>
      <w:pPr>
        <w:jc w:val="both"/>
        <w:ind w:firstLine="656"/>
        <w:spacing w:after="0" w:line="253" w:lineRule="auto"/>
        <w:tabs>
          <w:tab w:leader="none" w:pos="1290" w:val="left"/>
        </w:tabs>
        <w:numPr>
          <w:ilvl w:val="1"/>
          <w:numId w:val="16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the Plan (or portion thereof) is held to be illegal or invalid for any reason, the illegality or invalidity of such provision (or portion thereof) will not affect the remaining provisions (or portions thereof) of the Plan, but such provision (or portion thereof) will be fully severable and the Plan will be construed and enforced as if the illegal or invalid provision (or portion thereof) had never been included herein.</w:t>
      </w:r>
    </w:p>
    <w:p>
      <w:pPr>
        <w:spacing w:after="0" w:line="202" w:lineRule="exact"/>
        <w:rPr>
          <w:rFonts w:ascii="Arial" w:cs="Arial" w:eastAsia="Arial" w:hAnsi="Arial"/>
          <w:sz w:val="22"/>
          <w:szCs w:val="22"/>
          <w:color w:val="auto"/>
        </w:rPr>
      </w:pPr>
    </w:p>
    <w:p>
      <w:pPr>
        <w:jc w:val="both"/>
        <w:ind w:firstLine="656"/>
        <w:spacing w:after="0" w:line="251" w:lineRule="auto"/>
        <w:tabs>
          <w:tab w:leader="none" w:pos="1285" w:val="left"/>
        </w:tabs>
        <w:numPr>
          <w:ilvl w:val="1"/>
          <w:numId w:val="164"/>
        </w:numPr>
        <w:rPr>
          <w:rFonts w:ascii="Arial" w:cs="Arial" w:eastAsia="Arial" w:hAnsi="Arial"/>
          <w:sz w:val="22"/>
          <w:szCs w:val="22"/>
          <w:color w:val="auto"/>
        </w:rPr>
      </w:pPr>
      <w:r>
        <w:rPr>
          <w:rFonts w:ascii="Arial" w:cs="Arial" w:eastAsia="Arial" w:hAnsi="Arial"/>
          <w:sz w:val="22"/>
          <w:szCs w:val="22"/>
          <w:u w:val="single" w:color="auto"/>
          <w:color w:val="auto"/>
        </w:rPr>
        <w:t>COBRA</w:t>
      </w:r>
      <w:r>
        <w:rPr>
          <w:rFonts w:ascii="Arial" w:cs="Arial" w:eastAsia="Arial" w:hAnsi="Arial"/>
          <w:sz w:val="22"/>
          <w:szCs w:val="22"/>
          <w:color w:val="auto"/>
        </w:rPr>
        <w:t>. Subject to the rules and regulations of COBRA, in connection with an Eligible Executive’s Date of Termination, the Company will provide an Eligible Executive the option to elect to continue group health plan coverage through COBRA. The election of COBRA continuation coverage and the payment of any premiums due with respect to such COBRA continuation coverage will remain such Eligible Executive’s sole responsibility, and neither the Company nor any of its Affiliates will assume any obligation for payment of any such premiums relating to such COBRA continuation coverage.</w:t>
      </w:r>
    </w:p>
    <w:p>
      <w:pPr>
        <w:spacing w:after="0" w:line="208" w:lineRule="exact"/>
        <w:rPr>
          <w:rFonts w:ascii="Arial" w:cs="Arial" w:eastAsia="Arial" w:hAnsi="Arial"/>
          <w:sz w:val="22"/>
          <w:szCs w:val="22"/>
          <w:color w:val="auto"/>
        </w:rPr>
      </w:pPr>
    </w:p>
    <w:p>
      <w:pPr>
        <w:jc w:val="both"/>
        <w:ind w:firstLine="656"/>
        <w:spacing w:after="0" w:line="259" w:lineRule="auto"/>
        <w:tabs>
          <w:tab w:leader="none" w:pos="1285" w:val="left"/>
        </w:tabs>
        <w:numPr>
          <w:ilvl w:val="1"/>
          <w:numId w:val="164"/>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 The Plan is intended to comply with Section 409A or an exemption thereunder and shall be construed and administered in accordance with Section 409A. Notwithstanding any other provision of the Plan, payments provided under the Plan may only be made upon an event and in a manner that complies with Section 409A or an applicable exemption. Any payments under the Plan that may be excluded from Section 409A either as separation pay due to an involuntary separation from service or as a short-term deferral shall be excluded from Section 409A to the maximum extent possible. Any payments to be made under the Plan upon the termination of an Eligible Executive’s employment shall only be made if such termination of employment constitutes a “separation from service” under Section 409A. Each installment payment under the Plan is intended to be a separate payment for purposes of Section 409A. Notwithstanding any provision in the Plan to the contrary, if any payment or benefit provided for herein would be subject to additional taxes and interest under Section 409A if an Eligible Executive’s receipt of such payment or benefit is not delayed until the earlier of (i) the date of such Eligible Executive’s death or</w:t>
      </w:r>
    </w:p>
    <w:p>
      <w:pPr>
        <w:spacing w:after="0" w:line="8" w:lineRule="exact"/>
        <w:rPr>
          <w:rFonts w:ascii="Arial" w:cs="Arial" w:eastAsia="Arial" w:hAnsi="Arial"/>
          <w:sz w:val="21"/>
          <w:szCs w:val="21"/>
          <w:color w:val="auto"/>
        </w:rPr>
      </w:pPr>
    </w:p>
    <w:p>
      <w:pPr>
        <w:jc w:val="both"/>
        <w:ind w:firstLine="8"/>
        <w:spacing w:after="0" w:line="248" w:lineRule="auto"/>
        <w:tabs>
          <w:tab w:leader="none" w:pos="33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date that is six months after such Eligible Executive’s Date of Termination (such date, the “</w:t>
      </w:r>
      <w:r>
        <w:rPr>
          <w:rFonts w:ascii="Arial" w:cs="Arial" w:eastAsia="Arial" w:hAnsi="Arial"/>
          <w:sz w:val="22"/>
          <w:szCs w:val="22"/>
          <w:i w:val="1"/>
          <w:iCs w:val="1"/>
          <w:color w:val="auto"/>
        </w:rPr>
        <w:t>Section 409A</w:t>
      </w:r>
      <w:r>
        <w:rPr>
          <w:rFonts w:ascii="Arial" w:cs="Arial" w:eastAsia="Arial" w:hAnsi="Arial"/>
          <w:sz w:val="22"/>
          <w:szCs w:val="22"/>
          <w:color w:val="auto"/>
        </w:rPr>
        <w:t xml:space="preserve"> </w:t>
      </w:r>
      <w:r>
        <w:rPr>
          <w:rFonts w:ascii="Arial" w:cs="Arial" w:eastAsia="Arial" w:hAnsi="Arial"/>
          <w:sz w:val="22"/>
          <w:szCs w:val="22"/>
          <w:i w:val="1"/>
          <w:iCs w:val="1"/>
          <w:color w:val="auto"/>
        </w:rPr>
        <w:t>Payment Date</w:t>
      </w:r>
      <w:r>
        <w:rPr>
          <w:rFonts w:ascii="Arial" w:cs="Arial" w:eastAsia="Arial" w:hAnsi="Arial"/>
          <w:sz w:val="22"/>
          <w:szCs w:val="22"/>
          <w:color w:val="auto"/>
        </w:rPr>
        <w:t>”), then such payment or benefit shall not be provided to such Eligible Executive (or such Eligible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estate, if applicable) until the Section 409A Payment Date. Notwithstanding the foregoing, the Company makes no representations that the payments and benefits provided under the Plan are exempt from, or compliant with, Section 409A and in no event shall the Company or any of its Affiliates be liable for all or any portion of any taxes, penalties, interest or other expenses that may be incurred by any Eligible Executive on account of non-compliance with Section 409A.</w:t>
      </w:r>
    </w:p>
    <w:p>
      <w:pPr>
        <w:spacing w:after="0" w:line="208" w:lineRule="exact"/>
        <w:rPr>
          <w:rFonts w:ascii="Arial" w:cs="Arial" w:eastAsia="Arial" w:hAnsi="Arial"/>
          <w:sz w:val="22"/>
          <w:szCs w:val="22"/>
          <w:color w:val="auto"/>
        </w:rPr>
      </w:pPr>
    </w:p>
    <w:p>
      <w:pPr>
        <w:ind w:right="20" w:firstLine="656"/>
        <w:spacing w:after="0" w:line="272" w:lineRule="auto"/>
        <w:tabs>
          <w:tab w:leader="none" w:pos="1291"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All questions arising with respect to the provisions of the Plan and payments due hereunder will be determined by application of the laws of the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937" w:right="339" w:bottom="1440" w:gutter="0" w:footer="0" w:header="0"/>
        </w:sectPr>
      </w:pPr>
    </w:p>
    <w:bookmarkStart w:id="215" w:name="page216"/>
    <w:bookmarkEnd w:id="215"/>
    <w:p>
      <w:pPr>
        <w:jc w:val="both"/>
        <w:spacing w:after="0" w:line="257" w:lineRule="auto"/>
        <w:rPr>
          <w:sz w:val="20"/>
          <w:szCs w:val="20"/>
          <w:color w:val="auto"/>
        </w:rPr>
      </w:pPr>
      <w:r>
        <w:rPr>
          <w:rFonts w:ascii="Arial" w:cs="Arial" w:eastAsia="Arial" w:hAnsi="Arial"/>
          <w:sz w:val="22"/>
          <w:szCs w:val="22"/>
          <w:color w:val="auto"/>
        </w:rPr>
        <w:t>State of Oklahoma, without giving effect to any conflict of law provisions thereof, except to the extent preempted by federal law (including ERISA, which is the federal law that governs the Plan, the administration of the Plan and any claims made under the Plan).</w:t>
      </w:r>
    </w:p>
    <w:p>
      <w:pPr>
        <w:spacing w:after="0" w:line="213" w:lineRule="exact"/>
        <w:rPr>
          <w:sz w:val="20"/>
          <w:szCs w:val="20"/>
          <w:color w:val="auto"/>
        </w:rPr>
      </w:pPr>
    </w:p>
    <w:p>
      <w:pPr>
        <w:jc w:val="both"/>
        <w:ind w:right="20" w:firstLine="656"/>
        <w:spacing w:after="0" w:line="257" w:lineRule="auto"/>
        <w:tabs>
          <w:tab w:leader="none" w:pos="1285"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Status</w:t>
      </w:r>
      <w:r>
        <w:rPr>
          <w:rFonts w:ascii="Arial" w:cs="Arial" w:eastAsia="Arial" w:hAnsi="Arial"/>
          <w:sz w:val="22"/>
          <w:szCs w:val="22"/>
          <w:color w:val="auto"/>
        </w:rPr>
        <w:t>. The Plan is intended to qualify for the exemptions under Title I of ERISA provided for plans that are unfunded and maintained primarily for the purpose of providing benefits for a select group of management or highly compensated employees.</w:t>
      </w:r>
    </w:p>
    <w:p>
      <w:pPr>
        <w:spacing w:after="0" w:line="199"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Each Affiliate of the Company shall be a third-party beneficiary of the Eligible Executive’s covenants and obligations under Sections 8, 9, 10, 11, 12 and 13 and shall be entitled to enforce such obligations as if a party hereto.</w:t>
      </w:r>
    </w:p>
    <w:p>
      <w:pPr>
        <w:spacing w:after="0" w:line="191" w:lineRule="exact"/>
        <w:rPr>
          <w:rFonts w:ascii="Arial" w:cs="Arial" w:eastAsia="Arial" w:hAnsi="Arial"/>
          <w:sz w:val="22"/>
          <w:szCs w:val="22"/>
          <w:color w:val="auto"/>
        </w:rPr>
      </w:pPr>
    </w:p>
    <w:p>
      <w:pPr>
        <w:jc w:val="both"/>
        <w:ind w:firstLine="656"/>
        <w:spacing w:after="0" w:line="251" w:lineRule="auto"/>
        <w:tabs>
          <w:tab w:leader="none" w:pos="129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No Right to Continued Employment</w:t>
      </w:r>
      <w:r>
        <w:rPr>
          <w:rFonts w:ascii="Arial" w:cs="Arial" w:eastAsia="Arial" w:hAnsi="Arial"/>
          <w:sz w:val="22"/>
          <w:szCs w:val="22"/>
          <w:color w:val="auto"/>
        </w:rPr>
        <w:t>. The adoption and maintenance of the Plan shall not be deemed to be a contract of employment between the Company or any of its Affiliates and any person, or to have any impact whatsoever on the at-will employment relationship between the Company or any of its Affiliates and the Eligible Executives. Nothing in the Plan shall be deemed to give any person the right to be retained in the employ of the Company or any of its Affiliates for any period of time or to restrict the right of the Company or any of its Affiliates to terminate the employment of any person at any time.</w:t>
      </w:r>
    </w:p>
    <w:p>
      <w:pPr>
        <w:spacing w:after="0" w:line="208" w:lineRule="exact"/>
        <w:rPr>
          <w:rFonts w:ascii="Arial" w:cs="Arial" w:eastAsia="Arial" w:hAnsi="Arial"/>
          <w:sz w:val="22"/>
          <w:szCs w:val="22"/>
          <w:color w:val="auto"/>
        </w:rPr>
      </w:pPr>
    </w:p>
    <w:p>
      <w:pPr>
        <w:jc w:val="both"/>
        <w:ind w:firstLine="656"/>
        <w:spacing w:after="0" w:line="247" w:lineRule="auto"/>
        <w:tabs>
          <w:tab w:leader="none" w:pos="129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Title and Headings; Construction</w:t>
      </w:r>
      <w:r>
        <w:rPr>
          <w:rFonts w:ascii="Arial" w:cs="Arial" w:eastAsia="Arial" w:hAnsi="Arial"/>
          <w:sz w:val="22"/>
          <w:szCs w:val="22"/>
          <w:color w:val="auto"/>
        </w:rPr>
        <w:t>. Titles and headings to Sections hereof are for the purpose of reference only and shall in no way limit, define or otherwise affect the provisions hereof. Unless the context requires otherwise, all references herein to an agreement, plan, instrument or other document shall be deemed to refer to such agreement, plan, instrument or other document as amended, supplemented, modified and restated from time to time to the extent permitted by the provisions thereof. The word “or” as used herein is not exclusive and is deemed to have the meaning “and/or.” The words “herein”, “hereof”, “hereunder” and other compounds of the word “here” shall refer to the entire Plan, and not to any particular provision hereof. Wherever the context so requires, the masculine gender includes the feminine or neuter, and the singular number includes the plural and conversely.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Neither the Plan nor any uncertainty or ambiguity herein shall be construed or resolved against any party hereto, whether under any rule of construction or otherwise. On the contrary, the Plan has been reviewed by each of the parties hereto and shall be construed and interpreted according to the ordinary meaning of the words used so as to fairly accomplish the purposes and intentions of the parties hereto.</w:t>
      </w:r>
    </w:p>
    <w:p>
      <w:pPr>
        <w:spacing w:after="0" w:line="218" w:lineRule="exact"/>
        <w:rPr>
          <w:rFonts w:ascii="Arial" w:cs="Arial" w:eastAsia="Arial" w:hAnsi="Arial"/>
          <w:sz w:val="22"/>
          <w:szCs w:val="22"/>
          <w:color w:val="auto"/>
        </w:rPr>
      </w:pPr>
    </w:p>
    <w:p>
      <w:pPr>
        <w:jc w:val="both"/>
        <w:ind w:firstLine="656"/>
        <w:spacing w:after="0" w:line="257" w:lineRule="auto"/>
        <w:tabs>
          <w:tab w:leader="none" w:pos="1290"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Overpayment</w:t>
      </w:r>
      <w:r>
        <w:rPr>
          <w:rFonts w:ascii="Arial" w:cs="Arial" w:eastAsia="Arial" w:hAnsi="Arial"/>
          <w:sz w:val="22"/>
          <w:szCs w:val="22"/>
          <w:color w:val="auto"/>
        </w:rPr>
        <w:t>. If, due to mistake or any other reason, a person receives severance payments or benefits under the Plan in excess of what the Plan provides, such person shall repay the overpayment to the Company in a lump sum within 30 days of notice of the amount of overpayment. If such person fails to so repay the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937" w:right="339" w:bottom="1440" w:gutter="0" w:footer="0" w:header="0"/>
        </w:sectPr>
      </w:pPr>
    </w:p>
    <w:bookmarkStart w:id="216" w:name="page217"/>
    <w:bookmarkEnd w:id="216"/>
    <w:p>
      <w:pPr>
        <w:jc w:val="both"/>
        <w:spacing w:after="0" w:line="257" w:lineRule="auto"/>
        <w:rPr>
          <w:sz w:val="20"/>
          <w:szCs w:val="20"/>
          <w:color w:val="auto"/>
        </w:rPr>
      </w:pPr>
      <w:r>
        <w:rPr>
          <w:rFonts w:ascii="Arial" w:cs="Arial" w:eastAsia="Arial" w:hAnsi="Arial"/>
          <w:sz w:val="22"/>
          <w:szCs w:val="22"/>
          <w:color w:val="auto"/>
        </w:rPr>
        <w:t>overpayment, then without limiting any other remedies available to the Company, the Company may deduct the amount of the overpayment from any other amounts which become payable to such person under the Plan or otherwise.</w:t>
      </w:r>
    </w:p>
    <w:p>
      <w:pPr>
        <w:spacing w:after="0" w:line="213" w:lineRule="exact"/>
        <w:rPr>
          <w:sz w:val="20"/>
          <w:szCs w:val="20"/>
          <w:color w:val="auto"/>
        </w:rPr>
      </w:pPr>
    </w:p>
    <w:p>
      <w:pPr>
        <w:jc w:val="both"/>
        <w:ind w:firstLine="656"/>
        <w:spacing w:after="0" w:line="253" w:lineRule="auto"/>
        <w:tabs>
          <w:tab w:leader="none" w:pos="1290"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Any amounts payable under the Plan are subject to any policy (whether in existence as of the Effective Date or later adopted) established by the Company providing for clawback or recovery of amounts that were paid to the Eligible Executive. The Company will make any determination for clawback or recovery in its sole discretion and in accordance with applicable laws, regulations, and securities exchange listing standards.</w:t>
      </w:r>
    </w:p>
    <w:p>
      <w:pPr>
        <w:spacing w:after="0" w:line="202" w:lineRule="exact"/>
        <w:rPr>
          <w:rFonts w:ascii="Arial" w:cs="Arial" w:eastAsia="Arial" w:hAnsi="Arial"/>
          <w:sz w:val="22"/>
          <w:szCs w:val="22"/>
          <w:color w:val="auto"/>
        </w:rPr>
      </w:pPr>
    </w:p>
    <w:p>
      <w:pPr>
        <w:jc w:val="both"/>
        <w:ind w:firstLine="656"/>
        <w:spacing w:after="0" w:line="264" w:lineRule="auto"/>
        <w:tabs>
          <w:tab w:leader="none" w:pos="1296" w:val="left"/>
        </w:tabs>
        <w:numPr>
          <w:ilvl w:val="0"/>
          <w:numId w:val="167"/>
        </w:numPr>
        <w:rPr>
          <w:rFonts w:ascii="Arial" w:cs="Arial" w:eastAsia="Arial" w:hAnsi="Arial"/>
          <w:sz w:val="22"/>
          <w:szCs w:val="22"/>
          <w:color w:val="auto"/>
        </w:rPr>
      </w:pPr>
      <w:r>
        <w:rPr>
          <w:rFonts w:ascii="Arial" w:cs="Arial" w:eastAsia="Arial" w:hAnsi="Arial"/>
          <w:sz w:val="22"/>
          <w:szCs w:val="22"/>
          <w:u w:val="single" w:color="auto"/>
          <w:color w:val="auto"/>
        </w:rPr>
        <w:t>Agent for Service of Legal Process</w:t>
      </w:r>
      <w:r>
        <w:rPr>
          <w:rFonts w:ascii="Arial" w:cs="Arial" w:eastAsia="Arial" w:hAnsi="Arial"/>
          <w:sz w:val="22"/>
          <w:szCs w:val="22"/>
          <w:color w:val="auto"/>
        </w:rPr>
        <w:t>. Legal process may be served on the Committee, which is the plan administrator, at the following address: Compensation Committee of the Board of Directors, c/o Expand Energy Corporation, 6100 N. Western Avenue, Oklahoma City, Oklahoma 73118.</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937"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1645920" cy="402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1">
                      <a:extLst>
                        <a:ext uri="{28A0092B-C50C-407E-A947-70E740481C1C}"/>
                      </a:extLst>
                    </a:blip>
                    <a:srcRect/>
                    <a:stretch>
                      <a:fillRect/>
                    </a:stretch>
                  </pic:blipFill>
                  <pic:spPr bwMode="auto">
                    <a:xfrm>
                      <a:off x="0" y="0"/>
                      <a:ext cx="16459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Re: Participation Agreement - Expand Energy Corporation Executive Severance Plan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Dear [●]:</w:t>
      </w:r>
    </w:p>
    <w:p>
      <w:pPr>
        <w:spacing w:after="0" w:line="2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We are pleased to inform you that you have been designated as eligible to participate in the Expand Energy Corporation Executive Severance Plan (as it may be amended from time to time, the “Plan”), as a Tier [1][2][3] Executive. Your participation in the Plan is subject to the terms and conditions of the Plan and your execution and delivery of this agreement, which constitutes a Participation Agreement (as defined in the Plan). A copy of the Plan is attached hereto as Annex A and is incorporated herein and deemed to be part of this Participation Agreement for all purposes.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0"/>
          <w:szCs w:val="20"/>
          <w:color w:val="auto"/>
        </w:rPr>
        <w:t>In signing below, you expressly agree to be bound by, and promise to abide by, the terms of Sections 8, 9, 10, 11 and 12 of the Plan, which create certain restrictions with respect to confidentiality, non-solicitation, ownership of intellectual property, non-disparagement and post-termination cooperation. You agree that the covenants within Sections 8, 9, 10, 11 and 12 of the Plan are reasonable in all respects.</w:t>
      </w:r>
    </w:p>
    <w:p>
      <w:pPr>
        <w:spacing w:after="0" w:line="20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You acknowledge and agree that the Plan and this Participation Agreement supersede all prior severance benefit policies, plans and arrangements of the Company or any other member of the Company Group (and supersedes all prior oral or written communications by the Company or any of other member of the Company Group with respect to severance benefits), and all such prior policies, plans, arrangements and communications are hereby null and void and of no further force and effect with respect to your participation therein.</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You further acknowledge and agree that (i) you have fully read, understand and voluntarily enter into this Participation Agreement and (ii) you have had a sufficient opportunity to consult with your personal tax, financial planning advisor and attorney about the tax, financial and legal consequences of your participation in the Plan before signing this Participation Agreement.</w:t>
      </w:r>
    </w:p>
    <w:p>
      <w:pPr>
        <w:spacing w:after="0" w:line="21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Unless otherwise defined herein, capitalized terms used in this Participation Agreement shall have the meanings set forth in the Plan. This Participation Agreement may be executed in separate counterparts, each of which shall be deemed an original, but all of which taken together shall constitute one and the same instrument.</w:t>
      </w:r>
    </w:p>
    <w:p>
      <w:pPr>
        <w:spacing w:after="0" w:line="205" w:lineRule="exact"/>
        <w:rPr>
          <w:sz w:val="20"/>
          <w:szCs w:val="20"/>
          <w:color w:val="auto"/>
        </w:rPr>
      </w:pPr>
    </w:p>
    <w:p>
      <w:pPr>
        <w:jc w:val="center"/>
        <w:ind w:right="200"/>
        <w:spacing w:after="0"/>
        <w:rPr>
          <w:sz w:val="20"/>
          <w:szCs w:val="20"/>
          <w:color w:val="auto"/>
        </w:rPr>
      </w:pPr>
      <w:r>
        <w:rPr>
          <w:rFonts w:ascii="Arial" w:cs="Arial" w:eastAsia="Arial" w:hAnsi="Arial"/>
          <w:sz w:val="19"/>
          <w:szCs w:val="19"/>
          <w:color w:val="auto"/>
        </w:rPr>
        <w:t>Please execute this Participation Agreement in the space provided below and send a fully executed copy to [ ] no later than [ ].</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40"/>
          </w:cols>
          <w:pgMar w:left="320" w:top="364" w:right="339" w:bottom="1440" w:gutter="0" w:footer="0" w:header="0"/>
        </w:sectPr>
      </w:pPr>
    </w:p>
    <w:bookmarkStart w:id="218" w:name="page219"/>
    <w:bookmarkEnd w:id="218"/>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Sincerely,</w:t>
      </w:r>
    </w:p>
    <w:p>
      <w:pPr>
        <w:spacing w:after="0" w:line="364" w:lineRule="exact"/>
        <w:rPr>
          <w:sz w:val="20"/>
          <w:szCs w:val="20"/>
          <w:color w:val="auto"/>
        </w:rPr>
      </w:pPr>
    </w:p>
    <w:p>
      <w:pPr>
        <w:jc w:val="right"/>
        <w:ind w:right="1439"/>
        <w:spacing w:after="0"/>
        <w:rPr>
          <w:sz w:val="20"/>
          <w:szCs w:val="20"/>
          <w:color w:val="auto"/>
        </w:rPr>
      </w:pPr>
      <w:r>
        <w:rPr>
          <w:rFonts w:ascii="Arial" w:cs="Arial" w:eastAsia="Arial" w:hAnsi="Arial"/>
          <w:sz w:val="20"/>
          <w:szCs w:val="20"/>
          <w:color w:val="auto"/>
        </w:rPr>
        <w:t>EXPAND ENERGY CORPORATION</w:t>
      </w:r>
    </w:p>
    <w:p>
      <w:pPr>
        <w:spacing w:after="0" w:line="364" w:lineRule="exact"/>
        <w:rPr>
          <w:sz w:val="20"/>
          <w:szCs w:val="20"/>
          <w:color w:val="auto"/>
        </w:rPr>
      </w:pPr>
    </w:p>
    <w:p>
      <w:pPr>
        <w:ind w:left="56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47625</wp:posOffset>
            </wp:positionV>
            <wp:extent cx="33261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88"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Name:</w:t>
      </w:r>
    </w:p>
    <w:p>
      <w:pPr>
        <w:spacing w:after="0" w:line="94"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AGREED AND ACCEPTED</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this ______ day of _________, 20_____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28117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0119"/>
          </w:cols>
          <w:pgMar w:left="340" w:top="1440" w:right="1440" w:bottom="1440" w:gutter="0" w:footer="0" w:header="0"/>
        </w:sectPr>
      </w:pPr>
    </w:p>
    <w:bookmarkStart w:id="219" w:name="page220"/>
    <w:bookmarkEnd w:id="219"/>
    <w:p>
      <w:pPr>
        <w:jc w:val="center"/>
        <w:spacing w:after="0"/>
        <w:rPr>
          <w:sz w:val="20"/>
          <w:szCs w:val="20"/>
          <w:color w:val="auto"/>
        </w:rPr>
      </w:pPr>
      <w:r>
        <w:rPr>
          <w:rFonts w:ascii="Arial" w:cs="Arial" w:eastAsia="Arial" w:hAnsi="Arial"/>
          <w:sz w:val="20"/>
          <w:szCs w:val="20"/>
          <w:b w:val="1"/>
          <w:bCs w:val="1"/>
          <w:u w:val="single" w:color="auto"/>
          <w:color w:val="auto"/>
        </w:rPr>
        <w:t>ANNEX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EXPAND ENERGY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SEVERANCE PLAN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ectPr>
          <w:pgSz w:w="11900" w:h="16838" w:orient="portrait"/>
          <w:cols w:equalWidth="0" w:num="1">
            <w:col w:w="9019"/>
          </w:cols>
          <w:pgMar w:left="1440" w:top="1412"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THE EXPAND ENERGY CORPORATION 2021</w:t>
      </w:r>
    </w:p>
    <w:p>
      <w:pPr>
        <w:jc w:val="center"/>
        <w:spacing w:after="0"/>
        <w:rPr>
          <w:sz w:val="20"/>
          <w:szCs w:val="20"/>
          <w:color w:val="auto"/>
        </w:rPr>
      </w:pPr>
      <w:r>
        <w:rPr>
          <w:rFonts w:ascii="Arial" w:cs="Arial" w:eastAsia="Arial" w:hAnsi="Arial"/>
          <w:sz w:val="22"/>
          <w:szCs w:val="22"/>
          <w:b w:val="1"/>
          <w:bCs w:val="1"/>
          <w:color w:val="auto"/>
        </w:rPr>
        <w:t>LONG TERM INCENTIVE PLAN</w:t>
      </w:r>
    </w:p>
    <w:p>
      <w:pPr>
        <w:spacing w:after="0" w:line="21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22"/>
          <w:szCs w:val="22"/>
          <w:color w:val="auto"/>
        </w:rPr>
        <w:t>Effective as of October 11, 2021, pursuant to action taken by the Board of Directors of Expand Energy Corporation, the Expand Energy Corporation 2021 Long Term Incentive Plan is hereby amended by deleting Section 2.7 in its entirety and replacing it with the following: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47" w:lineRule="exact"/>
        <w:rPr>
          <w:sz w:val="20"/>
          <w:szCs w:val="20"/>
          <w:color w:val="auto"/>
        </w:rPr>
      </w:pPr>
    </w:p>
    <w:p>
      <w:pPr>
        <w:jc w:val="both"/>
        <w:ind w:firstLine="1952"/>
        <w:spacing w:after="0" w:line="249" w:lineRule="auto"/>
        <w:tabs>
          <w:tab w:leader="none" w:pos="2226"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acquisition by any individual, entity or group (within the meaning of Section 13(d)(3) or 14(d)(2) of the Exchange Act) (a “</w:t>
      </w:r>
      <w:r>
        <w:rPr>
          <w:rFonts w:ascii="Arial" w:cs="Arial" w:eastAsia="Arial" w:hAnsi="Arial"/>
          <w:sz w:val="22"/>
          <w:szCs w:val="22"/>
          <w:i w:val="1"/>
          <w:iCs w:val="1"/>
          <w:color w:val="auto"/>
        </w:rPr>
        <w:t>Person</w:t>
      </w:r>
      <w:r>
        <w:rPr>
          <w:rFonts w:ascii="Arial" w:cs="Arial" w:eastAsia="Arial" w:hAnsi="Arial"/>
          <w:sz w:val="22"/>
          <w:szCs w:val="22"/>
          <w:color w:val="auto"/>
        </w:rPr>
        <w:t>”) of beneficial ownership (within the meaning of Rule 13d-3 promulgated under the Exchange Act) of 50% or more of either (A) the then outstanding shares of common stock of the Company (the “</w:t>
      </w:r>
      <w:r>
        <w:rPr>
          <w:rFonts w:ascii="Arial" w:cs="Arial" w:eastAsia="Arial" w:hAnsi="Arial"/>
          <w:sz w:val="22"/>
          <w:szCs w:val="22"/>
          <w:i w:val="1"/>
          <w:iCs w:val="1"/>
          <w:color w:val="auto"/>
        </w:rPr>
        <w:t>Outstanding Company Common Stock</w:t>
      </w:r>
      <w:r>
        <w:rPr>
          <w:rFonts w:ascii="Arial" w:cs="Arial" w:eastAsia="Arial" w:hAnsi="Arial"/>
          <w:sz w:val="22"/>
          <w:szCs w:val="22"/>
          <w:color w:val="auto"/>
        </w:rPr>
        <w:t>”) or (B) the combined voting power of the then outstanding voting securities of the Company entitled to vote generally in the election of directors (the “Outstanding Company Voting Securities”). For purposes of this definition the following acquisitions by a Person will not constitute a Change of Control: (1) any acquisition by the Company; (2) any redemption, share acquisition or other purchase of shares directly or indirectly by the Company; (3) any acquisition by any employee benefit plan (or related trust) sponsored or maintained by the Company or any corporation controlled by the Company; or (4) any acquisition by any corporation pursuant to a transaction which complies with clauses (A) and (B) of paragraph (ii) below;</w:t>
      </w:r>
    </w:p>
    <w:p>
      <w:pPr>
        <w:spacing w:after="0" w:line="210" w:lineRule="exact"/>
        <w:rPr>
          <w:rFonts w:ascii="Arial" w:cs="Arial" w:eastAsia="Arial" w:hAnsi="Arial"/>
          <w:sz w:val="22"/>
          <w:szCs w:val="22"/>
          <w:color w:val="auto"/>
        </w:rPr>
      </w:pPr>
    </w:p>
    <w:p>
      <w:pPr>
        <w:jc w:val="both"/>
        <w:ind w:firstLine="1952"/>
        <w:spacing w:after="0" w:line="247" w:lineRule="auto"/>
        <w:tabs>
          <w:tab w:leader="none" w:pos="225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consummation of a reorganization, merger, consolidation or sale or other disposition of all or substantially all of the assets of the Company (a “</w:t>
      </w:r>
      <w:r>
        <w:rPr>
          <w:rFonts w:ascii="Arial" w:cs="Arial" w:eastAsia="Arial" w:hAnsi="Arial"/>
          <w:sz w:val="22"/>
          <w:szCs w:val="22"/>
          <w:i w:val="1"/>
          <w:iCs w:val="1"/>
          <w:color w:val="auto"/>
        </w:rPr>
        <w:t>Business Combination</w:t>
      </w:r>
      <w:r>
        <w:rPr>
          <w:rFonts w:ascii="Arial" w:cs="Arial" w:eastAsia="Arial" w:hAnsi="Arial"/>
          <w:sz w:val="22"/>
          <w:szCs w:val="22"/>
          <w:color w:val="auto"/>
        </w:rPr>
        <w:t>”),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60%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and (B) no Person (excluding any corporation resulting from such Business Combination or any employee benefit plan (or related trust) of the Company or such corporation resulting from such Business Combination) beneficially owns, directly or indirectly, 50% or more of, respectively, the then outstanding shares of common stock of the corporation resulting from such Business Combination or the combined voting power of the then outstanding</w:t>
      </w:r>
    </w:p>
    <w:p>
      <w:pPr>
        <w:sectPr>
          <w:pgSz w:w="11900" w:h="16838" w:orient="portrait"/>
          <w:cols w:equalWidth="0" w:num="1">
            <w:col w:w="11240"/>
          </w:cols>
          <w:pgMar w:left="320" w:top="931" w:right="339" w:bottom="1440" w:gutter="0" w:footer="0" w:header="0"/>
        </w:sectPr>
      </w:pPr>
    </w:p>
    <w:bookmarkStart w:id="221" w:name="page222"/>
    <w:bookmarkEnd w:id="221"/>
    <w:p>
      <w:pPr>
        <w:spacing w:after="0" w:line="272" w:lineRule="auto"/>
        <w:rPr>
          <w:sz w:val="20"/>
          <w:szCs w:val="20"/>
          <w:color w:val="auto"/>
        </w:rPr>
      </w:pPr>
      <w:r>
        <w:rPr>
          <w:rFonts w:ascii="Arial" w:cs="Arial" w:eastAsia="Arial" w:hAnsi="Arial"/>
          <w:sz w:val="22"/>
          <w:szCs w:val="22"/>
          <w:color w:val="auto"/>
        </w:rPr>
        <w:t>voting securities of such corporation except to the extent that such ownership existed prior to the Business Combination; or</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(iii) the approval by the shareholders of the Company of a complete liquidation or dissolution of the Company.</w:t>
      </w:r>
    </w:p>
    <w:p>
      <w:pPr>
        <w:spacing w:after="0" w:line="272" w:lineRule="exact"/>
        <w:rPr>
          <w:sz w:val="20"/>
          <w:szCs w:val="20"/>
          <w:color w:val="auto"/>
        </w:rPr>
      </w:pPr>
    </w:p>
    <w:p>
      <w:pPr>
        <w:jc w:val="both"/>
        <w:ind w:left="420" w:right="400"/>
        <w:spacing w:after="0" w:line="249" w:lineRule="auto"/>
        <w:rPr>
          <w:sz w:val="20"/>
          <w:szCs w:val="20"/>
          <w:color w:val="auto"/>
        </w:rPr>
      </w:pPr>
      <w:r>
        <w:rPr>
          <w:rFonts w:ascii="Arial" w:cs="Arial" w:eastAsia="Arial" w:hAnsi="Arial"/>
          <w:sz w:val="22"/>
          <w:szCs w:val="22"/>
          <w:color w:val="auto"/>
        </w:rPr>
        <w:t>Notwithstanding any provision of this Section 2.7, (a) in no event may the transaction related to the Company’s reorganization under Chapter 7 or Chapter 11 of the Bankruptcy Code constitute a Change of Control and (b) for purposes of an Award that provides for a deferral of compensation under Section 409A of the Code, to the extent the impact of a Change of Control on such Award would subject a Participant to additional taxes under Section 409A of the Code, a Change of Control described in subsection (i), (ii), or (iii) above with respect to such Award must also constitute a “change in the ownership of a corporation,” “change in the effective control of a corporation,” or a “change in the ownership of a substantial portion of a corporation’s assets” within the meaning of Section 409A of the Code, as applied to the Company."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37" w:right="339" w:bottom="1440" w:gutter="0" w:footer="0" w:header="0"/>
        </w:sectPr>
      </w:pPr>
    </w:p>
    <w:bookmarkStart w:id="222" w:name="page223"/>
    <w:bookmarkEnd w:id="222"/>
    <w:p>
      <w:pPr>
        <w:ind w:left="8960"/>
        <w:spacing w:after="0"/>
        <w:rPr>
          <w:sz w:val="20"/>
          <w:szCs w:val="20"/>
          <w:color w:val="auto"/>
        </w:rPr>
      </w:pPr>
      <w:r>
        <w:rPr>
          <w:rFonts w:ascii="Arial" w:cs="Arial" w:eastAsia="Arial" w:hAnsi="Arial"/>
          <w:sz w:val="22"/>
          <w:szCs w:val="22"/>
          <w:b w:val="1"/>
          <w:bCs w:val="1"/>
          <w:color w:val="auto"/>
        </w:rPr>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1474470" cy="3600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4">
                      <a:extLst>
                        <a:ext uri="{28A0092B-C50C-407E-A947-70E740481C1C}"/>
                      </a:extLst>
                    </a:blip>
                    <a:srcRect/>
                    <a:stretch>
                      <a:fillRect/>
                    </a:stretch>
                  </pic:blipFill>
                  <pic:spPr bwMode="auto">
                    <a:xfrm>
                      <a:off x="0" y="0"/>
                      <a:ext cx="14744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280"/>
        <w:spacing w:after="0"/>
        <w:rPr>
          <w:sz w:val="20"/>
          <w:szCs w:val="20"/>
          <w:color w:val="auto"/>
        </w:rPr>
      </w:pPr>
      <w:r>
        <w:rPr>
          <w:rFonts w:ascii="Calibri" w:cs="Calibri" w:eastAsia="Calibri" w:hAnsi="Calibri"/>
          <w:sz w:val="17"/>
          <w:szCs w:val="17"/>
          <w:b w:val="1"/>
          <w:bCs w:val="1"/>
          <w:color w:val="00386C"/>
        </w:rPr>
        <w:t>Domenic J. Dell’Osso, Jr.</w:t>
      </w:r>
    </w:p>
    <w:p>
      <w:pPr>
        <w:spacing w:after="0" w:line="19" w:lineRule="exact"/>
        <w:rPr>
          <w:sz w:val="20"/>
          <w:szCs w:val="20"/>
          <w:color w:val="auto"/>
        </w:rPr>
      </w:pPr>
    </w:p>
    <w:p>
      <w:pPr>
        <w:jc w:val="right"/>
        <w:spacing w:after="0"/>
        <w:rPr>
          <w:sz w:val="20"/>
          <w:szCs w:val="20"/>
          <w:color w:val="auto"/>
        </w:rPr>
      </w:pPr>
      <w:r>
        <w:rPr>
          <w:rFonts w:ascii="Calibri" w:cs="Calibri" w:eastAsia="Calibri" w:hAnsi="Calibri"/>
          <w:sz w:val="16"/>
          <w:szCs w:val="16"/>
          <w:i w:val="1"/>
          <w:iCs w:val="1"/>
          <w:color w:val="auto"/>
        </w:rPr>
        <w:t>President and Chief Executve Ofcer</w:t>
      </w:r>
    </w:p>
    <w:p>
      <w:pPr>
        <w:spacing w:after="0" w:line="223" w:lineRule="exact"/>
        <w:rPr>
          <w:sz w:val="20"/>
          <w:szCs w:val="20"/>
          <w:color w:val="auto"/>
        </w:rPr>
      </w:pPr>
    </w:p>
    <w:p>
      <w:pPr>
        <w:spacing w:after="0"/>
        <w:rPr>
          <w:sz w:val="20"/>
          <w:szCs w:val="20"/>
          <w:color w:val="auto"/>
        </w:rPr>
      </w:pPr>
      <w:r>
        <w:rPr>
          <w:rFonts w:ascii="Calibri" w:cs="Calibri" w:eastAsia="Calibri" w:hAnsi="Calibri"/>
          <w:sz w:val="20"/>
          <w:szCs w:val="20"/>
          <w:color w:val="auto"/>
        </w:rPr>
        <w:t>October 11, 2024</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u w:val="single" w:color="auto"/>
          <w:color w:val="auto"/>
        </w:rPr>
        <w:t>VIA EMAIL</w:t>
      </w:r>
    </w:p>
    <w:p>
      <w:pPr>
        <w:spacing w:after="0" w:line="238" w:lineRule="auto"/>
        <w:rPr>
          <w:sz w:val="20"/>
          <w:szCs w:val="20"/>
          <w:color w:val="auto"/>
        </w:rPr>
      </w:pPr>
      <w:r>
        <w:rPr>
          <w:rFonts w:ascii="Calibri" w:cs="Calibri" w:eastAsia="Calibri" w:hAnsi="Calibri"/>
          <w:sz w:val="20"/>
          <w:szCs w:val="20"/>
          <w:color w:val="auto"/>
        </w:rPr>
        <w:t>Chris Lacy</w:t>
      </w:r>
    </w:p>
    <w:p>
      <w:pPr>
        <w:spacing w:after="0"/>
        <w:rPr>
          <w:sz w:val="20"/>
          <w:szCs w:val="20"/>
          <w:color w:val="auto"/>
        </w:rPr>
      </w:pPr>
      <w:r>
        <w:rPr>
          <w:rFonts w:ascii="Calibri" w:cs="Calibri" w:eastAsia="Calibri" w:hAnsi="Calibri"/>
          <w:sz w:val="20"/>
          <w:szCs w:val="20"/>
          <w:color w:val="auto"/>
        </w:rPr>
        <w:t>Executve Vice President, General Counsel and Corporate Secretary</w:t>
      </w:r>
    </w:p>
    <w:p>
      <w:pPr>
        <w:spacing w:after="0" w:line="225" w:lineRule="auto"/>
        <w:rPr>
          <w:sz w:val="20"/>
          <w:szCs w:val="20"/>
          <w:color w:val="auto"/>
        </w:rPr>
      </w:pPr>
      <w:r>
        <w:rPr>
          <w:rFonts w:ascii="Calibri" w:cs="Calibri" w:eastAsia="Calibri" w:hAnsi="Calibri"/>
          <w:sz w:val="20"/>
          <w:szCs w:val="20"/>
          <w:color w:val="auto"/>
        </w:rPr>
        <w:t>Expand Energy Corporaton</w:t>
      </w:r>
    </w:p>
    <w:p>
      <w:pPr>
        <w:spacing w:after="0"/>
        <w:rPr>
          <w:sz w:val="20"/>
          <w:szCs w:val="20"/>
          <w:color w:val="auto"/>
        </w:rPr>
      </w:pPr>
      <w:r>
        <w:rPr>
          <w:rFonts w:ascii="Calibri" w:cs="Calibri" w:eastAsia="Calibri" w:hAnsi="Calibri"/>
          <w:sz w:val="20"/>
          <w:szCs w:val="20"/>
          <w:color w:val="auto"/>
        </w:rPr>
        <w:t>6100 N. Western Avenue</w:t>
      </w:r>
    </w:p>
    <w:p>
      <w:pPr>
        <w:spacing w:after="0" w:line="225" w:lineRule="auto"/>
        <w:rPr>
          <w:sz w:val="20"/>
          <w:szCs w:val="20"/>
          <w:color w:val="auto"/>
        </w:rPr>
      </w:pPr>
      <w:r>
        <w:rPr>
          <w:rFonts w:ascii="Calibri" w:cs="Calibri" w:eastAsia="Calibri" w:hAnsi="Calibri"/>
          <w:sz w:val="20"/>
          <w:szCs w:val="20"/>
          <w:color w:val="auto"/>
        </w:rPr>
        <w:t>Oklahoma City, Oklahoma 73118</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Dear Chris:</w:t>
      </w:r>
    </w:p>
    <w:p>
      <w:pPr>
        <w:spacing w:after="0" w:line="252"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As you know, Southwestern Energy Corporaton (“</w:t>
      </w:r>
      <w:r>
        <w:rPr>
          <w:rFonts w:ascii="Calibri" w:cs="Calibri" w:eastAsia="Calibri" w:hAnsi="Calibri"/>
          <w:sz w:val="20"/>
          <w:szCs w:val="20"/>
          <w:b w:val="1"/>
          <w:bCs w:val="1"/>
          <w:color w:val="auto"/>
        </w:rPr>
        <w:t>SWN</w:t>
      </w:r>
      <w:r>
        <w:rPr>
          <w:rFonts w:ascii="Calibri" w:cs="Calibri" w:eastAsia="Calibri" w:hAnsi="Calibri"/>
          <w:sz w:val="20"/>
          <w:szCs w:val="20"/>
          <w:color w:val="auto"/>
        </w:rPr>
        <w:t>”) entered into that certain Agreement and Plan of Merger, dated as of January 10, 2024 (the “</w:t>
      </w:r>
      <w:r>
        <w:rPr>
          <w:rFonts w:ascii="Calibri" w:cs="Calibri" w:eastAsia="Calibri" w:hAnsi="Calibri"/>
          <w:sz w:val="20"/>
          <w:szCs w:val="20"/>
          <w:b w:val="1"/>
          <w:bCs w:val="1"/>
          <w:color w:val="auto"/>
        </w:rPr>
        <w:t>Merger</w:t>
      </w:r>
      <w:r>
        <w:rPr>
          <w:rFonts w:ascii="Calibri" w:cs="Calibri" w:eastAsia="Calibri" w:hAnsi="Calibri"/>
          <w:sz w:val="20"/>
          <w:szCs w:val="20"/>
          <w:color w:val="auto"/>
        </w:rPr>
        <w:t>”), by and among SWN, Expand Energy Corporaton (f/k/a Chesapeake Energy Corporaton), an Oklahoma corporaton (together with its subsidiaries, “</w:t>
      </w:r>
      <w:r>
        <w:rPr>
          <w:rFonts w:ascii="Calibri" w:cs="Calibri" w:eastAsia="Calibri" w:hAnsi="Calibri"/>
          <w:sz w:val="20"/>
          <w:szCs w:val="20"/>
          <w:b w:val="1"/>
          <w:bCs w:val="1"/>
          <w:color w:val="auto"/>
        </w:rPr>
        <w:t>Expand</w:t>
      </w:r>
      <w:r>
        <w:rPr>
          <w:rFonts w:ascii="Calibri" w:cs="Calibri" w:eastAsia="Calibri" w:hAnsi="Calibri"/>
          <w:sz w:val="20"/>
          <w:szCs w:val="20"/>
          <w:color w:val="auto"/>
        </w:rPr>
        <w:t>”), and certain other partes thereto, pursuant to which SWN became a wholly-owned subsidiary of and was subsequently merged with and into Expand on or about October 1, 2024 (the “</w:t>
      </w:r>
      <w:r>
        <w:rPr>
          <w:rFonts w:ascii="Calibri" w:cs="Calibri" w:eastAsia="Calibri" w:hAnsi="Calibri"/>
          <w:sz w:val="20"/>
          <w:szCs w:val="20"/>
          <w:b w:val="1"/>
          <w:bCs w:val="1"/>
          <w:color w:val="auto"/>
        </w:rPr>
        <w:t>Closing Date</w:t>
      </w:r>
      <w:r>
        <w:rPr>
          <w:rFonts w:ascii="Calibri" w:cs="Calibri" w:eastAsia="Calibri" w:hAnsi="Calibri"/>
          <w:sz w:val="20"/>
          <w:szCs w:val="20"/>
          <w:color w:val="auto"/>
        </w:rPr>
        <w:t>”). This leter (the “</w:t>
      </w:r>
      <w:r>
        <w:rPr>
          <w:rFonts w:ascii="Calibri" w:cs="Calibri" w:eastAsia="Calibri" w:hAnsi="Calibri"/>
          <w:sz w:val="20"/>
          <w:szCs w:val="20"/>
          <w:b w:val="1"/>
          <w:bCs w:val="1"/>
          <w:color w:val="auto"/>
        </w:rPr>
        <w:t>Leter</w:t>
      </w:r>
      <w:r>
        <w:rPr>
          <w:rFonts w:ascii="Calibri" w:cs="Calibri" w:eastAsia="Calibri" w:hAnsi="Calibri"/>
          <w:sz w:val="20"/>
          <w:szCs w:val="20"/>
          <w:color w:val="auto"/>
        </w:rPr>
        <w:t>”) confrms that your employment will contnue with Expand, efectve as of the Closing Date, in the role of Executve Vice President – General Counsel &amp; Corporate Secretary. Your annual compensaton in this role will initally be as follows:</w:t>
      </w:r>
    </w:p>
    <w:p>
      <w:pPr>
        <w:spacing w:after="0" w:line="229" w:lineRule="exact"/>
        <w:rPr>
          <w:sz w:val="20"/>
          <w:szCs w:val="20"/>
          <w:color w:val="auto"/>
        </w:rPr>
      </w:pPr>
    </w:p>
    <w:p>
      <w:pPr>
        <w:ind w:left="640" w:hanging="308"/>
        <w:spacing w:after="0"/>
        <w:tabs>
          <w:tab w:leader="none" w:pos="640" w:val="left"/>
        </w:tabs>
        <w:numPr>
          <w:ilvl w:val="0"/>
          <w:numId w:val="169"/>
        </w:numPr>
        <w:rPr>
          <w:rFonts w:ascii="Calibri" w:cs="Calibri" w:eastAsia="Calibri" w:hAnsi="Calibri"/>
          <w:sz w:val="20"/>
          <w:szCs w:val="20"/>
          <w:color w:val="auto"/>
        </w:rPr>
      </w:pPr>
      <w:r>
        <w:rPr>
          <w:rFonts w:ascii="Calibri" w:cs="Calibri" w:eastAsia="Calibri" w:hAnsi="Calibri"/>
          <w:sz w:val="20"/>
          <w:szCs w:val="20"/>
          <w:color w:val="auto"/>
        </w:rPr>
        <w:t>Base Salary: $490,000 annualized.</w:t>
      </w:r>
    </w:p>
    <w:p>
      <w:pPr>
        <w:spacing w:after="0" w:line="8" w:lineRule="exact"/>
        <w:rPr>
          <w:rFonts w:ascii="Calibri" w:cs="Calibri" w:eastAsia="Calibri" w:hAnsi="Calibri"/>
          <w:sz w:val="20"/>
          <w:szCs w:val="20"/>
          <w:color w:val="auto"/>
        </w:rPr>
      </w:pPr>
    </w:p>
    <w:p>
      <w:pPr>
        <w:ind w:left="660" w:right="220" w:hanging="328"/>
        <w:spacing w:after="0" w:line="231" w:lineRule="auto"/>
        <w:tabs>
          <w:tab w:leader="none" w:pos="653" w:val="left"/>
        </w:tabs>
        <w:numPr>
          <w:ilvl w:val="0"/>
          <w:numId w:val="169"/>
        </w:numPr>
        <w:rPr>
          <w:rFonts w:ascii="Calibri" w:cs="Calibri" w:eastAsia="Calibri" w:hAnsi="Calibri"/>
          <w:sz w:val="20"/>
          <w:szCs w:val="20"/>
          <w:color w:val="auto"/>
        </w:rPr>
      </w:pPr>
      <w:r>
        <w:rPr>
          <w:rFonts w:ascii="Calibri" w:cs="Calibri" w:eastAsia="Calibri" w:hAnsi="Calibri"/>
          <w:sz w:val="20"/>
          <w:szCs w:val="20"/>
          <w:color w:val="auto"/>
        </w:rPr>
        <w:t>Annual Target Bonus: 80% of Base Salary with an opportunity of up to 200% of Annual Target Bonus based on the achievement of Expand’s Annual Incentve Plan performance goals established by its Board of Directors or Compensaton Commitee (eligibility begins in the 2024 plan year, payable in Q1 2025).</w:t>
      </w:r>
    </w:p>
    <w:p>
      <w:pPr>
        <w:spacing w:after="0" w:line="1" w:lineRule="exact"/>
        <w:rPr>
          <w:rFonts w:ascii="Calibri" w:cs="Calibri" w:eastAsia="Calibri" w:hAnsi="Calibri"/>
          <w:sz w:val="20"/>
          <w:szCs w:val="20"/>
          <w:color w:val="auto"/>
        </w:rPr>
      </w:pPr>
    </w:p>
    <w:p>
      <w:pPr>
        <w:ind w:left="640" w:hanging="308"/>
        <w:spacing w:after="0" w:line="238" w:lineRule="auto"/>
        <w:tabs>
          <w:tab w:leader="none" w:pos="640" w:val="left"/>
        </w:tabs>
        <w:numPr>
          <w:ilvl w:val="0"/>
          <w:numId w:val="169"/>
        </w:numPr>
        <w:rPr>
          <w:rFonts w:ascii="Calibri" w:cs="Calibri" w:eastAsia="Calibri" w:hAnsi="Calibri"/>
          <w:sz w:val="20"/>
          <w:szCs w:val="20"/>
          <w:color w:val="auto"/>
        </w:rPr>
      </w:pPr>
      <w:r>
        <w:rPr>
          <w:rFonts w:ascii="Calibri" w:cs="Calibri" w:eastAsia="Calibri" w:hAnsi="Calibri"/>
          <w:sz w:val="20"/>
          <w:szCs w:val="20"/>
          <w:color w:val="auto"/>
        </w:rPr>
        <w:t>Annual Long-Term Incentve Target: $1,800,000 (eligibility begins in the 2024 plan year, awarded in Q1 2025).</w:t>
      </w:r>
    </w:p>
    <w:p>
      <w:pPr>
        <w:spacing w:after="0" w:line="239"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You will also be eligible for relocaton benefts in accordance with Expand’s writen policies as previously provided to you. You will have 12 months following the Closing Date to utlize the relocaton benefts.</w:t>
      </w:r>
    </w:p>
    <w:p>
      <w:pPr>
        <w:spacing w:after="0" w:line="239"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In additon, subject to your agreement and acceptance of the terms and conditons of this Leter, as evidenced by your countersignature hereto, and as an inducement for your long-term future services to Expand, you will receive a one-tme inducement award consistng of</w:t>
      </w:r>
    </w:p>
    <w:p>
      <w:pPr>
        <w:spacing w:after="0" w:line="1" w:lineRule="exact"/>
        <w:rPr>
          <w:sz w:val="20"/>
          <w:szCs w:val="20"/>
          <w:color w:val="auto"/>
        </w:rPr>
      </w:pPr>
    </w:p>
    <w:p>
      <w:pPr>
        <w:jc w:val="both"/>
        <w:ind w:firstLine="8"/>
        <w:spacing w:after="0" w:line="233" w:lineRule="auto"/>
        <w:tabs>
          <w:tab w:leader="none" w:pos="232" w:val="left"/>
        </w:tabs>
        <w:numPr>
          <w:ilvl w:val="0"/>
          <w:numId w:val="170"/>
        </w:numPr>
        <w:rPr>
          <w:rFonts w:ascii="Calibri" w:cs="Calibri" w:eastAsia="Calibri" w:hAnsi="Calibri"/>
          <w:sz w:val="20"/>
          <w:szCs w:val="20"/>
          <w:color w:val="auto"/>
        </w:rPr>
      </w:pPr>
      <w:r>
        <w:rPr>
          <w:rFonts w:ascii="Calibri" w:cs="Calibri" w:eastAsia="Calibri" w:hAnsi="Calibri"/>
          <w:sz w:val="20"/>
          <w:szCs w:val="20"/>
          <w:color w:val="auto"/>
        </w:rPr>
        <w:t>an award of Expand restricted stock units valued at $1,000,000 (the “</w:t>
      </w:r>
      <w:r>
        <w:rPr>
          <w:rFonts w:ascii="Calibri" w:cs="Calibri" w:eastAsia="Calibri" w:hAnsi="Calibri"/>
          <w:sz w:val="20"/>
          <w:szCs w:val="20"/>
          <w:b w:val="1"/>
          <w:bCs w:val="1"/>
          <w:color w:val="auto"/>
        </w:rPr>
        <w:t>RSU Award</w:t>
      </w:r>
      <w:r>
        <w:rPr>
          <w:rFonts w:ascii="Calibri" w:cs="Calibri" w:eastAsia="Calibri" w:hAnsi="Calibri"/>
          <w:sz w:val="20"/>
          <w:szCs w:val="20"/>
          <w:color w:val="auto"/>
        </w:rPr>
        <w:t xml:space="preserve">”) and (ii) a cash bonus award of $500,000, which awards are each subject to the terms and conditons of separate agreements that are atached as </w:t>
      </w:r>
      <w:r>
        <w:rPr>
          <w:rFonts w:ascii="Calibri" w:cs="Calibri" w:eastAsia="Calibri" w:hAnsi="Calibri"/>
          <w:sz w:val="20"/>
          <w:szCs w:val="20"/>
          <w:u w:val="single" w:color="auto"/>
          <w:color w:val="auto"/>
        </w:rPr>
        <w:t>Exhibits A</w:t>
      </w:r>
      <w:r>
        <w:rPr>
          <w:rFonts w:ascii="Calibri" w:cs="Calibri" w:eastAsia="Calibri" w:hAnsi="Calibri"/>
          <w:sz w:val="20"/>
          <w:szCs w:val="20"/>
          <w:color w:val="auto"/>
        </w:rPr>
        <w:t xml:space="preserve"> and </w:t>
      </w:r>
      <w:r>
        <w:rPr>
          <w:rFonts w:ascii="Calibri" w:cs="Calibri" w:eastAsia="Calibri" w:hAnsi="Calibri"/>
          <w:sz w:val="20"/>
          <w:szCs w:val="20"/>
          <w:u w:val="single" w:color="auto"/>
          <w:color w:val="auto"/>
        </w:rPr>
        <w:t>B</w:t>
      </w:r>
      <w:r>
        <w:rPr>
          <w:rFonts w:ascii="Calibri" w:cs="Calibri" w:eastAsia="Calibri" w:hAnsi="Calibri"/>
          <w:sz w:val="20"/>
          <w:szCs w:val="20"/>
          <w:color w:val="auto"/>
        </w:rPr>
        <w:t xml:space="preserve"> to this Leter (such awards, the “</w:t>
      </w:r>
      <w:r>
        <w:rPr>
          <w:rFonts w:ascii="Calibri" w:cs="Calibri" w:eastAsia="Calibri" w:hAnsi="Calibri"/>
          <w:sz w:val="20"/>
          <w:szCs w:val="20"/>
          <w:b w:val="1"/>
          <w:bCs w:val="1"/>
          <w:color w:val="auto"/>
        </w:rPr>
        <w:t>Inducement Awards</w:t>
      </w:r>
      <w:r>
        <w:rPr>
          <w:rFonts w:ascii="Calibri" w:cs="Calibri" w:eastAsia="Calibri" w:hAnsi="Calibri"/>
          <w:sz w:val="20"/>
          <w:szCs w:val="20"/>
          <w:color w:val="auto"/>
        </w:rPr>
        <w:t>” and such agreements the “</w:t>
      </w:r>
      <w:r>
        <w:rPr>
          <w:rFonts w:ascii="Calibri" w:cs="Calibri" w:eastAsia="Calibri" w:hAnsi="Calibri"/>
          <w:sz w:val="20"/>
          <w:szCs w:val="20"/>
          <w:b w:val="1"/>
          <w:bCs w:val="1"/>
          <w:color w:val="auto"/>
        </w:rPr>
        <w:t>Inducement Award Agreements</w:t>
      </w:r>
      <w:r>
        <w:rPr>
          <w:rFonts w:ascii="Calibri" w:cs="Calibri" w:eastAsia="Calibri" w:hAnsi="Calibri"/>
          <w:sz w:val="20"/>
          <w:szCs w:val="20"/>
          <w:color w:val="auto"/>
        </w:rPr>
        <w:t>”). The number of Expand restricted stock units to be granted as part of the RSU Award will equal $1,000,000 divided by the volume weighted average price of Expand common stock for the thirty (30) consecutve trading days ending October 14, 2024. For the avoidance of doubt, you will receive the Inducement Awards only if you agree to the terms and conditons of this Leter and execute the Partcipaton Agreement associated with the Expand Severance Plan (as defned below). As an executve ofcer of Expand, you will also be eligible to receive severance benefts as a “Tier 2 Executve” in accordance with Expand’s Executve Severance Plan and associated Partcipaton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Expand Energy Corporaton</w:t>
      </w:r>
    </w:p>
    <w:p>
      <w:pPr>
        <w:jc w:val="center"/>
        <w:spacing w:after="0" w:line="227" w:lineRule="auto"/>
        <w:rPr>
          <w:sz w:val="20"/>
          <w:szCs w:val="20"/>
          <w:color w:val="auto"/>
        </w:rPr>
      </w:pPr>
      <w:r>
        <w:rPr>
          <w:rFonts w:ascii="Calibri" w:cs="Calibri" w:eastAsia="Calibri" w:hAnsi="Calibri"/>
          <w:sz w:val="14"/>
          <w:szCs w:val="14"/>
          <w:color w:val="383838"/>
        </w:rPr>
        <w:t xml:space="preserve">6100 N. Western Avenue </w:t>
      </w:r>
      <w:r>
        <w:rPr>
          <w:rFonts w:ascii="Calibri" w:cs="Calibri" w:eastAsia="Calibri" w:hAnsi="Calibri"/>
          <w:sz w:val="14"/>
          <w:szCs w:val="14"/>
          <w:color w:val="33A2DC"/>
        </w:rPr>
        <w:t>/</w:t>
      </w:r>
      <w:r>
        <w:rPr>
          <w:rFonts w:ascii="Calibri" w:cs="Calibri" w:eastAsia="Calibri" w:hAnsi="Calibri"/>
          <w:sz w:val="14"/>
          <w:szCs w:val="14"/>
          <w:color w:val="383838"/>
        </w:rPr>
        <w:t xml:space="preserve"> Oklahoma City, OK 73118</w:t>
      </w:r>
    </w:p>
    <w:p>
      <w:pPr>
        <w:jc w:val="center"/>
        <w:spacing w:after="0" w:line="228" w:lineRule="auto"/>
        <w:rPr>
          <w:sz w:val="20"/>
          <w:szCs w:val="20"/>
          <w:color w:val="auto"/>
        </w:rPr>
      </w:pPr>
      <w:r>
        <w:rPr>
          <w:rFonts w:ascii="Calibri" w:cs="Calibri" w:eastAsia="Calibri" w:hAnsi="Calibri"/>
          <w:sz w:val="14"/>
          <w:szCs w:val="14"/>
          <w:color w:val="auto"/>
        </w:rPr>
        <w:t>405-935-6125 / nick.dellosso@expandenergy.com</w:t>
      </w:r>
    </w:p>
    <w:p>
      <w:pPr>
        <w:sectPr>
          <w:pgSz w:w="11900" w:h="16838" w:orient="portrait"/>
          <w:cols w:equalWidth="0" w:num="1">
            <w:col w:w="11240"/>
          </w:cols>
          <w:pgMar w:left="320" w:top="341" w:right="339" w:bottom="1440" w:gutter="0" w:footer="0" w:header="0"/>
        </w:sectPr>
      </w:pPr>
    </w:p>
    <w:bookmarkStart w:id="223" w:name="page224"/>
    <w:bookmarkEnd w:id="223"/>
    <w:p>
      <w:pPr>
        <w:jc w:val="both"/>
        <w:spacing w:after="0" w:line="231" w:lineRule="auto"/>
        <w:rPr>
          <w:sz w:val="20"/>
          <w:szCs w:val="20"/>
          <w:color w:val="auto"/>
        </w:rPr>
      </w:pPr>
      <w:r>
        <w:rPr>
          <w:rFonts w:ascii="Calibri" w:cs="Calibri" w:eastAsia="Calibri" w:hAnsi="Calibri"/>
          <w:sz w:val="20"/>
          <w:szCs w:val="20"/>
          <w:color w:val="auto"/>
        </w:rPr>
        <w:t>Agreement (together, the “</w:t>
      </w:r>
      <w:r>
        <w:rPr>
          <w:rFonts w:ascii="Calibri" w:cs="Calibri" w:eastAsia="Calibri" w:hAnsi="Calibri"/>
          <w:sz w:val="20"/>
          <w:szCs w:val="20"/>
          <w:b w:val="1"/>
          <w:bCs w:val="1"/>
          <w:color w:val="auto"/>
        </w:rPr>
        <w:t>Expand Severance Plan</w:t>
      </w:r>
      <w:r>
        <w:rPr>
          <w:rFonts w:ascii="Calibri" w:cs="Calibri" w:eastAsia="Calibri" w:hAnsi="Calibri"/>
          <w:sz w:val="20"/>
          <w:szCs w:val="20"/>
          <w:color w:val="auto"/>
        </w:rPr>
        <w:t xml:space="preserve">”), as modifed for you by the terms of this Leter. The Expand Severance Plan is atached as </w:t>
      </w:r>
      <w:r>
        <w:rPr>
          <w:rFonts w:ascii="Calibri" w:cs="Calibri" w:eastAsia="Calibri" w:hAnsi="Calibri"/>
          <w:sz w:val="20"/>
          <w:szCs w:val="20"/>
          <w:u w:val="single" w:color="auto"/>
          <w:color w:val="auto"/>
        </w:rPr>
        <w:t>Exhibit C</w:t>
      </w:r>
      <w:r>
        <w:rPr>
          <w:rFonts w:ascii="Calibri" w:cs="Calibri" w:eastAsia="Calibri" w:hAnsi="Calibri"/>
          <w:sz w:val="20"/>
          <w:szCs w:val="20"/>
          <w:color w:val="auto"/>
        </w:rPr>
        <w:t xml:space="preserve"> to this Leter. Your partcipaton in the Expand Severance Plan is conditoned on your executon of this Leter and the Partcipaton Agreement.</w:t>
      </w:r>
    </w:p>
    <w:p>
      <w:pPr>
        <w:spacing w:after="0" w:line="254"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For avoidance of doubt, your partcipaton in the Expand Severance Plan will supersede and replace in its entrety the Executve Severance Agreement you previously entered with SWN (the “</w:t>
      </w:r>
      <w:r>
        <w:rPr>
          <w:rFonts w:ascii="Calibri" w:cs="Calibri" w:eastAsia="Calibri" w:hAnsi="Calibri"/>
          <w:sz w:val="20"/>
          <w:szCs w:val="20"/>
          <w:b w:val="1"/>
          <w:bCs w:val="1"/>
          <w:color w:val="auto"/>
        </w:rPr>
        <w:t>SWN Severance Agreement</w:t>
      </w:r>
      <w:r>
        <w:rPr>
          <w:rFonts w:ascii="Calibri" w:cs="Calibri" w:eastAsia="Calibri" w:hAnsi="Calibri"/>
          <w:sz w:val="20"/>
          <w:szCs w:val="20"/>
          <w:color w:val="auto"/>
        </w:rPr>
        <w:t>”) and, as of the date you countersign this Leter, the SWN Severance Agreement will be considered terminated and will be null and void in its entrety. However, it is the express intent of Expand that the transiton of your severance enttlements from the SWN Severance Agreement to the Expand Severance Plan will not (i) materially reduce your severance enttlements during the Transacton Protecton Period (as defned below) or (ii) change the tme of payment of any severance amount or beneft that is subject to the requirements of Secton 409A of the Internal Revenue Code of 1986, as amended (“</w:t>
      </w:r>
      <w:r>
        <w:rPr>
          <w:rFonts w:ascii="Calibri" w:cs="Calibri" w:eastAsia="Calibri" w:hAnsi="Calibri"/>
          <w:sz w:val="20"/>
          <w:szCs w:val="20"/>
          <w:b w:val="1"/>
          <w:bCs w:val="1"/>
          <w:color w:val="auto"/>
        </w:rPr>
        <w:t>Secton 409A</w:t>
      </w:r>
      <w:r>
        <w:rPr>
          <w:rFonts w:ascii="Calibri" w:cs="Calibri" w:eastAsia="Calibri" w:hAnsi="Calibri"/>
          <w:sz w:val="20"/>
          <w:szCs w:val="20"/>
          <w:color w:val="auto"/>
        </w:rPr>
        <w:t>”) to the extent necessary to avoid the impositon of any accelerated or additonal taxes or penaltes under Secton 409A. Therefore, you and the Company agree to the following modifcatons to terms of the Expand Severance Plan as applied to you during the Transacton Protecton Period:</w:t>
      </w:r>
    </w:p>
    <w:p>
      <w:pPr>
        <w:spacing w:after="0" w:line="243" w:lineRule="exact"/>
        <w:rPr>
          <w:sz w:val="20"/>
          <w:szCs w:val="20"/>
          <w:color w:val="auto"/>
        </w:rPr>
      </w:pPr>
    </w:p>
    <w:p>
      <w:pPr>
        <w:ind w:left="660" w:hanging="328"/>
        <w:spacing w:after="0" w:line="234" w:lineRule="auto"/>
        <w:tabs>
          <w:tab w:leader="none" w:pos="652" w:val="left"/>
        </w:tabs>
        <w:numPr>
          <w:ilvl w:val="0"/>
          <w:numId w:val="171"/>
        </w:numPr>
        <w:rPr>
          <w:rFonts w:ascii="Calibri" w:cs="Calibri" w:eastAsia="Calibri" w:hAnsi="Calibri"/>
          <w:sz w:val="20"/>
          <w:szCs w:val="20"/>
          <w:color w:val="auto"/>
        </w:rPr>
      </w:pPr>
      <w:r>
        <w:rPr>
          <w:rFonts w:ascii="Calibri" w:cs="Calibri" w:eastAsia="Calibri" w:hAnsi="Calibri"/>
          <w:sz w:val="20"/>
          <w:szCs w:val="20"/>
          <w:color w:val="auto"/>
        </w:rPr>
        <w:t>The “</w:t>
      </w:r>
      <w:r>
        <w:rPr>
          <w:rFonts w:ascii="Calibri" w:cs="Calibri" w:eastAsia="Calibri" w:hAnsi="Calibri"/>
          <w:sz w:val="20"/>
          <w:szCs w:val="20"/>
          <w:b w:val="1"/>
          <w:bCs w:val="1"/>
          <w:color w:val="auto"/>
        </w:rPr>
        <w:t>Transacton Protecton Period</w:t>
      </w:r>
      <w:r>
        <w:rPr>
          <w:rFonts w:ascii="Calibri" w:cs="Calibri" w:eastAsia="Calibri" w:hAnsi="Calibri"/>
          <w:sz w:val="20"/>
          <w:szCs w:val="20"/>
          <w:color w:val="auto"/>
        </w:rPr>
        <w:t>” shall be the period beginning on the Closing Date and ending on and including September 30, 2027.</w:t>
      </w:r>
    </w:p>
    <w:p>
      <w:pPr>
        <w:spacing w:after="0" w:line="239" w:lineRule="exact"/>
        <w:rPr>
          <w:rFonts w:ascii="Calibri" w:cs="Calibri" w:eastAsia="Calibri" w:hAnsi="Calibri"/>
          <w:sz w:val="20"/>
          <w:szCs w:val="20"/>
          <w:color w:val="auto"/>
        </w:rPr>
      </w:pPr>
    </w:p>
    <w:p>
      <w:pPr>
        <w:jc w:val="both"/>
        <w:ind w:left="660" w:hanging="328"/>
        <w:spacing w:after="0" w:line="233" w:lineRule="auto"/>
        <w:tabs>
          <w:tab w:leader="none" w:pos="652" w:val="left"/>
        </w:tabs>
        <w:numPr>
          <w:ilvl w:val="0"/>
          <w:numId w:val="171"/>
        </w:numPr>
        <w:rPr>
          <w:rFonts w:ascii="Calibri" w:cs="Calibri" w:eastAsia="Calibri" w:hAnsi="Calibri"/>
          <w:sz w:val="20"/>
          <w:szCs w:val="20"/>
          <w:color w:val="auto"/>
        </w:rPr>
      </w:pPr>
      <w:r>
        <w:rPr>
          <w:rFonts w:ascii="Calibri" w:cs="Calibri" w:eastAsia="Calibri" w:hAnsi="Calibri"/>
          <w:sz w:val="20"/>
          <w:szCs w:val="20"/>
          <w:color w:val="auto"/>
        </w:rPr>
        <w:t>In the event you incur a Qualifying Terminaton during the Transacton Protecton Period, you shall be enttled to receive the benefts set forth in Secton 5(b) of the Expand Severance Plan, subject to the other terms and conditons of the Expand Severance Plan as modifed by this Leter, as if the Qualifying Terminaton occurred during a Change of Control Protecton Period for purposes of the Expand Severance Plan.</w:t>
      </w:r>
    </w:p>
    <w:p>
      <w:pPr>
        <w:spacing w:after="0" w:line="253" w:lineRule="exact"/>
        <w:rPr>
          <w:rFonts w:ascii="Calibri" w:cs="Calibri" w:eastAsia="Calibri" w:hAnsi="Calibri"/>
          <w:sz w:val="20"/>
          <w:szCs w:val="20"/>
          <w:color w:val="auto"/>
        </w:rPr>
      </w:pPr>
    </w:p>
    <w:p>
      <w:pPr>
        <w:jc w:val="both"/>
        <w:ind w:left="660" w:hanging="328"/>
        <w:spacing w:after="0" w:line="231" w:lineRule="auto"/>
        <w:tabs>
          <w:tab w:leader="none" w:pos="652" w:val="left"/>
        </w:tabs>
        <w:numPr>
          <w:ilvl w:val="0"/>
          <w:numId w:val="171"/>
        </w:numPr>
        <w:rPr>
          <w:rFonts w:ascii="Calibri" w:cs="Calibri" w:eastAsia="Calibri" w:hAnsi="Calibri"/>
          <w:sz w:val="20"/>
          <w:szCs w:val="20"/>
          <w:color w:val="auto"/>
        </w:rPr>
      </w:pPr>
      <w:r>
        <w:rPr>
          <w:rFonts w:ascii="Calibri" w:cs="Calibri" w:eastAsia="Calibri" w:hAnsi="Calibri"/>
          <w:sz w:val="20"/>
          <w:szCs w:val="20"/>
          <w:color w:val="auto"/>
        </w:rPr>
        <w:t>If you incur a Qualifying Terminaton during the Transacton Protecton Period, (i) the amount payable under Secton 5(b)(ii) of the Expand Severance Plan shall be three (3.0) tmes the Group Health Plan Amount (the “</w:t>
      </w:r>
      <w:r>
        <w:rPr>
          <w:rFonts w:ascii="Calibri" w:cs="Calibri" w:eastAsia="Calibri" w:hAnsi="Calibri"/>
          <w:sz w:val="20"/>
          <w:szCs w:val="20"/>
          <w:b w:val="1"/>
          <w:bCs w:val="1"/>
          <w:color w:val="auto"/>
        </w:rPr>
        <w:t>Group Health Plan Amount</w:t>
      </w:r>
      <w:r>
        <w:rPr>
          <w:rFonts w:ascii="Calibri" w:cs="Calibri" w:eastAsia="Calibri" w:hAnsi="Calibri"/>
          <w:sz w:val="20"/>
          <w:szCs w:val="20"/>
          <w:color w:val="auto"/>
        </w:rPr>
        <w:t>”), and (ii) to the extent necessary to avoid the impositon of any accelerated or additonal taxes or penaltes under Secton 409A, as determined by Expand, payment of the Health Plan Amount will be delayed to conform to the tme(s) at which the corresponding benefts under the SWN Severance Agreement would have been paid or provided.</w:t>
      </w:r>
    </w:p>
    <w:p>
      <w:pPr>
        <w:spacing w:after="0" w:line="256" w:lineRule="exact"/>
        <w:rPr>
          <w:rFonts w:ascii="Calibri" w:cs="Calibri" w:eastAsia="Calibri" w:hAnsi="Calibri"/>
          <w:sz w:val="20"/>
          <w:szCs w:val="20"/>
          <w:color w:val="auto"/>
        </w:rPr>
      </w:pPr>
    </w:p>
    <w:p>
      <w:pPr>
        <w:ind w:left="660" w:hanging="328"/>
        <w:spacing w:after="0" w:line="228" w:lineRule="auto"/>
        <w:tabs>
          <w:tab w:leader="none" w:pos="652" w:val="left"/>
        </w:tabs>
        <w:numPr>
          <w:ilvl w:val="0"/>
          <w:numId w:val="171"/>
        </w:numPr>
        <w:rPr>
          <w:rFonts w:ascii="Calibri" w:cs="Calibri" w:eastAsia="Calibri" w:hAnsi="Calibri"/>
          <w:sz w:val="20"/>
          <w:szCs w:val="20"/>
          <w:color w:val="auto"/>
        </w:rPr>
      </w:pPr>
      <w:r>
        <w:rPr>
          <w:rFonts w:ascii="Calibri" w:cs="Calibri" w:eastAsia="Calibri" w:hAnsi="Calibri"/>
          <w:sz w:val="20"/>
          <w:szCs w:val="20"/>
          <w:color w:val="auto"/>
        </w:rPr>
        <w:t>If you incur a Qualifying Terminaton during the Transacton Protecton Period, the Target Annual Bonus is, solely for purposes of calculatng the CIC Severance Amount under the Expand Severance Plan, deemed to be $712,500.</w:t>
      </w:r>
    </w:p>
    <w:p>
      <w:pPr>
        <w:spacing w:after="0" w:line="251" w:lineRule="exact"/>
        <w:rPr>
          <w:rFonts w:ascii="Calibri" w:cs="Calibri" w:eastAsia="Calibri" w:hAnsi="Calibri"/>
          <w:sz w:val="20"/>
          <w:szCs w:val="20"/>
          <w:color w:val="auto"/>
        </w:rPr>
      </w:pPr>
    </w:p>
    <w:p>
      <w:pPr>
        <w:jc w:val="both"/>
        <w:ind w:left="660" w:hanging="328"/>
        <w:spacing w:after="0" w:line="232" w:lineRule="auto"/>
        <w:tabs>
          <w:tab w:leader="none" w:pos="652" w:val="left"/>
        </w:tabs>
        <w:numPr>
          <w:ilvl w:val="0"/>
          <w:numId w:val="171"/>
        </w:numPr>
        <w:rPr>
          <w:rFonts w:ascii="Calibri" w:cs="Calibri" w:eastAsia="Calibri" w:hAnsi="Calibri"/>
          <w:sz w:val="20"/>
          <w:szCs w:val="20"/>
          <w:color w:val="auto"/>
        </w:rPr>
      </w:pPr>
      <w:r>
        <w:rPr>
          <w:rFonts w:ascii="Calibri" w:cs="Calibri" w:eastAsia="Calibri" w:hAnsi="Calibri"/>
          <w:sz w:val="20"/>
          <w:szCs w:val="20"/>
          <w:color w:val="auto"/>
        </w:rPr>
        <w:t>If you incur a Qualifying Terminaton during the Transacton Protecton Period, all of your outstanding long-term or equity incentve awards in Expand that derive from long-term or equity incentve awards granted to you by SWN prior to the Closing Date (“</w:t>
      </w:r>
      <w:r>
        <w:rPr>
          <w:rFonts w:ascii="Calibri" w:cs="Calibri" w:eastAsia="Calibri" w:hAnsi="Calibri"/>
          <w:sz w:val="20"/>
          <w:szCs w:val="20"/>
          <w:b w:val="1"/>
          <w:bCs w:val="1"/>
          <w:color w:val="auto"/>
        </w:rPr>
        <w:t>Pre-Closing Awards</w:t>
      </w:r>
      <w:r>
        <w:rPr>
          <w:rFonts w:ascii="Calibri" w:cs="Calibri" w:eastAsia="Calibri" w:hAnsi="Calibri"/>
          <w:sz w:val="20"/>
          <w:szCs w:val="20"/>
          <w:color w:val="auto"/>
        </w:rPr>
        <w:t>”) will become fully vested as of the date of such Qualifying Terminaton and will be paid or setled promptly upon vestng and otherwise in accordance with the applicable terms of such awards. For the avoidance of doubt, the foregoing shall not apply to Awards granted by Expand afer the Closing Date (“</w:t>
      </w:r>
      <w:r>
        <w:rPr>
          <w:rFonts w:ascii="Calibri" w:cs="Calibri" w:eastAsia="Calibri" w:hAnsi="Calibri"/>
          <w:sz w:val="20"/>
          <w:szCs w:val="20"/>
          <w:b w:val="1"/>
          <w:bCs w:val="1"/>
          <w:color w:val="auto"/>
        </w:rPr>
        <w:t>Post-Closing Awards</w:t>
      </w:r>
      <w:r>
        <w:rPr>
          <w:rFonts w:ascii="Calibri" w:cs="Calibri" w:eastAsia="Calibri" w:hAnsi="Calibri"/>
          <w:sz w:val="20"/>
          <w:szCs w:val="20"/>
          <w:color w:val="auto"/>
        </w:rPr>
        <w:t>”). Provided, however, in the event that a Change in Control occurs afer the Closing Date (a “</w:t>
      </w:r>
      <w:r>
        <w:rPr>
          <w:rFonts w:ascii="Calibri" w:cs="Calibri" w:eastAsia="Calibri" w:hAnsi="Calibri"/>
          <w:sz w:val="20"/>
          <w:szCs w:val="20"/>
          <w:b w:val="1"/>
          <w:bCs w:val="1"/>
          <w:color w:val="auto"/>
        </w:rPr>
        <w:t>Subsequent Change in Control</w:t>
      </w:r>
      <w:r>
        <w:rPr>
          <w:rFonts w:ascii="Calibri" w:cs="Calibri" w:eastAsia="Calibri" w:hAnsi="Calibri"/>
          <w:sz w:val="20"/>
          <w:szCs w:val="20"/>
          <w:color w:val="auto"/>
        </w:rPr>
        <w:t>”) both the Pre-Closing Awards and the Post-Closing Awards that are granted prior to such Subsequent Change in Control will become fully vested as of the date of such Qualifying Terminaton and will be paid or setled in accordance with the applicable terms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925" w:right="339" w:bottom="1440" w:gutter="0" w:footer="0" w:header="0"/>
        </w:sectPr>
      </w:pPr>
    </w:p>
    <w:bookmarkStart w:id="224" w:name="page225"/>
    <w:bookmarkEnd w:id="224"/>
    <w:p>
      <w:pPr>
        <w:ind w:left="660" w:right="20" w:hanging="328"/>
        <w:spacing w:after="0" w:line="234" w:lineRule="auto"/>
        <w:tabs>
          <w:tab w:leader="none" w:pos="652" w:val="left"/>
        </w:tabs>
        <w:numPr>
          <w:ilvl w:val="0"/>
          <w:numId w:val="172"/>
        </w:numPr>
        <w:rPr>
          <w:rFonts w:ascii="Calibri" w:cs="Calibri" w:eastAsia="Calibri" w:hAnsi="Calibri"/>
          <w:sz w:val="20"/>
          <w:szCs w:val="20"/>
          <w:color w:val="auto"/>
        </w:rPr>
      </w:pPr>
      <w:r>
        <w:rPr>
          <w:rFonts w:ascii="Calibri" w:cs="Calibri" w:eastAsia="Calibri" w:hAnsi="Calibri"/>
          <w:sz w:val="20"/>
          <w:szCs w:val="20"/>
          <w:color w:val="auto"/>
        </w:rPr>
        <w:t>During the Transacton Protecton Period, Expand will not amend the Expand Severance Plan in any manner that would adversely afect the benefts or protectons provided to you under the Expand Severance Plan or this Leter.</w:t>
      </w:r>
    </w:p>
    <w:p>
      <w:pPr>
        <w:spacing w:after="0" w:line="239"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For the avoidance of doubt, you will not be enttled to receive benefts under the Expand Severance Plan, as modifed by this Leter, if your employment is terminated by Expand for Cause. In additon, by countersigning this leter, you agree that none of the following will consttute “Good Reason” for you to resign your employment pursuant to the Expand Severance Plan or the SWN Executve Severance Agreement, with respect to any enttlements relatng to your Pre-Closing Awards or for any other purpose: (i) the dutes, responsibilites, or authority associated with your positon with Expand, as set forth in this frst paragraph of this Leter, including, if applicable, any reducton in any of the foregoing relatve to your dutes, responsibilites, or authority as in efect prior to the Closing Date (ii) your relocaton to the Oklahoma City, OK area, or (iii) any changes to your group health and welfare, retrement or other fringe benefts, relatve to the beneft plans and arrangements of SWN in efect prior to the Closing Date (it being understood that, following a transiton period with respect to certain beneft plans, you will partcipate in the same employee beneft plans and arrangements on the same basis as other similarly situated Expand employees).</w:t>
      </w:r>
    </w:p>
    <w:p>
      <w:pPr>
        <w:spacing w:after="0" w:line="239"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This Leter, together with the Expand Severance Plan and the Inducement Award Agreements, consttute the entre agreement between you and Expand with respect to the subject mater hereof and supersede and replace any and all prior agreements and understandings, writen or oral. The terms of this Leter control over any contrary or confictng term or provision of the Expand Severance Plan or associated Partcipaton Agreement, even if the Partcipaton Agreement may be executed later in tme than this Leter. This Leter may be executed in any number of counterparts (including via facsimile or e-mail in .pdf format), any one of which need not contain the signatures of more than one party, but all of such counterparts together shall consttute one agreement.</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Capitalized terms used but not defned herein have the meanings set forth in the Severance Plan, except as expressly set forth herein.</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We look forward to you contnued service with Expand.</w:t>
      </w:r>
    </w:p>
    <w:p>
      <w:pPr>
        <w:spacing w:after="0" w:line="242" w:lineRule="exact"/>
        <w:rPr>
          <w:sz w:val="20"/>
          <w:szCs w:val="20"/>
          <w:color w:val="auto"/>
        </w:rPr>
      </w:pPr>
    </w:p>
    <w:p>
      <w:pPr>
        <w:ind w:left="3820"/>
        <w:spacing w:after="0"/>
        <w:rPr>
          <w:sz w:val="20"/>
          <w:szCs w:val="20"/>
          <w:color w:val="auto"/>
        </w:rPr>
      </w:pPr>
      <w:r>
        <w:rPr>
          <w:rFonts w:ascii="Calibri" w:cs="Calibri" w:eastAsia="Calibri" w:hAnsi="Calibri"/>
          <w:sz w:val="20"/>
          <w:szCs w:val="20"/>
          <w:color w:val="auto"/>
        </w:rPr>
        <w:t>Sincerely,</w:t>
      </w:r>
    </w:p>
    <w:p>
      <w:pPr>
        <w:spacing w:after="0" w:line="200" w:lineRule="exact"/>
        <w:rPr>
          <w:sz w:val="20"/>
          <w:szCs w:val="20"/>
          <w:color w:val="auto"/>
        </w:rPr>
      </w:pPr>
    </w:p>
    <w:p>
      <w:pPr>
        <w:spacing w:after="0" w:line="271" w:lineRule="exact"/>
        <w:rPr>
          <w:sz w:val="20"/>
          <w:szCs w:val="20"/>
          <w:color w:val="auto"/>
        </w:rPr>
      </w:pPr>
    </w:p>
    <w:p>
      <w:pPr>
        <w:ind w:left="3820"/>
        <w:spacing w:after="0"/>
        <w:rPr>
          <w:sz w:val="20"/>
          <w:szCs w:val="20"/>
          <w:color w:val="auto"/>
        </w:rPr>
      </w:pPr>
      <w:r>
        <w:rPr>
          <w:rFonts w:ascii="Calibri" w:cs="Calibri" w:eastAsia="Calibri" w:hAnsi="Calibri"/>
          <w:sz w:val="20"/>
          <w:szCs w:val="20"/>
          <w:color w:val="auto"/>
        </w:rPr>
        <w:t>__________________________</w:t>
      </w:r>
    </w:p>
    <w:p>
      <w:pPr>
        <w:ind w:left="3820"/>
        <w:spacing w:after="0" w:line="238" w:lineRule="auto"/>
        <w:rPr>
          <w:sz w:val="20"/>
          <w:szCs w:val="20"/>
          <w:color w:val="auto"/>
        </w:rPr>
      </w:pPr>
      <w:r>
        <w:rPr>
          <w:rFonts w:ascii="Calibri" w:cs="Calibri" w:eastAsia="Calibri" w:hAnsi="Calibri"/>
          <w:sz w:val="20"/>
          <w:szCs w:val="20"/>
          <w:color w:val="auto"/>
        </w:rPr>
        <w:t>Domenic J. Dell’Osso, Jr.</w:t>
      </w:r>
    </w:p>
    <w:p>
      <w:pPr>
        <w:ind w:left="3820"/>
        <w:spacing w:after="0"/>
        <w:rPr>
          <w:sz w:val="20"/>
          <w:szCs w:val="20"/>
          <w:color w:val="auto"/>
        </w:rPr>
      </w:pPr>
      <w:r>
        <w:rPr>
          <w:rFonts w:ascii="Calibri" w:cs="Calibri" w:eastAsia="Calibri" w:hAnsi="Calibri"/>
          <w:sz w:val="20"/>
          <w:szCs w:val="20"/>
          <w:color w:val="auto"/>
        </w:rPr>
        <w:t>President and Chief Executve Ofcer</w:t>
      </w:r>
    </w:p>
    <w:p>
      <w:pPr>
        <w:ind w:left="3820"/>
        <w:spacing w:after="0" w:line="225" w:lineRule="auto"/>
        <w:rPr>
          <w:sz w:val="20"/>
          <w:szCs w:val="20"/>
          <w:color w:val="auto"/>
        </w:rPr>
      </w:pPr>
      <w:r>
        <w:rPr>
          <w:rFonts w:ascii="Calibri" w:cs="Calibri" w:eastAsia="Calibri" w:hAnsi="Calibri"/>
          <w:sz w:val="20"/>
          <w:szCs w:val="20"/>
          <w:color w:val="auto"/>
        </w:rPr>
        <w:t>Expand Energy Corporaton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925" w:right="339" w:bottom="1440" w:gutter="0" w:footer="0" w:header="0"/>
        </w:sectPr>
      </w:pPr>
    </w:p>
    <w:bookmarkStart w:id="225" w:name="page226"/>
    <w:bookmarkEnd w:id="225"/>
    <w:p>
      <w:pPr>
        <w:spacing w:after="0" w:line="200" w:lineRule="exact"/>
        <w:rPr>
          <w:sz w:val="20"/>
          <w:szCs w:val="20"/>
          <w:color w:val="auto"/>
        </w:rPr>
      </w:pPr>
    </w:p>
    <w:p>
      <w:pPr>
        <w:spacing w:after="0" w:line="248" w:lineRule="exact"/>
        <w:rPr>
          <w:sz w:val="20"/>
          <w:szCs w:val="20"/>
          <w:color w:val="auto"/>
        </w:rPr>
      </w:pPr>
    </w:p>
    <w:p>
      <w:pPr>
        <w:jc w:val="right"/>
        <w:ind w:right="2319"/>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Counter-Signature Page to Inducement Award Leter</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alibri" w:cs="Calibri" w:eastAsia="Calibri" w:hAnsi="Calibri"/>
          <w:sz w:val="20"/>
          <w:szCs w:val="20"/>
          <w:color w:val="auto"/>
        </w:rPr>
        <w:t>Acknowledged, accepted and agreed as of the [__] day of [__________], 2024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-21590</wp:posOffset>
            </wp:positionV>
            <wp:extent cx="2921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5">
                      <a:extLst>
                        <a:ext uri="{28A0092B-C50C-407E-A947-70E740481C1C}"/>
                      </a:extLst>
                    </a:blip>
                    <a:srcRect/>
                    <a:stretch>
                      <a:fillRect/>
                    </a:stretch>
                  </pic:blipFill>
                  <pic:spPr bwMode="auto">
                    <a:xfrm>
                      <a:off x="0" y="0"/>
                      <a:ext cx="2921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20"/>
          <w:szCs w:val="20"/>
          <w:color w:val="auto"/>
        </w:rPr>
        <w:t>____________________________</w:t>
      </w:r>
    </w:p>
    <w:p>
      <w:pPr>
        <w:spacing w:after="0" w:line="238" w:lineRule="auto"/>
        <w:rPr>
          <w:sz w:val="20"/>
          <w:szCs w:val="20"/>
          <w:color w:val="auto"/>
        </w:rPr>
      </w:pPr>
      <w:r>
        <w:rPr>
          <w:rFonts w:ascii="Calibri" w:cs="Calibri" w:eastAsia="Calibri" w:hAnsi="Calibri"/>
          <w:sz w:val="20"/>
          <w:szCs w:val="20"/>
          <w:b w:val="1"/>
          <w:bCs w:val="1"/>
          <w:color w:val="auto"/>
        </w:rPr>
        <w:t>Chris Lacy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40" w:right="1440" w:bottom="1440" w:gutter="0" w:footer="0" w:header="0"/>
        </w:sectPr>
      </w:pPr>
    </w:p>
    <w:bookmarkStart w:id="226" w:name="page227"/>
    <w:bookmarkEnd w:id="226"/>
    <w:p>
      <w:pPr>
        <w:ind w:left="4100"/>
        <w:spacing w:after="0"/>
        <w:rPr>
          <w:sz w:val="20"/>
          <w:szCs w:val="20"/>
          <w:color w:val="auto"/>
        </w:rPr>
      </w:pPr>
      <w:r>
        <w:rPr>
          <w:rFonts w:ascii="Calibri" w:cs="Calibri" w:eastAsia="Calibri" w:hAnsi="Calibri"/>
          <w:sz w:val="20"/>
          <w:szCs w:val="20"/>
          <w:color w:val="auto"/>
        </w:rPr>
        <w:t>EXHIBIT A</w:t>
      </w:r>
    </w:p>
    <w:p>
      <w:pPr>
        <w:ind w:left="3060"/>
        <w:spacing w:after="0" w:line="238" w:lineRule="auto"/>
        <w:rPr>
          <w:sz w:val="20"/>
          <w:szCs w:val="20"/>
          <w:color w:val="auto"/>
        </w:rPr>
      </w:pPr>
      <w:r>
        <w:rPr>
          <w:rFonts w:ascii="Calibri" w:cs="Calibri" w:eastAsia="Calibri" w:hAnsi="Calibri"/>
          <w:sz w:val="20"/>
          <w:szCs w:val="20"/>
          <w:color w:val="auto"/>
        </w:rPr>
        <w:t>Inducement RSU Award Agreement</w:t>
      </w:r>
    </w:p>
    <w:p>
      <w:pPr>
        <w:jc w:val="center"/>
        <w:spacing w:after="0" w:line="226" w:lineRule="auto"/>
        <w:rPr>
          <w:sz w:val="20"/>
          <w:szCs w:val="20"/>
          <w:color w:val="auto"/>
        </w:rPr>
      </w:pPr>
      <w:r>
        <w:rPr>
          <w:rFonts w:ascii="Calibri" w:cs="Calibri" w:eastAsia="Calibri" w:hAnsi="Calibri"/>
          <w:sz w:val="20"/>
          <w:szCs w:val="20"/>
          <w:i w:val="1"/>
          <w:iCs w:val="1"/>
          <w:color w:val="auto"/>
        </w:rPr>
        <w:t>[See Atached]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9019"/>
          </w:cols>
          <w:pgMar w:left="1440" w:top="1402" w:right="1440" w:bottom="1440" w:gutter="0" w:footer="0" w:header="0"/>
        </w:sectPr>
      </w:pPr>
    </w:p>
    <w:bookmarkStart w:id="227" w:name="page228"/>
    <w:bookmarkEnd w:id="227"/>
    <w:p>
      <w:pPr>
        <w:jc w:val="center"/>
        <w:spacing w:after="0"/>
        <w:rPr>
          <w:sz w:val="20"/>
          <w:szCs w:val="20"/>
          <w:color w:val="auto"/>
        </w:rPr>
      </w:pPr>
      <w:r>
        <w:rPr>
          <w:rFonts w:ascii="Calibri" w:cs="Calibri" w:eastAsia="Calibri" w:hAnsi="Calibri"/>
          <w:sz w:val="20"/>
          <w:szCs w:val="20"/>
          <w:color w:val="auto"/>
        </w:rPr>
        <w:t>EXHIBIT B</w:t>
      </w:r>
    </w:p>
    <w:p>
      <w:pPr>
        <w:jc w:val="center"/>
        <w:spacing w:after="0" w:line="238" w:lineRule="auto"/>
        <w:rPr>
          <w:sz w:val="20"/>
          <w:szCs w:val="20"/>
          <w:color w:val="auto"/>
        </w:rPr>
      </w:pPr>
      <w:r>
        <w:rPr>
          <w:rFonts w:ascii="Calibri" w:cs="Calibri" w:eastAsia="Calibri" w:hAnsi="Calibri"/>
          <w:sz w:val="20"/>
          <w:szCs w:val="20"/>
          <w:color w:val="auto"/>
        </w:rPr>
        <w:t>Inducement Cash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1645920" cy="402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6">
                      <a:extLst>
                        <a:ext uri="{28A0092B-C50C-407E-A947-70E740481C1C}"/>
                      </a:extLst>
                    </a:blip>
                    <a:srcRect/>
                    <a:stretch>
                      <a:fillRect/>
                    </a:stretch>
                  </pic:blipFill>
                  <pic:spPr bwMode="auto">
                    <a:xfrm>
                      <a:off x="0" y="0"/>
                      <a:ext cx="164592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October 11,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Lacy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Hand-Delivery and Email</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Re: </w:t>
      </w:r>
      <w:r>
        <w:rPr>
          <w:rFonts w:ascii="Times New Roman" w:cs="Times New Roman" w:eastAsia="Times New Roman" w:hAnsi="Times New Roman"/>
          <w:sz w:val="21"/>
          <w:szCs w:val="21"/>
          <w:u w:val="single" w:color="auto"/>
          <w:color w:val="auto"/>
        </w:rPr>
        <w:t>Inducement Cash Bonus Clawback</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Chris:</w:t>
      </w:r>
    </w:p>
    <w:p>
      <w:pPr>
        <w:spacing w:after="0" w:line="22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As set forth in your letter dated October 11, 2024, with Expand Energy Corporation, an Oklahoma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0"/>
          <w:szCs w:val="20"/>
          <w:color w:val="auto"/>
        </w:rPr>
        <w:t>”), your $500,000 cash bonus (the “</w:t>
      </w:r>
      <w:r>
        <w:rPr>
          <w:rFonts w:ascii="Times New Roman" w:cs="Times New Roman" w:eastAsia="Times New Roman" w:hAnsi="Times New Roman"/>
          <w:sz w:val="21"/>
          <w:szCs w:val="21"/>
          <w:u w:val="single" w:color="auto"/>
          <w:color w:val="auto"/>
        </w:rPr>
        <w:t>Inducement Signing Bonus</w:t>
      </w:r>
      <w:r>
        <w:rPr>
          <w:rFonts w:ascii="Times New Roman" w:cs="Times New Roman" w:eastAsia="Times New Roman" w:hAnsi="Times New Roman"/>
          <w:sz w:val="20"/>
          <w:szCs w:val="20"/>
          <w:color w:val="auto"/>
        </w:rPr>
        <w:t>”) is subject to a two-year clawback provision. As a condition to the payment of the Inducement Signing Bonus, you agree that in the event your employment with the Company terminates for any reason other than a Qualifying Termination (as defined in the Expand Energy Corporation Executive Severance Plan) before October 11, 2026, you will be required to repay to the Company, within 20 days following the date of such termination, 100% of the Inducement Signing Bonus.</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letter will be governed by, and construed under and in accordance with, the internal laws of the State of Oklahoma, without reference to rules relating to conflicts of laws.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This letter is intended to be a binding obligation on you and the Company. If this letter accurately reflects your understanding as to the terms and conditions of the Inducement Signing Bonus, please sign, date, and return a copy of this Agreement to Ryan Turner. You should make a copy of the executed letter for your records.</w:t>
      </w:r>
    </w:p>
    <w:p>
      <w:pPr>
        <w:spacing w:after="0" w:line="24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EXPAND ENERGY CORPORATION</w:t>
      </w:r>
    </w:p>
    <w:p>
      <w:pPr>
        <w:spacing w:after="0" w:line="281"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_______________________________</w:t>
      </w:r>
    </w:p>
    <w:p>
      <w:pPr>
        <w:spacing w:after="0" w:line="2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Name:  Domenic J. Dell’Osso, Jr.</w:t>
      </w:r>
    </w:p>
    <w:p>
      <w:pPr>
        <w:spacing w:after="0" w:line="27" w:lineRule="exact"/>
        <w:rPr>
          <w:sz w:val="20"/>
          <w:szCs w:val="20"/>
          <w:color w:val="auto"/>
        </w:rPr>
      </w:pPr>
    </w:p>
    <w:p>
      <w:pPr>
        <w:ind w:left="4560"/>
        <w:spacing w:after="0"/>
        <w:tabs>
          <w:tab w:leader="none" w:pos="5200" w:val="left"/>
        </w:tabs>
        <w:rPr>
          <w:sz w:val="20"/>
          <w:szCs w:val="20"/>
          <w:color w:val="auto"/>
        </w:rPr>
      </w:pPr>
      <w:r>
        <w:rPr>
          <w:rFonts w:ascii="Times New Roman" w:cs="Times New Roman" w:eastAsia="Times New Roman" w:hAnsi="Times New Roman"/>
          <w:sz w:val="20"/>
          <w:szCs w:val="20"/>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AGREED AND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24599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Chris Lacy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915" w:right="339" w:bottom="1440" w:gutter="0" w:footer="0" w:header="0"/>
        </w:sectPr>
      </w:pPr>
    </w:p>
    <w:bookmarkStart w:id="228" w:name="page229"/>
    <w:bookmarkEnd w:id="228"/>
    <w:p>
      <w:pPr>
        <w:ind w:left="4100"/>
        <w:spacing w:after="0"/>
        <w:rPr>
          <w:sz w:val="20"/>
          <w:szCs w:val="20"/>
          <w:color w:val="auto"/>
        </w:rPr>
      </w:pPr>
      <w:r>
        <w:rPr>
          <w:rFonts w:ascii="Calibri" w:cs="Calibri" w:eastAsia="Calibri" w:hAnsi="Calibri"/>
          <w:sz w:val="20"/>
          <w:szCs w:val="20"/>
          <w:color w:val="auto"/>
        </w:rPr>
        <w:t>EXHIBIT C</w:t>
      </w:r>
    </w:p>
    <w:p>
      <w:pPr>
        <w:ind w:left="3560"/>
        <w:spacing w:after="0" w:line="238" w:lineRule="auto"/>
        <w:rPr>
          <w:sz w:val="20"/>
          <w:szCs w:val="20"/>
          <w:color w:val="auto"/>
        </w:rPr>
      </w:pPr>
      <w:r>
        <w:rPr>
          <w:rFonts w:ascii="Calibri" w:cs="Calibri" w:eastAsia="Calibri" w:hAnsi="Calibri"/>
          <w:sz w:val="20"/>
          <w:szCs w:val="20"/>
          <w:color w:val="auto"/>
        </w:rPr>
        <w:t>Expand Severance Plan</w:t>
      </w:r>
    </w:p>
    <w:p>
      <w:pPr>
        <w:jc w:val="center"/>
        <w:ind w:right="19"/>
        <w:spacing w:after="0" w:line="226" w:lineRule="auto"/>
        <w:rPr>
          <w:sz w:val="20"/>
          <w:szCs w:val="20"/>
          <w:color w:val="auto"/>
        </w:rPr>
      </w:pPr>
      <w:r>
        <w:rPr>
          <w:rFonts w:ascii="Calibri" w:cs="Calibri" w:eastAsia="Calibri" w:hAnsi="Calibri"/>
          <w:sz w:val="20"/>
          <w:szCs w:val="20"/>
          <w:i w:val="1"/>
          <w:iCs w:val="1"/>
          <w:color w:val="auto"/>
        </w:rPr>
        <w:t>[See Atached]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9019"/>
          </w:cols>
          <w:pgMar w:left="1440" w:top="1158" w:right="1440"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10.34</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GLOBAL SUPPLEMENT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AWARD AGREEMENTS </w:t>
      </w:r>
      <w:r>
        <w:rPr>
          <w:rFonts w:ascii="Times New Roman" w:cs="Times New Roman" w:eastAsia="Times New Roman" w:hAnsi="Times New Roman"/>
          <w:sz w:val="21"/>
          <w:szCs w:val="21"/>
          <w:b w:val="1"/>
          <w:bCs w:val="1"/>
          <w:color w:val="auto"/>
        </w:rPr>
        <w:t>UNDER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EXPAND ENERGY CORPORATION 2021 LONG TERM INCENTIVE PLAN</w:t>
      </w:r>
    </w:p>
    <w:p>
      <w:pPr>
        <w:spacing w:after="0" w:line="221" w:lineRule="exact"/>
        <w:rPr>
          <w:sz w:val="20"/>
          <w:szCs w:val="20"/>
          <w:color w:val="auto"/>
        </w:rPr>
      </w:pPr>
    </w:p>
    <w:p>
      <w:pPr>
        <w:jc w:val="both"/>
        <w:ind w:firstLine="189"/>
        <w:spacing w:after="0" w:line="260" w:lineRule="auto"/>
        <w:rPr>
          <w:sz w:val="20"/>
          <w:szCs w:val="20"/>
          <w:color w:val="auto"/>
        </w:rPr>
      </w:pPr>
      <w:r>
        <w:rPr>
          <w:rFonts w:ascii="Times New Roman" w:cs="Times New Roman" w:eastAsia="Times New Roman" w:hAnsi="Times New Roman"/>
          <w:sz w:val="19"/>
          <w:szCs w:val="19"/>
          <w:color w:val="auto"/>
        </w:rPr>
        <w:t>This Global Supplement to Award Agreements (this “Supplement”) under the Expand Energy Corporation 2021 Long Term Incentive Plan, as amended, f/k/a the Chesapeake Energy Corporation 2021 Long Term Incentive Plan (the “Plan”) is hereby adopted by Expand Energy</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Corporation (the “Company”), as of February 21, 2025 (the “Supplement Effective Date”). Except as otherwise indicated, capitalized terms used but not defined herein shall have the meanings assigned to such terms in the Plan or, if not defined in the Plan, the meanings assigned to such terms in the applicable Award Agreement.</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the Plan and the outstanding award agreements evidencing the Restricted Stock Units and/or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 Units previously granted to [ ] (the “Participant” and such award agreements, the “Award Agreements”), the terms and conditions of the outstanding Award Agreements may be amended without the consent of the Participant, provided that such amendment is not adverse to the Participant’s rights under the Award subject to such amendment; and</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desires to supplement each outstanding Award Agreement held by the Participant to provide for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accelerated vesting of Awards as set forth herein.</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effective as of the Supplement Effective Date, the outstanding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are hereby amended as follows:</w:t>
      </w:r>
    </w:p>
    <w:p>
      <w:pPr>
        <w:spacing w:after="0" w:line="210" w:lineRule="exact"/>
        <w:rPr>
          <w:sz w:val="20"/>
          <w:szCs w:val="20"/>
          <w:color w:val="auto"/>
        </w:rPr>
      </w:pPr>
    </w:p>
    <w:p>
      <w:pPr>
        <w:ind w:firstLine="656"/>
        <w:spacing w:after="0" w:line="245" w:lineRule="auto"/>
        <w:tabs>
          <w:tab w:leader="none" w:pos="129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to the contrary in any Award Agreement, with respect to each Award, if the Participant’s service is terminated by the Company without Cause, a pro rata portion of the Awards shall vest as follows:</w:t>
      </w:r>
    </w:p>
    <w:p>
      <w:pPr>
        <w:spacing w:after="0" w:line="208" w:lineRule="exact"/>
        <w:rPr>
          <w:rFonts w:ascii="Times New Roman" w:cs="Times New Roman" w:eastAsia="Times New Roman" w:hAnsi="Times New Roman"/>
          <w:sz w:val="22"/>
          <w:szCs w:val="22"/>
          <w:color w:val="auto"/>
        </w:rPr>
      </w:pPr>
    </w:p>
    <w:p>
      <w:pPr>
        <w:jc w:val="both"/>
        <w:ind w:left="660" w:firstLine="644"/>
        <w:spacing w:after="0" w:line="233" w:lineRule="auto"/>
        <w:tabs>
          <w:tab w:leader="none" w:pos="1953"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Restricted Stock Units, the pro rata portion of the Award shall be equal to (1) the number of Restricted Stock Units included in the Award multiplied by (2) a fraction (a) the numerator of which equals the number of days that the Participant has provided continuous service with the Company, a Subsidiary or an Affiliated Entity during the period from the Effective Date through the date of the Participant’s termination of employment and (b) the denominator of which equals the number of days during the period from the Effective Date through the last vesting date applicable to such Award, such result of (1) and (2) less (3) the number of Restricted Stock Units that have already vested pursuant to the terms of the applicable Award Agreement. The Restricted Stock Units that vest pursuant to this provision shall be settled within sixty (60) days following the date of the Participant’s termination of employment.</w:t>
      </w:r>
    </w:p>
    <w:p>
      <w:pPr>
        <w:spacing w:after="0" w:line="230" w:lineRule="exact"/>
        <w:rPr>
          <w:rFonts w:ascii="Times New Roman" w:cs="Times New Roman" w:eastAsia="Times New Roman" w:hAnsi="Times New Roman"/>
          <w:sz w:val="22"/>
          <w:szCs w:val="22"/>
          <w:color w:val="auto"/>
        </w:rPr>
      </w:pPr>
    </w:p>
    <w:p>
      <w:pPr>
        <w:jc w:val="both"/>
        <w:ind w:left="660" w:firstLine="644"/>
        <w:spacing w:after="0" w:line="234" w:lineRule="auto"/>
        <w:tabs>
          <w:tab w:leader="none" w:pos="195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With respect to Performance Share Units, the pro rata portion of the Award shall be equal to (1) the number of Performance Share Units earned based on the actual performance results as determined in accordance with the applicable Award Agreement multiplied by (2) a fraction (a) the numerator of which equals the number of days that the Participant has provided continuous service with the Company, a Subsidiary or an Affiliated Entity from the first day of the Performance Period through the date of the Participant’s termination of employment and (b) the denominator of which equals the number of days during the Performance Period. The Performance Share Units that vest pursuant to this provision shall be settled within sixty (60) days following the date the Company determines the achievement of the performance metrics.</w:t>
      </w:r>
    </w:p>
    <w:p>
      <w:pPr>
        <w:spacing w:after="0" w:line="216" w:lineRule="exact"/>
        <w:rPr>
          <w:rFonts w:ascii="Times New Roman" w:cs="Times New Roman" w:eastAsia="Times New Roman" w:hAnsi="Times New Roman"/>
          <w:sz w:val="22"/>
          <w:szCs w:val="22"/>
          <w:color w:val="auto"/>
        </w:rPr>
      </w:pPr>
    </w:p>
    <w:p>
      <w:pPr>
        <w:jc w:val="both"/>
        <w:ind w:right="20" w:firstLine="656"/>
        <w:spacing w:after="0" w:line="242" w:lineRule="auto"/>
        <w:tabs>
          <w:tab w:leader="none" w:pos="129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the foregoing, this Supplement shall not apply to an Award if upon the date the Participant’s service is terminated by the Company without Cause, the Participant is entitled to full acceleration of such Award pursuant to another agreement between the Participant and the Company.</w:t>
      </w:r>
    </w:p>
    <w:p>
      <w:pPr>
        <w:sectPr>
          <w:pgSz w:w="11900" w:h="16838" w:orient="portrait"/>
          <w:cols w:equalWidth="0" w:num="1">
            <w:col w:w="11240"/>
          </w:cols>
          <w:pgMar w:left="320" w:top="350" w:right="339" w:bottom="1440" w:gutter="0" w:footer="0" w:header="0"/>
        </w:sectPr>
      </w:pPr>
    </w:p>
    <w:bookmarkStart w:id="230" w:name="page231"/>
    <w:bookmarkEnd w:id="230"/>
    <w:p>
      <w:pPr>
        <w:jc w:val="both"/>
        <w:ind w:left="-20" w:firstLine="656"/>
        <w:spacing w:after="0" w:line="236" w:lineRule="auto"/>
        <w:tabs>
          <w:tab w:leader="none" w:pos="127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the foregoing, this Supplement shall not apply to any Awards of a Participant who has not been employed by the Company, a Subsidiary or an Affiliated Entity for at least one (1) calendar year as of the date the Participant's service is terminated by the Company without Cause.</w:t>
      </w:r>
    </w:p>
    <w:p>
      <w:pPr>
        <w:spacing w:after="0" w:line="230" w:lineRule="exact"/>
        <w:rPr>
          <w:rFonts w:ascii="Times New Roman" w:cs="Times New Roman" w:eastAsia="Times New Roman" w:hAnsi="Times New Roman"/>
          <w:sz w:val="22"/>
          <w:szCs w:val="22"/>
          <w:color w:val="auto"/>
        </w:rPr>
      </w:pPr>
    </w:p>
    <w:p>
      <w:pPr>
        <w:ind w:left="-20" w:right="20" w:firstLine="656"/>
        <w:spacing w:after="0" w:line="245" w:lineRule="auto"/>
        <w:tabs>
          <w:tab w:leader="none" w:pos="127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Except as expressly amended hereby, and the Award Agreements shall remain in full force and effect and are specifically ratified and reaffirmed.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40" w:top="940"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t>Exhibit 19.1</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EXPAND ENERGY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INSIDER TRADING COMPLIANCE POLICY</w:t>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1.  PURPOSE</w:t>
      </w:r>
    </w:p>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231F20"/>
        </w:rPr>
        <w:t>Expand Energy Corporation (the “Company”) is committed to a fostering a culture of ethical conduct compliance with the all applicable laws, including those prohibiting the trading of securities while in the possession of material non-public information. We require all Company personnel to comply with all applicable laws governing insider trading. This policy sets forth procedures designed to provide reasonable assurance that our personnel will avoid undue legal risk associated with securities trading activity.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2.  SCOPE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231F20"/>
        </w:rPr>
        <w:t>You must comply with this policy if you are:</w:t>
      </w:r>
    </w:p>
    <w:p>
      <w:pPr>
        <w:spacing w:after="0" w:line="256" w:lineRule="exact"/>
        <w:rPr>
          <w:sz w:val="20"/>
          <w:szCs w:val="20"/>
          <w:color w:val="auto"/>
        </w:rPr>
      </w:pPr>
    </w:p>
    <w:p>
      <w:pPr>
        <w:ind w:left="640" w:hanging="308"/>
        <w:spacing w:after="0"/>
        <w:tabs>
          <w:tab w:leader="none" w:pos="640" w:val="left"/>
        </w:tabs>
        <w:numPr>
          <w:ilvl w:val="0"/>
          <w:numId w:val="175"/>
        </w:numPr>
        <w:rPr>
          <w:rFonts w:ascii="Arial" w:cs="Arial" w:eastAsia="Arial" w:hAnsi="Arial"/>
          <w:sz w:val="20"/>
          <w:szCs w:val="20"/>
          <w:color w:val="auto"/>
        </w:rPr>
      </w:pPr>
      <w:r>
        <w:rPr>
          <w:rFonts w:ascii="Arial" w:cs="Arial" w:eastAsia="Arial" w:hAnsi="Arial"/>
          <w:sz w:val="20"/>
          <w:szCs w:val="20"/>
          <w:color w:val="231F20"/>
        </w:rPr>
        <w:t>a director, officer or employee;</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75"/>
        </w:numPr>
        <w:rPr>
          <w:rFonts w:ascii="Arial" w:cs="Arial" w:eastAsia="Arial" w:hAnsi="Arial"/>
          <w:sz w:val="20"/>
          <w:szCs w:val="20"/>
          <w:color w:val="auto"/>
        </w:rPr>
      </w:pPr>
      <w:r>
        <w:rPr>
          <w:rFonts w:ascii="Arial" w:cs="Arial" w:eastAsia="Arial" w:hAnsi="Arial"/>
          <w:sz w:val="20"/>
          <w:szCs w:val="20"/>
          <w:color w:val="231F20"/>
        </w:rPr>
        <w:t>an entity controlled by a director, officer or employee;</w:t>
      </w:r>
    </w:p>
    <w:p>
      <w:pPr>
        <w:spacing w:after="0" w:line="121" w:lineRule="exact"/>
        <w:rPr>
          <w:rFonts w:ascii="Arial" w:cs="Arial" w:eastAsia="Arial" w:hAnsi="Arial"/>
          <w:sz w:val="20"/>
          <w:szCs w:val="20"/>
          <w:color w:val="auto"/>
        </w:rPr>
      </w:pPr>
    </w:p>
    <w:p>
      <w:pPr>
        <w:ind w:left="640" w:hanging="308"/>
        <w:spacing w:after="0"/>
        <w:tabs>
          <w:tab w:leader="none" w:pos="640" w:val="left"/>
        </w:tabs>
        <w:numPr>
          <w:ilvl w:val="0"/>
          <w:numId w:val="175"/>
        </w:numPr>
        <w:rPr>
          <w:rFonts w:ascii="Arial" w:cs="Arial" w:eastAsia="Arial" w:hAnsi="Arial"/>
          <w:sz w:val="20"/>
          <w:szCs w:val="20"/>
          <w:color w:val="auto"/>
        </w:rPr>
      </w:pPr>
      <w:r>
        <w:rPr>
          <w:rFonts w:ascii="Arial" w:cs="Arial" w:eastAsia="Arial" w:hAnsi="Arial"/>
          <w:sz w:val="20"/>
          <w:szCs w:val="20"/>
          <w:color w:val="231F20"/>
        </w:rPr>
        <w:t>a contractor, consultant or other person designated by the Company; or</w:t>
      </w:r>
    </w:p>
    <w:p>
      <w:pPr>
        <w:spacing w:after="0" w:line="107" w:lineRule="exact"/>
        <w:rPr>
          <w:rFonts w:ascii="Arial" w:cs="Arial" w:eastAsia="Arial" w:hAnsi="Arial"/>
          <w:sz w:val="20"/>
          <w:szCs w:val="20"/>
          <w:color w:val="auto"/>
        </w:rPr>
      </w:pPr>
    </w:p>
    <w:p>
      <w:pPr>
        <w:jc w:val="both"/>
        <w:ind w:left="660" w:hanging="328"/>
        <w:spacing w:after="0" w:line="269" w:lineRule="auto"/>
        <w:tabs>
          <w:tab w:leader="none" w:pos="648" w:val="left"/>
        </w:tabs>
        <w:numPr>
          <w:ilvl w:val="0"/>
          <w:numId w:val="175"/>
        </w:numPr>
        <w:rPr>
          <w:rFonts w:ascii="Arial" w:cs="Arial" w:eastAsia="Arial" w:hAnsi="Arial"/>
          <w:sz w:val="20"/>
          <w:szCs w:val="20"/>
          <w:color w:val="auto"/>
        </w:rPr>
      </w:pPr>
      <w:r>
        <w:rPr>
          <w:rFonts w:ascii="Arial" w:cs="Arial" w:eastAsia="Arial" w:hAnsi="Arial"/>
          <w:sz w:val="20"/>
          <w:szCs w:val="20"/>
          <w:color w:val="231F20"/>
        </w:rPr>
        <w:t>a family member or other person living in the household of any of the foregoing persons, or a family member whose transactions in securities of the Company are directed by, or are subject to the influence or control of any of the foregoing persons.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3.  POLICY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Unless otherwise permitted by this Policy, </w:t>
      </w:r>
      <w:r>
        <w:rPr>
          <w:rFonts w:ascii="Arial" w:cs="Arial" w:eastAsia="Arial" w:hAnsi="Arial"/>
          <w:sz w:val="20"/>
          <w:szCs w:val="20"/>
          <w:color w:val="231F20"/>
        </w:rPr>
        <w:t>you must not:</w:t>
      </w:r>
    </w:p>
    <w:p>
      <w:pPr>
        <w:spacing w:after="0" w:line="243" w:lineRule="exact"/>
        <w:rPr>
          <w:sz w:val="20"/>
          <w:szCs w:val="20"/>
          <w:color w:val="auto"/>
        </w:rPr>
      </w:pPr>
    </w:p>
    <w:p>
      <w:pPr>
        <w:ind w:left="660" w:hanging="328"/>
        <w:spacing w:after="0" w:line="286" w:lineRule="auto"/>
        <w:tabs>
          <w:tab w:leader="none" w:pos="64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purchase, sell, gift or otherwise transfer any security of the Company while in possession of material nonpublic information about the Company;</w:t>
      </w:r>
    </w:p>
    <w:p>
      <w:pPr>
        <w:spacing w:after="0" w:line="45"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176"/>
        </w:numPr>
        <w:rPr>
          <w:rFonts w:ascii="Arial" w:cs="Arial" w:eastAsia="Arial" w:hAnsi="Arial"/>
          <w:sz w:val="20"/>
          <w:szCs w:val="20"/>
          <w:color w:val="auto"/>
        </w:rPr>
      </w:pPr>
      <w:r>
        <w:rPr>
          <w:rFonts w:ascii="Arial" w:cs="Arial" w:eastAsia="Arial" w:hAnsi="Arial"/>
          <w:sz w:val="20"/>
          <w:szCs w:val="20"/>
          <w:color w:val="auto"/>
        </w:rPr>
        <w:t>purchase, sell, gift or otherwise transfer any security of any other company, while in possession of material nonpublic information about such other company that you obtained during your employment by or service with the Company;</w:t>
      </w:r>
    </w:p>
    <w:p>
      <w:pPr>
        <w:spacing w:after="0" w:line="61" w:lineRule="exact"/>
        <w:rPr>
          <w:rFonts w:ascii="Arial" w:cs="Arial" w:eastAsia="Arial" w:hAnsi="Arial"/>
          <w:sz w:val="20"/>
          <w:szCs w:val="20"/>
          <w:color w:val="auto"/>
        </w:rPr>
      </w:pPr>
    </w:p>
    <w:p>
      <w:pPr>
        <w:jc w:val="both"/>
        <w:ind w:left="660" w:hanging="328"/>
        <w:spacing w:after="0" w:line="262" w:lineRule="auto"/>
        <w:tabs>
          <w:tab w:leader="none" w:pos="648" w:val="left"/>
        </w:tabs>
        <w:numPr>
          <w:ilvl w:val="0"/>
          <w:numId w:val="176"/>
        </w:numPr>
        <w:rPr>
          <w:rFonts w:ascii="Arial" w:cs="Arial" w:eastAsia="Arial" w:hAnsi="Arial"/>
          <w:sz w:val="20"/>
          <w:szCs w:val="20"/>
          <w:color w:val="auto"/>
        </w:rPr>
      </w:pPr>
      <w:r>
        <w:rPr>
          <w:rFonts w:ascii="Arial" w:cs="Arial" w:eastAsia="Arial" w:hAnsi="Arial"/>
          <w:sz w:val="20"/>
          <w:szCs w:val="20"/>
          <w:color w:val="231F20"/>
        </w:rPr>
        <w:t xml:space="preserve">directly or indirectly communicate material nonpublic information to anyone: (i) within the Company except on a need-to-know basis (i.e., </w:t>
      </w:r>
      <w:r>
        <w:rPr>
          <w:rFonts w:ascii="Arial" w:cs="Arial" w:eastAsia="Arial" w:hAnsi="Arial"/>
          <w:sz w:val="20"/>
          <w:szCs w:val="20"/>
          <w:color w:val="060505"/>
        </w:rPr>
        <w:t>a person whose position with the Company requires access to the information)</w:t>
      </w:r>
      <w:r>
        <w:rPr>
          <w:rFonts w:ascii="Arial" w:cs="Arial" w:eastAsia="Arial" w:hAnsi="Arial"/>
          <w:sz w:val="20"/>
          <w:szCs w:val="20"/>
          <w:color w:val="231F20"/>
        </w:rPr>
        <w:t>; or (ii) outside the Company, except in compliance with applicable provisions of the Company’s Information Security Policy.</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060505"/>
        </w:rPr>
        <w:t xml:space="preserve">Regardless of the circumstances, if material nonpublic information is inadvertently disclosed by any person subject to this Policy, the person making or discovering the disclosure should immediately report the facts to the Company’s General Counsel and his/her designees. </w:t>
      </w:r>
      <w:r>
        <w:rPr>
          <w:rFonts w:ascii="Arial" w:cs="Arial" w:eastAsia="Arial" w:hAnsi="Arial"/>
          <w:sz w:val="20"/>
          <w:szCs w:val="20"/>
          <w:color w:val="231F20"/>
        </w:rPr>
        <w:t>For this purpose:</w:t>
      </w:r>
    </w:p>
    <w:p>
      <w:pPr>
        <w:spacing w:after="0" w:line="185" w:lineRule="exact"/>
        <w:rPr>
          <w:sz w:val="20"/>
          <w:szCs w:val="20"/>
          <w:color w:val="auto"/>
        </w:rPr>
      </w:pPr>
    </w:p>
    <w:p>
      <w:pPr>
        <w:ind w:left="660" w:right="260" w:hanging="328"/>
        <w:spacing w:after="0" w:line="286" w:lineRule="auto"/>
        <w:tabs>
          <w:tab w:leader="none" w:pos="648"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231F20"/>
        </w:rPr>
        <w:t xml:space="preserve">securities </w:t>
      </w:r>
      <w:r>
        <w:rPr>
          <w:rFonts w:ascii="Arial" w:cs="Arial" w:eastAsia="Arial" w:hAnsi="Arial"/>
          <w:sz w:val="20"/>
          <w:szCs w:val="20"/>
          <w:color w:val="231F20"/>
        </w:rPr>
        <w:t>includes stocks, bonds, notes, debentures, options, warrants, equity and other convertible securities, as well</w:t>
      </w:r>
      <w:r>
        <w:rPr>
          <w:rFonts w:ascii="Arial" w:cs="Arial" w:eastAsia="Arial" w:hAnsi="Arial"/>
          <w:sz w:val="20"/>
          <w:szCs w:val="20"/>
          <w:i w:val="1"/>
          <w:iCs w:val="1"/>
          <w:color w:val="231F20"/>
        </w:rPr>
        <w:t xml:space="preserve"> </w:t>
      </w:r>
      <w:r>
        <w:rPr>
          <w:rFonts w:ascii="Arial" w:cs="Arial" w:eastAsia="Arial" w:hAnsi="Arial"/>
          <w:sz w:val="20"/>
          <w:szCs w:val="20"/>
          <w:color w:val="231F20"/>
        </w:rPr>
        <w:t>as derivative instruments;</w:t>
      </w:r>
    </w:p>
    <w:p>
      <w:pPr>
        <w:spacing w:after="0" w:line="32" w:lineRule="exact"/>
        <w:rPr>
          <w:rFonts w:ascii="Arial" w:cs="Arial" w:eastAsia="Arial" w:hAnsi="Arial"/>
          <w:sz w:val="20"/>
          <w:szCs w:val="20"/>
          <w:color w:val="auto"/>
        </w:rPr>
      </w:pPr>
    </w:p>
    <w:p>
      <w:pPr>
        <w:ind w:left="660" w:right="340" w:hanging="328"/>
        <w:spacing w:after="0" w:line="286" w:lineRule="auto"/>
        <w:tabs>
          <w:tab w:leader="none" w:pos="648"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231F20"/>
        </w:rPr>
        <w:t xml:space="preserve">purchase </w:t>
      </w:r>
      <w:r>
        <w:rPr>
          <w:rFonts w:ascii="Arial" w:cs="Arial" w:eastAsia="Arial" w:hAnsi="Arial"/>
          <w:sz w:val="20"/>
          <w:szCs w:val="20"/>
          <w:color w:val="231F20"/>
        </w:rPr>
        <w:t>includes not only the actual purchase of a security, but also any contract to purchase or otherwise acquire a</w:t>
      </w:r>
      <w:r>
        <w:rPr>
          <w:rFonts w:ascii="Arial" w:cs="Arial" w:eastAsia="Arial" w:hAnsi="Arial"/>
          <w:sz w:val="20"/>
          <w:szCs w:val="20"/>
          <w:i w:val="1"/>
          <w:iCs w:val="1"/>
          <w:color w:val="231F20"/>
        </w:rPr>
        <w:t xml:space="preserve"> </w:t>
      </w:r>
      <w:r>
        <w:rPr>
          <w:rFonts w:ascii="Arial" w:cs="Arial" w:eastAsia="Arial" w:hAnsi="Arial"/>
          <w:sz w:val="20"/>
          <w:szCs w:val="20"/>
          <w:color w:val="231F20"/>
        </w:rPr>
        <w:t>security;</w:t>
      </w:r>
    </w:p>
    <w:p>
      <w:pPr>
        <w:spacing w:after="0" w:line="45" w:lineRule="exact"/>
        <w:rPr>
          <w:rFonts w:ascii="Arial" w:cs="Arial" w:eastAsia="Arial" w:hAnsi="Arial"/>
          <w:sz w:val="20"/>
          <w:szCs w:val="20"/>
          <w:color w:val="auto"/>
        </w:rPr>
      </w:pPr>
    </w:p>
    <w:p>
      <w:pPr>
        <w:ind w:left="640" w:hanging="308"/>
        <w:spacing w:after="0"/>
        <w:tabs>
          <w:tab w:leader="none" w:pos="640" w:val="left"/>
        </w:tabs>
        <w:numPr>
          <w:ilvl w:val="0"/>
          <w:numId w:val="177"/>
        </w:numPr>
        <w:rPr>
          <w:rFonts w:ascii="Arial" w:cs="Arial" w:eastAsia="Arial" w:hAnsi="Arial"/>
          <w:sz w:val="20"/>
          <w:szCs w:val="20"/>
          <w:color w:val="auto"/>
        </w:rPr>
      </w:pPr>
      <w:r>
        <w:rPr>
          <w:rFonts w:ascii="Arial" w:cs="Arial" w:eastAsia="Arial" w:hAnsi="Arial"/>
          <w:sz w:val="20"/>
          <w:szCs w:val="20"/>
          <w:i w:val="1"/>
          <w:iCs w:val="1"/>
          <w:color w:val="231F20"/>
        </w:rPr>
        <w:t xml:space="preserve">sale </w:t>
      </w:r>
      <w:r>
        <w:rPr>
          <w:rFonts w:ascii="Arial" w:cs="Arial" w:eastAsia="Arial" w:hAnsi="Arial"/>
          <w:sz w:val="20"/>
          <w:szCs w:val="20"/>
          <w:color w:val="231F20"/>
        </w:rPr>
        <w:t>includes not only the actual sale of a security, but also any contract to sell or otherwise dispose of a security;</w:t>
      </w:r>
    </w:p>
    <w:p>
      <w:pPr>
        <w:sectPr>
          <w:pgSz w:w="11900" w:h="16838" w:orient="portrait"/>
          <w:cols w:equalWidth="0" w:num="1">
            <w:col w:w="11240"/>
          </w:cols>
          <w:pgMar w:left="320" w:top="125" w:right="339" w:bottom="1440" w:gutter="0" w:footer="0" w:header="0"/>
        </w:sectPr>
      </w:pPr>
    </w:p>
    <w:bookmarkStart w:id="232" w:name="page233"/>
    <w:bookmarkEnd w:id="232"/>
    <w:p>
      <w:pPr>
        <w:jc w:val="both"/>
        <w:ind w:left="660" w:hanging="328"/>
        <w:spacing w:after="0" w:line="262" w:lineRule="auto"/>
        <w:tabs>
          <w:tab w:leader="none" w:pos="648" w:val="left"/>
        </w:tabs>
        <w:numPr>
          <w:ilvl w:val="0"/>
          <w:numId w:val="178"/>
        </w:numPr>
        <w:rPr>
          <w:rFonts w:ascii="Arial" w:cs="Arial" w:eastAsia="Arial" w:hAnsi="Arial"/>
          <w:sz w:val="20"/>
          <w:szCs w:val="20"/>
          <w:color w:val="auto"/>
        </w:rPr>
      </w:pPr>
      <w:r>
        <w:rPr>
          <w:rFonts w:ascii="Arial" w:cs="Arial" w:eastAsia="Arial" w:hAnsi="Arial"/>
          <w:sz w:val="20"/>
          <w:szCs w:val="20"/>
          <w:i w:val="1"/>
          <w:iCs w:val="1"/>
          <w:color w:val="231F20"/>
        </w:rPr>
        <w:t xml:space="preserve">material </w:t>
      </w:r>
      <w:r>
        <w:rPr>
          <w:rFonts w:ascii="Arial" w:cs="Arial" w:eastAsia="Arial" w:hAnsi="Arial"/>
          <w:sz w:val="20"/>
          <w:szCs w:val="20"/>
          <w:color w:val="231F20"/>
        </w:rPr>
        <w:t>means likely to have a significant effect on the market price of the security (also understood to mean a</w:t>
      </w:r>
      <w:r>
        <w:rPr>
          <w:rFonts w:ascii="Arial" w:cs="Arial" w:eastAsia="Arial" w:hAnsi="Arial"/>
          <w:sz w:val="20"/>
          <w:szCs w:val="20"/>
          <w:i w:val="1"/>
          <w:iCs w:val="1"/>
          <w:color w:val="231F20"/>
        </w:rPr>
        <w:t xml:space="preserve"> </w:t>
      </w:r>
      <w:r>
        <w:rPr>
          <w:rFonts w:ascii="Arial" w:cs="Arial" w:eastAsia="Arial" w:hAnsi="Arial"/>
          <w:sz w:val="20"/>
          <w:szCs w:val="20"/>
          <w:color w:val="231F20"/>
        </w:rPr>
        <w:t>substantial likelihood that a reasonable investor would consider the information important in making an investment decision); and</w:t>
      </w:r>
    </w:p>
    <w:p>
      <w:pPr>
        <w:spacing w:after="0" w:line="70"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178"/>
        </w:numPr>
        <w:rPr>
          <w:rFonts w:ascii="Arial" w:cs="Arial" w:eastAsia="Arial" w:hAnsi="Arial"/>
          <w:sz w:val="20"/>
          <w:szCs w:val="20"/>
          <w:color w:val="auto"/>
        </w:rPr>
      </w:pPr>
      <w:r>
        <w:rPr>
          <w:rFonts w:ascii="Arial" w:cs="Arial" w:eastAsia="Arial" w:hAnsi="Arial"/>
          <w:sz w:val="20"/>
          <w:szCs w:val="20"/>
          <w:i w:val="1"/>
          <w:iCs w:val="1"/>
          <w:color w:val="231F20"/>
        </w:rPr>
        <w:t xml:space="preserve">nonpublic </w:t>
      </w:r>
      <w:r>
        <w:rPr>
          <w:rFonts w:ascii="Arial" w:cs="Arial" w:eastAsia="Arial" w:hAnsi="Arial"/>
          <w:sz w:val="20"/>
          <w:szCs w:val="20"/>
          <w:color w:val="231F20"/>
        </w:rPr>
        <w:t>means not broadly disseminated to the general public so that investors have been able to factor the</w:t>
      </w:r>
      <w:r>
        <w:rPr>
          <w:rFonts w:ascii="Arial" w:cs="Arial" w:eastAsia="Arial" w:hAnsi="Arial"/>
          <w:sz w:val="20"/>
          <w:szCs w:val="20"/>
          <w:i w:val="1"/>
          <w:iCs w:val="1"/>
          <w:color w:val="231F20"/>
        </w:rPr>
        <w:t xml:space="preserve"> </w:t>
      </w:r>
      <w:r>
        <w:rPr>
          <w:rFonts w:ascii="Arial" w:cs="Arial" w:eastAsia="Arial" w:hAnsi="Arial"/>
          <w:sz w:val="20"/>
          <w:szCs w:val="20"/>
          <w:color w:val="231F20"/>
        </w:rPr>
        <w:t>information into the market price of the security.</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231F20"/>
        </w:rPr>
        <w:t>This Policy applies to discretionary transactions involving Company securities in an employee’s 401(k) Plan and 401(k) Make-Up Plan accounts, including (i) elections to make intra-plan transfers into or out of Company securities; and (ii) elections to increase or decrease the percentage allocation of new investments in the plan to Company securities. The Policy does not apply, however, to repetitive investments in the Company stock fund which occur every pay period pursuant to a payroll deduction in a like amount each period.</w:t>
      </w:r>
    </w:p>
    <w:p>
      <w:pPr>
        <w:spacing w:after="0" w:line="214"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231F20"/>
        </w:rPr>
        <w:t>To understand how these terms apply to specific circumstances, or for any other questions about this Policy, you should ask the Company’s General Counsel or his/her designees.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231F20"/>
        </w:rPr>
        <w:t>4.  ADDITIONAL GUIDANCE</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b w:val="1"/>
          <w:bCs w:val="1"/>
          <w:u w:val="single" w:color="auto"/>
          <w:color w:val="231F20"/>
        </w:rPr>
        <w:t>Quarterly Blackout Periods</w:t>
      </w:r>
    </w:p>
    <w:p>
      <w:pPr>
        <w:spacing w:after="0" w:line="245"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231F20"/>
        </w:rPr>
        <w:t xml:space="preserve">The General Counsel or his/her designees will designate a list of persons who (with their controlled entities and household members) must not purchase, sell, gift or otherwise transfer any security of the Company during any blackout period. The list of persons subject to quarterly blackout periods shall, at a minimum, include the Company’s officers, as defined in Rule 16a-1(f) under the </w:t>
      </w:r>
      <w:r>
        <w:rPr>
          <w:rFonts w:ascii="Arial" w:cs="Arial" w:eastAsia="Arial" w:hAnsi="Arial"/>
          <w:sz w:val="20"/>
          <w:szCs w:val="20"/>
          <w:color w:val="000000"/>
        </w:rPr>
        <w:t>Securities Exchange Act of 1934, as amended (the “Exchange Act”),</w:t>
      </w:r>
      <w:r>
        <w:rPr>
          <w:rFonts w:ascii="Arial" w:cs="Arial" w:eastAsia="Arial" w:hAnsi="Arial"/>
          <w:sz w:val="20"/>
          <w:szCs w:val="20"/>
          <w:color w:val="231F20"/>
        </w:rPr>
        <w:t xml:space="preserve"> and directors (collectively, the “Section 16 Reporting Persons”).</w:t>
      </w:r>
    </w:p>
    <w:p>
      <w:pPr>
        <w:spacing w:after="0" w:line="19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231F20"/>
        </w:rPr>
        <w:t>The quarterly blackout period begins at the close of business on the last trading day of the last month of each fiscal quarter and ends after completion of one trading day after the earnings release for that quarter.</w:t>
      </w:r>
    </w:p>
    <w:p>
      <w:pPr>
        <w:spacing w:after="0" w:line="167" w:lineRule="exact"/>
        <w:rPr>
          <w:sz w:val="20"/>
          <w:szCs w:val="20"/>
          <w:color w:val="auto"/>
        </w:rPr>
      </w:pPr>
    </w:p>
    <w:p>
      <w:pPr>
        <w:ind w:right="280"/>
        <w:spacing w:after="0" w:line="269" w:lineRule="auto"/>
        <w:rPr>
          <w:sz w:val="20"/>
          <w:szCs w:val="20"/>
          <w:color w:val="auto"/>
        </w:rPr>
      </w:pPr>
      <w:r>
        <w:rPr>
          <w:rFonts w:ascii="Arial" w:cs="Arial" w:eastAsia="Arial" w:hAnsi="Arial"/>
          <w:sz w:val="20"/>
          <w:szCs w:val="20"/>
          <w:color w:val="auto"/>
        </w:rPr>
        <w:t>Trading in Company securities during a trading window outside of a blackout period should not be considered a "safe harbor." Accordingly, you should confirm that you are not in possession of material non-public information each time you consider executing a trade.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4.2 </w:t>
      </w:r>
      <w:r>
        <w:rPr>
          <w:rFonts w:ascii="Arial" w:cs="Arial" w:eastAsia="Arial" w:hAnsi="Arial"/>
          <w:sz w:val="20"/>
          <w:szCs w:val="20"/>
          <w:b w:val="1"/>
          <w:bCs w:val="1"/>
          <w:u w:val="single" w:color="auto"/>
          <w:color w:val="231F20"/>
        </w:rPr>
        <w:t>Additional Blackout Periods</w:t>
      </w:r>
    </w:p>
    <w:p>
      <w:pPr>
        <w:spacing w:after="0" w:line="258" w:lineRule="exact"/>
        <w:rPr>
          <w:sz w:val="20"/>
          <w:szCs w:val="20"/>
          <w:color w:val="auto"/>
        </w:rPr>
      </w:pPr>
    </w:p>
    <w:p>
      <w:pPr>
        <w:jc w:val="both"/>
        <w:ind w:right="140"/>
        <w:spacing w:after="0" w:line="262" w:lineRule="auto"/>
        <w:rPr>
          <w:sz w:val="20"/>
          <w:szCs w:val="20"/>
          <w:color w:val="auto"/>
        </w:rPr>
      </w:pPr>
      <w:r>
        <w:rPr>
          <w:rFonts w:ascii="Arial" w:cs="Arial" w:eastAsia="Arial" w:hAnsi="Arial"/>
          <w:sz w:val="20"/>
          <w:szCs w:val="20"/>
          <w:color w:val="231F20"/>
        </w:rPr>
        <w:t>From time to time, the General Counsel and his/her designees may determine that an additional blackout period is appropriate. Persons subject to an additional blackout period must not purchase, sell, gift or otherwise transfer any security of the Company and must not disclose that an additional blackout is in effect.</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4.3 </w:t>
      </w:r>
      <w:r>
        <w:rPr>
          <w:rFonts w:ascii="Arial" w:cs="Arial" w:eastAsia="Arial" w:hAnsi="Arial"/>
          <w:sz w:val="20"/>
          <w:szCs w:val="20"/>
          <w:b w:val="1"/>
          <w:bCs w:val="1"/>
          <w:u w:val="single" w:color="auto"/>
          <w:color w:val="231F20"/>
        </w:rPr>
        <w:t>Exempt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231F20"/>
        </w:rPr>
        <w:t xml:space="preserve">This Policy, except </w:t>
      </w:r>
      <w:r>
        <w:rPr>
          <w:rFonts w:ascii="Arial" w:cs="Arial" w:eastAsia="Arial" w:hAnsi="Arial"/>
          <w:sz w:val="20"/>
          <w:szCs w:val="20"/>
          <w:color w:val="000000"/>
        </w:rPr>
        <w:t>for the provisions set forth in the Prohibited Transactions section below, does</w:t>
      </w:r>
      <w:r>
        <w:rPr>
          <w:rFonts w:ascii="Arial" w:cs="Arial" w:eastAsia="Arial" w:hAnsi="Arial"/>
          <w:sz w:val="20"/>
          <w:szCs w:val="20"/>
          <w:color w:val="231F20"/>
        </w:rPr>
        <w:t xml:space="preserve"> not apply to:</w:t>
      </w:r>
    </w:p>
    <w:p>
      <w:pPr>
        <w:spacing w:after="0" w:line="256" w:lineRule="exact"/>
        <w:rPr>
          <w:sz w:val="20"/>
          <w:szCs w:val="20"/>
          <w:color w:val="auto"/>
        </w:rPr>
      </w:pPr>
    </w:p>
    <w:p>
      <w:pPr>
        <w:ind w:left="1940" w:hanging="312"/>
        <w:spacing w:after="0"/>
        <w:tabs>
          <w:tab w:leader="none" w:pos="1940" w:val="left"/>
        </w:tabs>
        <w:numPr>
          <w:ilvl w:val="0"/>
          <w:numId w:val="179"/>
        </w:numPr>
        <w:rPr>
          <w:rFonts w:ascii="Arial" w:cs="Arial" w:eastAsia="Arial" w:hAnsi="Arial"/>
          <w:sz w:val="20"/>
          <w:szCs w:val="20"/>
          <w:color w:val="auto"/>
        </w:rPr>
      </w:pPr>
      <w:r>
        <w:rPr>
          <w:rFonts w:ascii="Arial" w:cs="Arial" w:eastAsia="Arial" w:hAnsi="Arial"/>
          <w:sz w:val="20"/>
          <w:szCs w:val="20"/>
          <w:color w:val="231F20"/>
        </w:rPr>
        <w:t>transactions directly with the Company;</w:t>
      </w:r>
    </w:p>
    <w:p>
      <w:pPr>
        <w:spacing w:after="0" w:line="107" w:lineRule="exact"/>
        <w:rPr>
          <w:rFonts w:ascii="Arial" w:cs="Arial" w:eastAsia="Arial" w:hAnsi="Arial"/>
          <w:sz w:val="20"/>
          <w:szCs w:val="20"/>
          <w:color w:val="auto"/>
        </w:rPr>
      </w:pPr>
    </w:p>
    <w:p>
      <w:pPr>
        <w:ind w:left="1960" w:right="340" w:hanging="332"/>
        <w:spacing w:after="0" w:line="269" w:lineRule="auto"/>
        <w:tabs>
          <w:tab w:leader="none" w:pos="1948" w:val="left"/>
        </w:tabs>
        <w:numPr>
          <w:ilvl w:val="0"/>
          <w:numId w:val="179"/>
        </w:numPr>
        <w:rPr>
          <w:rFonts w:ascii="Arial" w:cs="Arial" w:eastAsia="Arial" w:hAnsi="Arial"/>
          <w:sz w:val="20"/>
          <w:szCs w:val="20"/>
          <w:color w:val="auto"/>
        </w:rPr>
      </w:pPr>
      <w:r>
        <w:rPr>
          <w:rFonts w:ascii="Arial" w:cs="Arial" w:eastAsia="Arial" w:hAnsi="Arial"/>
          <w:sz w:val="20"/>
          <w:szCs w:val="20"/>
          <w:color w:val="auto"/>
        </w:rPr>
        <w:t>gift transactions for family or estate planning purposes, where securities are gifted to a person or entity subject to this Policy, except that gift transactions involving Company securities are subject to pre-clearance;</w:t>
      </w:r>
    </w:p>
    <w:p>
      <w:pPr>
        <w:sectPr>
          <w:pgSz w:w="11900" w:h="16838" w:orient="portrait"/>
          <w:cols w:equalWidth="0" w:num="1">
            <w:col w:w="11240"/>
          </w:cols>
          <w:pgMar w:left="320" w:top="888" w:right="339" w:bottom="1440" w:gutter="0" w:footer="0" w:header="0"/>
        </w:sectPr>
      </w:pPr>
    </w:p>
    <w:bookmarkStart w:id="233" w:name="page234"/>
    <w:bookmarkEnd w:id="233"/>
    <w:p>
      <w:pPr>
        <w:jc w:val="both"/>
        <w:ind w:left="1960" w:hanging="332"/>
        <w:spacing w:after="0" w:line="259" w:lineRule="auto"/>
        <w:tabs>
          <w:tab w:leader="none" w:pos="1948" w:val="left"/>
        </w:tabs>
        <w:numPr>
          <w:ilvl w:val="0"/>
          <w:numId w:val="180"/>
        </w:numPr>
        <w:rPr>
          <w:rFonts w:ascii="Arial" w:cs="Arial" w:eastAsia="Arial" w:hAnsi="Arial"/>
          <w:sz w:val="20"/>
          <w:szCs w:val="20"/>
          <w:color w:val="auto"/>
        </w:rPr>
      </w:pPr>
      <w:r>
        <w:rPr>
          <w:rFonts w:ascii="Arial" w:cs="Arial" w:eastAsia="Arial" w:hAnsi="Arial"/>
          <w:sz w:val="20"/>
          <w:szCs w:val="20"/>
          <w:color w:val="231F20"/>
        </w:rPr>
        <w:t>exercises of stock options or the vesting of equity-based awards or the surrender of shares to the Company in payment of the exercise price or in satisfaction of any tax withholding obligations in a manner permitted by the applicable equity award agreement, in each case, that do not involve a market sale of the Company’s securities;</w:t>
      </w:r>
    </w:p>
    <w:p>
      <w:pPr>
        <w:spacing w:after="0" w:line="6" w:lineRule="exact"/>
        <w:rPr>
          <w:rFonts w:ascii="Arial" w:cs="Arial" w:eastAsia="Arial" w:hAnsi="Arial"/>
          <w:sz w:val="20"/>
          <w:szCs w:val="20"/>
          <w:color w:val="auto"/>
        </w:rPr>
      </w:pPr>
    </w:p>
    <w:p>
      <w:pPr>
        <w:jc w:val="both"/>
        <w:ind w:left="2600" w:hanging="324"/>
        <w:spacing w:after="0" w:line="269" w:lineRule="auto"/>
        <w:tabs>
          <w:tab w:leader="none" w:pos="2630" w:val="left"/>
        </w:tabs>
        <w:numPr>
          <w:ilvl w:val="1"/>
          <w:numId w:val="180"/>
        </w:numPr>
        <w:rPr>
          <w:rFonts w:ascii="Arial" w:cs="Arial" w:eastAsia="Arial" w:hAnsi="Arial"/>
          <w:sz w:val="20"/>
          <w:szCs w:val="20"/>
          <w:color w:val="231F20"/>
        </w:rPr>
      </w:pPr>
      <w:r>
        <w:rPr>
          <w:rFonts w:ascii="Arial" w:cs="Arial" w:eastAsia="Arial" w:hAnsi="Arial"/>
          <w:sz w:val="20"/>
          <w:szCs w:val="20"/>
          <w:color w:val="231F20"/>
        </w:rPr>
        <w:t xml:space="preserve">a broker-assisted “cashless exercise” of a Company stock option or other equity award does involve a market sale of the Company’s securities, and therefore would </w:t>
      </w:r>
      <w:r>
        <w:rPr>
          <w:rFonts w:ascii="Arial" w:cs="Arial" w:eastAsia="Arial" w:hAnsi="Arial"/>
          <w:sz w:val="20"/>
          <w:szCs w:val="20"/>
          <w:i w:val="1"/>
          <w:iCs w:val="1"/>
          <w:color w:val="231F20"/>
        </w:rPr>
        <w:t>not</w:t>
      </w:r>
      <w:r>
        <w:rPr>
          <w:rFonts w:ascii="Arial" w:cs="Arial" w:eastAsia="Arial" w:hAnsi="Arial"/>
          <w:sz w:val="20"/>
          <w:szCs w:val="20"/>
          <w:color w:val="231F20"/>
        </w:rPr>
        <w:t xml:space="preserve"> qualify under this exception;</w:t>
      </w:r>
    </w:p>
    <w:p>
      <w:pPr>
        <w:spacing w:after="0" w:line="50" w:lineRule="exact"/>
        <w:rPr>
          <w:rFonts w:ascii="Arial" w:cs="Arial" w:eastAsia="Arial" w:hAnsi="Arial"/>
          <w:sz w:val="20"/>
          <w:szCs w:val="20"/>
          <w:color w:val="231F20"/>
        </w:rPr>
      </w:pPr>
    </w:p>
    <w:p>
      <w:pPr>
        <w:ind w:left="1960" w:right="240" w:hanging="332"/>
        <w:spacing w:after="0" w:line="262" w:lineRule="auto"/>
        <w:tabs>
          <w:tab w:leader="none" w:pos="1948" w:val="left"/>
        </w:tabs>
        <w:numPr>
          <w:ilvl w:val="0"/>
          <w:numId w:val="180"/>
        </w:numPr>
        <w:rPr>
          <w:rFonts w:ascii="Arial" w:cs="Arial" w:eastAsia="Arial" w:hAnsi="Arial"/>
          <w:sz w:val="20"/>
          <w:szCs w:val="20"/>
          <w:color w:val="auto"/>
        </w:rPr>
      </w:pPr>
      <w:r>
        <w:rPr>
          <w:rFonts w:ascii="Arial" w:cs="Arial" w:eastAsia="Arial" w:hAnsi="Arial"/>
          <w:sz w:val="20"/>
          <w:szCs w:val="20"/>
          <w:color w:val="231F20"/>
        </w:rPr>
        <w:t>transactions under a trading plan that has been approved by the General Counsel or his/her designee (“Trading Plan”) and satisfies the affirmative defense conditions of Rule 10b5-1 under the Exchange Act (“Rule 10b5-1”); or</w:t>
      </w:r>
    </w:p>
    <w:p>
      <w:pPr>
        <w:spacing w:after="0" w:line="70" w:lineRule="exact"/>
        <w:rPr>
          <w:rFonts w:ascii="Arial" w:cs="Arial" w:eastAsia="Arial" w:hAnsi="Arial"/>
          <w:sz w:val="20"/>
          <w:szCs w:val="20"/>
          <w:color w:val="auto"/>
        </w:rPr>
      </w:pPr>
    </w:p>
    <w:p>
      <w:pPr>
        <w:ind w:left="1940" w:hanging="312"/>
        <w:spacing w:after="0"/>
        <w:tabs>
          <w:tab w:leader="none" w:pos="1940" w:val="left"/>
        </w:tabs>
        <w:numPr>
          <w:ilvl w:val="0"/>
          <w:numId w:val="180"/>
        </w:numPr>
        <w:rPr>
          <w:rFonts w:ascii="Arial" w:cs="Arial" w:eastAsia="Arial" w:hAnsi="Arial"/>
          <w:sz w:val="19"/>
          <w:szCs w:val="19"/>
          <w:color w:val="auto"/>
        </w:rPr>
      </w:pPr>
      <w:r>
        <w:rPr>
          <w:rFonts w:ascii="Arial" w:cs="Arial" w:eastAsia="Arial" w:hAnsi="Arial"/>
          <w:sz w:val="19"/>
          <w:szCs w:val="19"/>
          <w:color w:val="231F20"/>
        </w:rPr>
        <w:t xml:space="preserve">repetitive investments in the Company stock fund </w:t>
      </w:r>
      <w:r>
        <w:rPr>
          <w:rFonts w:ascii="Arial" w:cs="Arial" w:eastAsia="Arial" w:hAnsi="Arial"/>
          <w:sz w:val="19"/>
          <w:szCs w:val="19"/>
          <w:color w:val="221E1F"/>
        </w:rPr>
        <w:t>in an employee’s 401(k) Plan and 401(k) Make-Up Plan</w:t>
      </w:r>
    </w:p>
    <w:p>
      <w:pPr>
        <w:spacing w:after="0" w:line="42" w:lineRule="exact"/>
        <w:rPr>
          <w:sz w:val="20"/>
          <w:szCs w:val="20"/>
          <w:color w:val="auto"/>
        </w:rPr>
      </w:pPr>
    </w:p>
    <w:p>
      <w:pPr>
        <w:ind w:left="1960"/>
        <w:spacing w:after="0"/>
        <w:rPr>
          <w:sz w:val="20"/>
          <w:szCs w:val="20"/>
          <w:color w:val="auto"/>
        </w:rPr>
      </w:pPr>
      <w:r>
        <w:rPr>
          <w:rFonts w:ascii="Arial" w:cs="Arial" w:eastAsia="Arial" w:hAnsi="Arial"/>
          <w:sz w:val="20"/>
          <w:szCs w:val="20"/>
          <w:color w:val="221E1F"/>
        </w:rPr>
        <w:t xml:space="preserve">accounts, </w:t>
      </w:r>
      <w:r>
        <w:rPr>
          <w:rFonts w:ascii="Arial" w:cs="Arial" w:eastAsia="Arial" w:hAnsi="Arial"/>
          <w:sz w:val="20"/>
          <w:szCs w:val="20"/>
          <w:color w:val="231F20"/>
        </w:rPr>
        <w:t>which occur every pay period pursuant to a payroll deduction in a like amount each period.</w:t>
      </w:r>
    </w:p>
    <w:p>
      <w:pPr>
        <w:ind w:left="1620"/>
        <w:spacing w:after="0"/>
        <w:rPr>
          <w:sz w:val="20"/>
          <w:szCs w:val="20"/>
          <w:color w:val="auto"/>
        </w:rPr>
      </w:pPr>
      <w:r>
        <w:rPr>
          <w:rFonts w:ascii="Arial" w:cs="Arial" w:eastAsia="Arial" w:hAnsi="Arial"/>
          <w:sz w:val="20"/>
          <w:szCs w:val="20"/>
          <w:color w:val="231F20"/>
        </w:rPr>
        <w: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231F20"/>
        </w:rPr>
        <w:t>The General Counsel or his/her designees may approve additional exceptions to the blackout restrictions.</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4.4 </w:t>
      </w:r>
      <w:r>
        <w:rPr>
          <w:rFonts w:ascii="Arial" w:cs="Arial" w:eastAsia="Arial" w:hAnsi="Arial"/>
          <w:sz w:val="20"/>
          <w:szCs w:val="20"/>
          <w:b w:val="1"/>
          <w:bCs w:val="1"/>
          <w:u w:val="single" w:color="auto"/>
          <w:color w:val="231F20"/>
        </w:rPr>
        <w:t>Pre-Clearance of Trades</w:t>
      </w:r>
    </w:p>
    <w:p>
      <w:pPr>
        <w:spacing w:after="0" w:line="258" w:lineRule="exact"/>
        <w:rPr>
          <w:sz w:val="20"/>
          <w:szCs w:val="20"/>
          <w:color w:val="auto"/>
        </w:rPr>
      </w:pPr>
    </w:p>
    <w:p>
      <w:pPr>
        <w:ind w:right="120"/>
        <w:spacing w:after="0" w:line="262" w:lineRule="auto"/>
        <w:rPr>
          <w:sz w:val="20"/>
          <w:szCs w:val="20"/>
          <w:color w:val="auto"/>
        </w:rPr>
      </w:pPr>
      <w:r>
        <w:rPr>
          <w:rFonts w:ascii="Arial" w:cs="Arial" w:eastAsia="Arial" w:hAnsi="Arial"/>
          <w:sz w:val="20"/>
          <w:szCs w:val="20"/>
          <w:color w:val="231F20"/>
        </w:rPr>
        <w:t>The General Counsel will designate a list of persons who (with their controlled entities and household members) must pre-clear each transaction, including any gifts or other transfers that result in a change in beneficial ownership, in any security of the Company. The list of persons subject to pre-clearance shall, at a minimum, include the Section 16 Reporting Persons.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20"/>
          <w:szCs w:val="20"/>
          <w:color w:val="231F20"/>
        </w:rPr>
        <w:t>To execute a trade relating to the Company’s securities, you must:</w:t>
      </w:r>
    </w:p>
    <w:p>
      <w:pPr>
        <w:spacing w:after="0" w:line="243" w:lineRule="exact"/>
        <w:rPr>
          <w:sz w:val="20"/>
          <w:szCs w:val="20"/>
          <w:color w:val="auto"/>
        </w:rPr>
      </w:pPr>
    </w:p>
    <w:p>
      <w:pPr>
        <w:ind w:left="1940" w:hanging="312"/>
        <w:spacing w:after="0"/>
        <w:tabs>
          <w:tab w:leader="none" w:pos="1940"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submit a request in advance of the proposed transaction;</w:t>
      </w:r>
    </w:p>
    <w:p>
      <w:pPr>
        <w:spacing w:after="0" w:line="67" w:lineRule="exact"/>
        <w:rPr>
          <w:rFonts w:ascii="Arial" w:cs="Arial" w:eastAsia="Arial" w:hAnsi="Arial"/>
          <w:sz w:val="20"/>
          <w:szCs w:val="20"/>
          <w:color w:val="auto"/>
        </w:rPr>
      </w:pPr>
    </w:p>
    <w:p>
      <w:pPr>
        <w:ind w:left="2580" w:hanging="304"/>
        <w:spacing w:after="0"/>
        <w:tabs>
          <w:tab w:leader="none" w:pos="2580" w:val="left"/>
        </w:tabs>
        <w:numPr>
          <w:ilvl w:val="1"/>
          <w:numId w:val="181"/>
        </w:numPr>
        <w:rPr>
          <w:rFonts w:ascii="Arial" w:cs="Arial" w:eastAsia="Arial" w:hAnsi="Arial"/>
          <w:sz w:val="20"/>
          <w:szCs w:val="20"/>
          <w:color w:val="auto"/>
        </w:rPr>
      </w:pPr>
      <w:r>
        <w:rPr>
          <w:rFonts w:ascii="Arial" w:cs="Arial" w:eastAsia="Arial" w:hAnsi="Arial"/>
          <w:sz w:val="20"/>
          <w:szCs w:val="20"/>
          <w:color w:val="231F20"/>
        </w:rPr>
        <w:t>Employees must submit pre-clearance requests to the General Counsel or his/her designees;</w:t>
      </w:r>
    </w:p>
    <w:p>
      <w:pPr>
        <w:spacing w:after="0" w:line="53" w:lineRule="exact"/>
        <w:rPr>
          <w:rFonts w:ascii="Arial" w:cs="Arial" w:eastAsia="Arial" w:hAnsi="Arial"/>
          <w:sz w:val="20"/>
          <w:szCs w:val="20"/>
          <w:color w:val="auto"/>
        </w:rPr>
      </w:pPr>
    </w:p>
    <w:p>
      <w:pPr>
        <w:ind w:left="2600" w:hanging="324"/>
        <w:spacing w:after="0" w:line="281" w:lineRule="auto"/>
        <w:tabs>
          <w:tab w:leader="none" w:pos="2603" w:val="left"/>
        </w:tabs>
        <w:numPr>
          <w:ilvl w:val="1"/>
          <w:numId w:val="181"/>
        </w:numPr>
        <w:rPr>
          <w:rFonts w:ascii="Arial" w:cs="Arial" w:eastAsia="Arial" w:hAnsi="Arial"/>
          <w:sz w:val="20"/>
          <w:szCs w:val="20"/>
          <w:color w:val="auto"/>
        </w:rPr>
      </w:pPr>
      <w:r>
        <w:rPr>
          <w:rFonts w:ascii="Arial" w:cs="Arial" w:eastAsia="Arial" w:hAnsi="Arial"/>
          <w:sz w:val="20"/>
          <w:szCs w:val="20"/>
          <w:color w:val="231F20"/>
        </w:rPr>
        <w:t>Board members must submit pre-clearance requests via email to the General Counsel or his/her designees;</w:t>
      </w:r>
    </w:p>
    <w:p>
      <w:pPr>
        <w:spacing w:after="0" w:line="1" w:lineRule="exact"/>
        <w:rPr>
          <w:rFonts w:ascii="Arial" w:cs="Arial" w:eastAsia="Arial" w:hAnsi="Arial"/>
          <w:sz w:val="20"/>
          <w:szCs w:val="20"/>
          <w:color w:val="auto"/>
        </w:rPr>
      </w:pPr>
    </w:p>
    <w:p>
      <w:pPr>
        <w:ind w:left="1960" w:right="340" w:hanging="332"/>
        <w:spacing w:after="0" w:line="271" w:lineRule="auto"/>
        <w:tabs>
          <w:tab w:leader="none" w:pos="1948"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describe your proposed transaction, the proposed date of the transaction, and the amount of securities involved;</w:t>
      </w:r>
    </w:p>
    <w:p>
      <w:pPr>
        <w:spacing w:after="0" w:line="61" w:lineRule="exact"/>
        <w:rPr>
          <w:rFonts w:ascii="Arial" w:cs="Arial" w:eastAsia="Arial" w:hAnsi="Arial"/>
          <w:sz w:val="20"/>
          <w:szCs w:val="20"/>
          <w:color w:val="auto"/>
        </w:rPr>
      </w:pPr>
    </w:p>
    <w:p>
      <w:pPr>
        <w:ind w:left="1940" w:hanging="312"/>
        <w:spacing w:after="0"/>
        <w:tabs>
          <w:tab w:leader="none" w:pos="1940"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certify that you do not possess material nonpublic information; and</w:t>
      </w:r>
    </w:p>
    <w:p>
      <w:pPr>
        <w:spacing w:after="0" w:line="107" w:lineRule="exact"/>
        <w:rPr>
          <w:rFonts w:ascii="Arial" w:cs="Arial" w:eastAsia="Arial" w:hAnsi="Arial"/>
          <w:sz w:val="20"/>
          <w:szCs w:val="20"/>
          <w:color w:val="auto"/>
        </w:rPr>
      </w:pPr>
    </w:p>
    <w:p>
      <w:pPr>
        <w:ind w:left="1960" w:right="260" w:hanging="332"/>
        <w:spacing w:after="0" w:line="286" w:lineRule="auto"/>
        <w:tabs>
          <w:tab w:leader="none" w:pos="1948"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call the General Counsel or his/her designees to confirm receipt of your emailed request. Pre-clearance approval:</w:t>
      </w:r>
    </w:p>
    <w:p>
      <w:pPr>
        <w:spacing w:after="0" w:line="45" w:lineRule="exact"/>
        <w:rPr>
          <w:rFonts w:ascii="Arial" w:cs="Arial" w:eastAsia="Arial" w:hAnsi="Arial"/>
          <w:sz w:val="20"/>
          <w:szCs w:val="20"/>
          <w:color w:val="auto"/>
        </w:rPr>
      </w:pPr>
    </w:p>
    <w:p>
      <w:pPr>
        <w:ind w:left="1960" w:right="340" w:hanging="332"/>
        <w:spacing w:after="0" w:line="271" w:lineRule="auto"/>
        <w:tabs>
          <w:tab w:leader="none" w:pos="1948"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may be granted or withheld in the sole discretion of the General Counsel and his/her designees (or the Chief Financial Officer for trades by the General Counsel);</w:t>
      </w:r>
    </w:p>
    <w:p>
      <w:pPr>
        <w:spacing w:after="0" w:line="61" w:lineRule="exact"/>
        <w:rPr>
          <w:rFonts w:ascii="Arial" w:cs="Arial" w:eastAsia="Arial" w:hAnsi="Arial"/>
          <w:sz w:val="20"/>
          <w:szCs w:val="20"/>
          <w:color w:val="auto"/>
        </w:rPr>
      </w:pPr>
    </w:p>
    <w:p>
      <w:pPr>
        <w:ind w:left="1960" w:right="260" w:hanging="332"/>
        <w:spacing w:after="0" w:line="271" w:lineRule="auto"/>
        <w:tabs>
          <w:tab w:leader="none" w:pos="1948"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remains subject to the requesting person's independent obligation to confirm that the requesting person does not possess material nonpublic information;</w:t>
      </w:r>
    </w:p>
    <w:p>
      <w:pPr>
        <w:spacing w:after="0" w:line="61" w:lineRule="exact"/>
        <w:rPr>
          <w:rFonts w:ascii="Arial" w:cs="Arial" w:eastAsia="Arial" w:hAnsi="Arial"/>
          <w:sz w:val="20"/>
          <w:szCs w:val="20"/>
          <w:color w:val="auto"/>
        </w:rPr>
      </w:pPr>
    </w:p>
    <w:p>
      <w:pPr>
        <w:ind w:left="1940" w:hanging="312"/>
        <w:spacing w:after="0"/>
        <w:tabs>
          <w:tab w:leader="none" w:pos="1940"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will not constitute legal advice that a proposed transaction complies with applicable law;</w:t>
      </w:r>
    </w:p>
    <w:p>
      <w:pPr>
        <w:spacing w:after="0" w:line="121" w:lineRule="exact"/>
        <w:rPr>
          <w:rFonts w:ascii="Arial" w:cs="Arial" w:eastAsia="Arial" w:hAnsi="Arial"/>
          <w:sz w:val="20"/>
          <w:szCs w:val="20"/>
          <w:color w:val="auto"/>
        </w:rPr>
      </w:pPr>
    </w:p>
    <w:p>
      <w:pPr>
        <w:ind w:left="1940" w:hanging="312"/>
        <w:spacing w:after="0"/>
        <w:tabs>
          <w:tab w:leader="none" w:pos="1940"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will not result in liability to the Company or any other person if delayed or withheld; and</w:t>
      </w:r>
    </w:p>
    <w:p>
      <w:pPr>
        <w:spacing w:after="0" w:line="107" w:lineRule="exact"/>
        <w:rPr>
          <w:rFonts w:ascii="Arial" w:cs="Arial" w:eastAsia="Arial" w:hAnsi="Arial"/>
          <w:sz w:val="20"/>
          <w:szCs w:val="20"/>
          <w:color w:val="auto"/>
        </w:rPr>
      </w:pPr>
    </w:p>
    <w:p>
      <w:pPr>
        <w:ind w:left="1940" w:hanging="312"/>
        <w:spacing w:after="0"/>
        <w:tabs>
          <w:tab w:leader="none" w:pos="1940" w:val="left"/>
        </w:tabs>
        <w:numPr>
          <w:ilvl w:val="0"/>
          <w:numId w:val="181"/>
        </w:numPr>
        <w:rPr>
          <w:rFonts w:ascii="Arial" w:cs="Arial" w:eastAsia="Arial" w:hAnsi="Arial"/>
          <w:sz w:val="20"/>
          <w:szCs w:val="20"/>
          <w:color w:val="auto"/>
        </w:rPr>
      </w:pPr>
      <w:r>
        <w:rPr>
          <w:rFonts w:ascii="Arial" w:cs="Arial" w:eastAsia="Arial" w:hAnsi="Arial"/>
          <w:sz w:val="20"/>
          <w:szCs w:val="20"/>
          <w:color w:val="231F20"/>
        </w:rPr>
        <w:t>is not required for transactions under a previously approved Rule 10b5-1 plan.</w:t>
      </w:r>
    </w:p>
    <w:p>
      <w:pPr>
        <w:sectPr>
          <w:pgSz w:w="11900" w:h="16838" w:orient="portrait"/>
          <w:cols w:equalWidth="0" w:num="1">
            <w:col w:w="11240"/>
          </w:cols>
          <w:pgMar w:left="320" w:top="888" w:right="339" w:bottom="1440" w:gutter="0" w:footer="0" w:header="0"/>
        </w:sectPr>
      </w:pPr>
    </w:p>
    <w:bookmarkStart w:id="234" w:name="page235"/>
    <w:bookmarkEnd w:id="234"/>
    <w:p>
      <w:pPr>
        <w:ind w:left="980"/>
        <w:spacing w:after="0"/>
        <w:rPr>
          <w:sz w:val="20"/>
          <w:szCs w:val="20"/>
          <w:color w:val="auto"/>
        </w:rPr>
      </w:pPr>
      <w:r>
        <w:rPr>
          <w:rFonts w:ascii="Arial" w:cs="Arial" w:eastAsia="Arial" w:hAnsi="Arial"/>
          <w:sz w:val="20"/>
          <w:szCs w:val="20"/>
          <w:b w:val="1"/>
          <w:bCs w:val="1"/>
          <w:color w:val="231F20"/>
        </w:rPr>
        <w:t xml:space="preserve">4.5 </w:t>
      </w:r>
      <w:r>
        <w:rPr>
          <w:rFonts w:ascii="Arial" w:cs="Arial" w:eastAsia="Arial" w:hAnsi="Arial"/>
          <w:sz w:val="20"/>
          <w:szCs w:val="20"/>
          <w:b w:val="1"/>
          <w:bCs w:val="1"/>
          <w:u w:val="single" w:color="auto"/>
          <w:color w:val="231F20"/>
        </w:rPr>
        <w:t>Rule 10b5-1 Trading Plans</w:t>
      </w:r>
    </w:p>
    <w:p>
      <w:pPr>
        <w:spacing w:after="0" w:line="12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231F20"/>
        </w:rPr>
        <w:t>As noted above, the restrictions in this Policy, except for provisions set forth in the Prohibited Transactions section below, do not apply to transactions under a Trading Plan that has been approved by the General Counsel or his/her designee and satisfies the affirmative defense conditions of Rule 10b5-1. The General Counsel or his/her designee may impose such other conditions on the implementation and operation of a Trading Plan as deemed necessary or advisable. An individual may only modify a Trading Plan outside of a blackout period and, in any event, when the individual does not possess material nonpublic information. Modifications to and early terminations of a Trading Plan are subject to pre-approval by the General Counsel or his/her designee. Compliance of a Trading Plan with the conditions of Rule 10b5-1 and the execution of transactions pursuant to the Trading Plan are the sole responsibility of the person initiating the Trading Plan, and none of the Company, the General Counsel,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20"/>
          <w:szCs w:val="20"/>
          <w:b w:val="1"/>
          <w:bCs w:val="1"/>
          <w:u w:val="single" w:color="auto"/>
          <w:color w:val="231F20"/>
        </w:rPr>
        <w:t>Prohibited Transactions</w:t>
      </w:r>
    </w:p>
    <w:p>
      <w:pPr>
        <w:spacing w:after="0" w:line="258" w:lineRule="exact"/>
        <w:rPr>
          <w:sz w:val="20"/>
          <w:szCs w:val="20"/>
          <w:color w:val="auto"/>
        </w:rPr>
      </w:pPr>
    </w:p>
    <w:p>
      <w:pPr>
        <w:ind w:left="520"/>
        <w:spacing w:after="0"/>
        <w:rPr>
          <w:sz w:val="20"/>
          <w:szCs w:val="20"/>
          <w:color w:val="auto"/>
        </w:rPr>
      </w:pPr>
      <w:r>
        <w:rPr>
          <w:rFonts w:ascii="Arial" w:cs="Arial" w:eastAsia="Arial" w:hAnsi="Arial"/>
          <w:sz w:val="20"/>
          <w:szCs w:val="20"/>
          <w:color w:val="231F20"/>
        </w:rPr>
        <w:t xml:space="preserve">You may </w:t>
      </w:r>
      <w:r>
        <w:rPr>
          <w:rFonts w:ascii="Arial" w:cs="Arial" w:eastAsia="Arial" w:hAnsi="Arial"/>
          <w:sz w:val="20"/>
          <w:szCs w:val="20"/>
          <w:u w:val="single" w:color="auto"/>
          <w:color w:val="231F20"/>
        </w:rPr>
        <w:t>not</w:t>
      </w:r>
      <w:r>
        <w:rPr>
          <w:rFonts w:ascii="Arial" w:cs="Arial" w:eastAsia="Arial" w:hAnsi="Arial"/>
          <w:sz w:val="20"/>
          <w:szCs w:val="20"/>
          <w:color w:val="231F20"/>
        </w:rPr>
        <w:t xml:space="preserve"> engage in:</w:t>
      </w:r>
    </w:p>
    <w:p>
      <w:pPr>
        <w:spacing w:after="0" w:line="243" w:lineRule="exact"/>
        <w:rPr>
          <w:sz w:val="20"/>
          <w:szCs w:val="20"/>
          <w:color w:val="auto"/>
        </w:rPr>
      </w:pPr>
    </w:p>
    <w:p>
      <w:pPr>
        <w:ind w:left="1960" w:hanging="332"/>
        <w:spacing w:after="0" w:line="286" w:lineRule="auto"/>
        <w:tabs>
          <w:tab w:leader="none" w:pos="1948" w:val="left"/>
        </w:tabs>
        <w:numPr>
          <w:ilvl w:val="0"/>
          <w:numId w:val="182"/>
        </w:numPr>
        <w:rPr>
          <w:rFonts w:ascii="Arial" w:cs="Arial" w:eastAsia="Arial" w:hAnsi="Arial"/>
          <w:sz w:val="20"/>
          <w:szCs w:val="20"/>
          <w:color w:val="auto"/>
        </w:rPr>
      </w:pPr>
      <w:r>
        <w:rPr>
          <w:rFonts w:ascii="Arial" w:cs="Arial" w:eastAsia="Arial" w:hAnsi="Arial"/>
          <w:sz w:val="20"/>
          <w:szCs w:val="20"/>
          <w:color w:val="231F20"/>
        </w:rPr>
        <w:t>short sales of the Company’s securities, which refers to sales of shares that you do not own at the time of sale;</w:t>
      </w:r>
    </w:p>
    <w:p>
      <w:pPr>
        <w:spacing w:after="0" w:line="45" w:lineRule="exact"/>
        <w:rPr>
          <w:rFonts w:ascii="Arial" w:cs="Arial" w:eastAsia="Arial" w:hAnsi="Arial"/>
          <w:sz w:val="20"/>
          <w:szCs w:val="20"/>
          <w:color w:val="auto"/>
        </w:rPr>
      </w:pPr>
    </w:p>
    <w:p>
      <w:pPr>
        <w:ind w:left="1960" w:hanging="332"/>
        <w:spacing w:after="0" w:line="271" w:lineRule="auto"/>
        <w:tabs>
          <w:tab w:leader="none" w:pos="1948" w:val="left"/>
        </w:tabs>
        <w:numPr>
          <w:ilvl w:val="0"/>
          <w:numId w:val="182"/>
        </w:numPr>
        <w:rPr>
          <w:rFonts w:ascii="Arial" w:cs="Arial" w:eastAsia="Arial" w:hAnsi="Arial"/>
          <w:sz w:val="20"/>
          <w:szCs w:val="20"/>
          <w:color w:val="auto"/>
        </w:rPr>
      </w:pPr>
      <w:r>
        <w:rPr>
          <w:rFonts w:ascii="Arial" w:cs="Arial" w:eastAsia="Arial" w:hAnsi="Arial"/>
          <w:sz w:val="20"/>
          <w:szCs w:val="20"/>
          <w:color w:val="231F20"/>
        </w:rPr>
        <w:t>options trading involving the Company’s securities, including puts, calls, or other derivative securities on an exchange, an over-the-counter market, or any other organized market;</w:t>
      </w:r>
    </w:p>
    <w:p>
      <w:pPr>
        <w:spacing w:after="0" w:line="61" w:lineRule="exact"/>
        <w:rPr>
          <w:rFonts w:ascii="Arial" w:cs="Arial" w:eastAsia="Arial" w:hAnsi="Arial"/>
          <w:sz w:val="20"/>
          <w:szCs w:val="20"/>
          <w:color w:val="auto"/>
        </w:rPr>
      </w:pPr>
    </w:p>
    <w:p>
      <w:pPr>
        <w:jc w:val="both"/>
        <w:ind w:left="1960" w:hanging="332"/>
        <w:spacing w:after="0" w:line="262" w:lineRule="auto"/>
        <w:tabs>
          <w:tab w:leader="none" w:pos="1948" w:val="left"/>
        </w:tabs>
        <w:numPr>
          <w:ilvl w:val="0"/>
          <w:numId w:val="182"/>
        </w:numPr>
        <w:rPr>
          <w:rFonts w:ascii="Arial" w:cs="Arial" w:eastAsia="Arial" w:hAnsi="Arial"/>
          <w:sz w:val="20"/>
          <w:szCs w:val="20"/>
          <w:color w:val="auto"/>
        </w:rPr>
      </w:pPr>
      <w:r>
        <w:rPr>
          <w:rFonts w:ascii="Arial" w:cs="Arial" w:eastAsia="Arial" w:hAnsi="Arial"/>
          <w:sz w:val="20"/>
          <w:szCs w:val="20"/>
          <w:color w:val="231F20"/>
        </w:rPr>
        <w:t>hedging transactions involving the Company’s securities, such as prepaid variable forward contracts, equity swaps, collars, exchange funds, or other transactions that hedge or offset any decrease in market value of the Company’s equity securities; and</w:t>
      </w:r>
    </w:p>
    <w:p>
      <w:pPr>
        <w:spacing w:after="0" w:line="56" w:lineRule="exact"/>
        <w:rPr>
          <w:rFonts w:ascii="Arial" w:cs="Arial" w:eastAsia="Arial" w:hAnsi="Arial"/>
          <w:sz w:val="20"/>
          <w:szCs w:val="20"/>
          <w:color w:val="auto"/>
        </w:rPr>
      </w:pPr>
    </w:p>
    <w:p>
      <w:pPr>
        <w:ind w:left="1960" w:right="20" w:hanging="332"/>
        <w:spacing w:after="0" w:line="286" w:lineRule="auto"/>
        <w:tabs>
          <w:tab w:leader="none" w:pos="1948" w:val="left"/>
        </w:tabs>
        <w:numPr>
          <w:ilvl w:val="0"/>
          <w:numId w:val="182"/>
        </w:numPr>
        <w:rPr>
          <w:rFonts w:ascii="Arial" w:cs="Arial" w:eastAsia="Arial" w:hAnsi="Arial"/>
          <w:sz w:val="20"/>
          <w:szCs w:val="20"/>
          <w:color w:val="auto"/>
        </w:rPr>
      </w:pPr>
      <w:r>
        <w:rPr>
          <w:rFonts w:ascii="Arial" w:cs="Arial" w:eastAsia="Arial" w:hAnsi="Arial"/>
          <w:sz w:val="20"/>
          <w:szCs w:val="20"/>
          <w:color w:val="231F20"/>
        </w:rPr>
        <w:t>pledging Company securities as collateral for a loan, purchasing Company securities on margin (i.e., borrowing money to purchase the securities), or placing Company securities in a margin account.</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4.6 </w:t>
      </w:r>
      <w:r>
        <w:rPr>
          <w:rFonts w:ascii="Arial" w:cs="Arial" w:eastAsia="Arial" w:hAnsi="Arial"/>
          <w:sz w:val="20"/>
          <w:szCs w:val="20"/>
          <w:b w:val="1"/>
          <w:bCs w:val="1"/>
          <w:u w:val="single" w:color="auto"/>
          <w:color w:val="231F20"/>
        </w:rPr>
        <w:t>Post-Termination Transactions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231F20"/>
        </w:rPr>
        <w:t>If you possess material nonpublic information when your service with the Company terminates, you still have an obligation to comply with state/federal securities laws. The Company highly recommends that you refrain from trading in the Company’s securities until that information has become public or is no longer material.</w:t>
      </w:r>
    </w:p>
    <w:p>
      <w:pPr>
        <w:spacing w:after="0" w:line="203"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4.7 </w:t>
      </w:r>
      <w:r>
        <w:rPr>
          <w:rFonts w:ascii="Arial" w:cs="Arial" w:eastAsia="Arial" w:hAnsi="Arial"/>
          <w:sz w:val="20"/>
          <w:szCs w:val="20"/>
          <w:b w:val="1"/>
          <w:bCs w:val="1"/>
          <w:u w:val="single" w:color="auto"/>
          <w:color w:val="231F20"/>
        </w:rPr>
        <w:t>Policy Administration</w:t>
      </w:r>
    </w:p>
    <w:p>
      <w:pPr>
        <w:spacing w:after="0" w:line="25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231F20"/>
        </w:rPr>
        <w:t>The General Counsel and his/her designees have authority to interpret, amend and implement this Policy. This authority includes interpreting or waiving the terms of this Policy, to the extent consistent with its general purpose and applicable securities laws. The Chief Financial Officer will administer this Policy as it applies to any covered activity by the General Counsel.</w:t>
      </w:r>
    </w:p>
    <w:p>
      <w:pPr>
        <w:spacing w:after="0" w:line="20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231F20"/>
        </w:rPr>
        <w:t xml:space="preserve">4.8 </w:t>
      </w:r>
      <w:r>
        <w:rPr>
          <w:rFonts w:ascii="Arial" w:cs="Arial" w:eastAsia="Arial" w:hAnsi="Arial"/>
          <w:sz w:val="20"/>
          <w:szCs w:val="20"/>
          <w:b w:val="1"/>
          <w:bCs w:val="1"/>
          <w:u w:val="single" w:color="auto"/>
          <w:color w:val="231F20"/>
        </w:rPr>
        <w:t>Certification of Compliance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231F20"/>
        </w:rPr>
        <w:t>You may be asked periodically to certify your compliance with the terms and provisions of this Policy.</w:t>
      </w:r>
    </w:p>
    <w:p>
      <w:pPr>
        <w:sectPr>
          <w:pgSz w:w="11900" w:h="16838" w:orient="portrait"/>
          <w:cols w:equalWidth="0" w:num="1">
            <w:col w:w="11240"/>
          </w:cols>
          <w:pgMar w:left="320" w:top="1129" w:right="33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273"/>
        </w:trPr>
        <w:tc>
          <w:tcPr>
            <w:tcW w:w="7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40" w:type="dxa"/>
            <w:vAlign w:val="bottom"/>
            <w:gridSpan w:val="2"/>
          </w:tcPr>
          <w:p>
            <w:pPr>
              <w:ind w:left="2420"/>
              <w:spacing w:after="0"/>
              <w:rPr>
                <w:sz w:val="20"/>
                <w:szCs w:val="20"/>
                <w:color w:val="auto"/>
              </w:rPr>
            </w:pPr>
            <w:r>
              <w:rPr>
                <w:rFonts w:ascii="Arial" w:cs="Arial" w:eastAsia="Arial" w:hAnsi="Arial"/>
                <w:sz w:val="20"/>
                <w:szCs w:val="20"/>
                <w:b w:val="1"/>
                <w:bCs w:val="1"/>
                <w:color w:val="auto"/>
                <w:w w:val="95"/>
              </w:rPr>
              <w:t>Exhibit 21</w:t>
            </w:r>
          </w:p>
        </w:tc>
        <w:tc>
          <w:tcPr>
            <w:tcW w:w="0" w:type="dxa"/>
            <w:vAlign w:val="bottom"/>
          </w:tcPr>
          <w:p>
            <w:pPr>
              <w:spacing w:after="0"/>
              <w:rPr>
                <w:sz w:val="1"/>
                <w:szCs w:val="1"/>
                <w:color w:val="auto"/>
              </w:rPr>
            </w:pPr>
          </w:p>
        </w:tc>
      </w:tr>
      <w:tr>
        <w:trPr>
          <w:trHeight w:val="1234"/>
        </w:trPr>
        <w:tc>
          <w:tcPr>
            <w:tcW w:w="7120" w:type="dxa"/>
            <w:vAlign w:val="bottom"/>
          </w:tcPr>
          <w:p>
            <w:pPr>
              <w:jc w:val="center"/>
              <w:ind w:left="3092"/>
              <w:spacing w:after="0"/>
              <w:rPr>
                <w:sz w:val="20"/>
                <w:szCs w:val="20"/>
                <w:color w:val="auto"/>
              </w:rPr>
            </w:pPr>
            <w:r>
              <w:rPr>
                <w:rFonts w:ascii="Arial" w:cs="Arial" w:eastAsia="Arial" w:hAnsi="Arial"/>
                <w:sz w:val="22"/>
                <w:szCs w:val="22"/>
                <w:b w:val="1"/>
                <w:bCs w:val="1"/>
                <w:color w:val="auto"/>
                <w:w w:val="97"/>
              </w:rPr>
              <w:t>EXPAND ENERGY CORPORATION</w:t>
            </w: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120" w:type="dxa"/>
            <w:vAlign w:val="bottom"/>
          </w:tcPr>
          <w:p>
            <w:pPr>
              <w:jc w:val="center"/>
              <w:ind w:left="3112"/>
              <w:spacing w:after="0"/>
              <w:rPr>
                <w:sz w:val="20"/>
                <w:szCs w:val="20"/>
                <w:color w:val="auto"/>
              </w:rPr>
            </w:pPr>
            <w:r>
              <w:rPr>
                <w:rFonts w:ascii="Arial" w:cs="Arial" w:eastAsia="Arial" w:hAnsi="Arial"/>
                <w:sz w:val="22"/>
                <w:szCs w:val="22"/>
                <w:b w:val="1"/>
                <w:bCs w:val="1"/>
                <w:i w:val="1"/>
                <w:iCs w:val="1"/>
                <w:color w:val="auto"/>
                <w:w w:val="98"/>
              </w:rPr>
              <w:t>an Oklahoma Corporation</w:t>
            </w: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120" w:type="dxa"/>
            <w:vAlign w:val="bottom"/>
          </w:tcPr>
          <w:p>
            <w:pPr>
              <w:jc w:val="center"/>
              <w:ind w:left="3112"/>
              <w:spacing w:after="0"/>
              <w:rPr>
                <w:sz w:val="20"/>
                <w:szCs w:val="20"/>
                <w:color w:val="auto"/>
              </w:rPr>
            </w:pPr>
            <w:r>
              <w:rPr>
                <w:rFonts w:ascii="Arial" w:cs="Arial" w:eastAsia="Arial" w:hAnsi="Arial"/>
                <w:sz w:val="22"/>
                <w:szCs w:val="22"/>
                <w:b w:val="1"/>
                <w:bCs w:val="1"/>
                <w:color w:val="auto"/>
                <w:w w:val="98"/>
              </w:rPr>
              <w:t>SIGNIFICANT SUBSIDIARIES*</w:t>
            </w: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7120" w:type="dxa"/>
            <w:vAlign w:val="bottom"/>
          </w:tcPr>
          <w:p>
            <w:pPr>
              <w:spacing w:after="0"/>
              <w:rPr>
                <w:sz w:val="24"/>
                <w:szCs w:val="24"/>
                <w:color w:val="auto"/>
              </w:rPr>
            </w:pPr>
          </w:p>
        </w:tc>
        <w:tc>
          <w:tcPr>
            <w:tcW w:w="240" w:type="dxa"/>
            <w:vAlign w:val="bottom"/>
            <w:vMerge w:val="restart"/>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2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rPr>
              <w:t>Limited Liability Companies</w:t>
            </w:r>
          </w:p>
        </w:tc>
        <w:tc>
          <w:tcPr>
            <w:tcW w:w="240" w:type="dxa"/>
            <w:vAlign w:val="bottom"/>
            <w:vMerge w:val="continue"/>
          </w:tcPr>
          <w:p>
            <w:pPr>
              <w:spacing w:after="0"/>
              <w:rPr>
                <w:sz w:val="23"/>
                <w:szCs w:val="23"/>
                <w:color w:val="auto"/>
              </w:rPr>
            </w:pPr>
          </w:p>
        </w:tc>
        <w:tc>
          <w:tcPr>
            <w:tcW w:w="2980" w:type="dxa"/>
            <w:vAlign w:val="bottom"/>
            <w:shd w:val="clear" w:color="auto" w:fill="DBDBDB"/>
          </w:tcPr>
          <w:p>
            <w:pPr>
              <w:jc w:val="center"/>
              <w:spacing w:after="0"/>
              <w:rPr>
                <w:sz w:val="20"/>
                <w:szCs w:val="20"/>
                <w:color w:val="auto"/>
              </w:rPr>
            </w:pPr>
            <w:r>
              <w:rPr>
                <w:rFonts w:ascii="Arial" w:cs="Arial" w:eastAsia="Arial" w:hAnsi="Arial"/>
                <w:sz w:val="22"/>
                <w:szCs w:val="22"/>
                <w:b w:val="1"/>
                <w:bCs w:val="1"/>
                <w:color w:val="auto"/>
                <w:w w:val="98"/>
              </w:rPr>
              <w:t>State of Organization</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120" w:type="dxa"/>
            <w:vAlign w:val="bottom"/>
          </w:tcPr>
          <w:p>
            <w:pPr>
              <w:ind w:left="20"/>
              <w:spacing w:after="0"/>
              <w:rPr>
                <w:sz w:val="20"/>
                <w:szCs w:val="20"/>
                <w:color w:val="auto"/>
              </w:rPr>
            </w:pPr>
            <w:r>
              <w:rPr>
                <w:rFonts w:ascii="Arial" w:cs="Arial" w:eastAsia="Arial" w:hAnsi="Arial"/>
                <w:sz w:val="22"/>
                <w:szCs w:val="22"/>
                <w:color w:val="auto"/>
              </w:rPr>
              <w:t>Expand Operating LLC</w:t>
            </w:r>
          </w:p>
        </w:tc>
        <w:tc>
          <w:tcPr>
            <w:tcW w:w="24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Arial" w:cs="Arial" w:eastAsia="Arial" w:hAnsi="Arial"/>
                <w:sz w:val="22"/>
                <w:szCs w:val="22"/>
                <w:color w:val="auto"/>
                <w:w w:val="97"/>
              </w:rPr>
              <w:t>Oklahoma</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Chesapeake Exploration,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Chesapeake Appalachia,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7"/>
              </w:rPr>
              <w:t>Oklahoma</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Expand Energy Marketing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Vine Oil &amp; Gas Parent GP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Delaware</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Brix Oil &amp; Gas Holdings GP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Delaware</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Cypress Exploration &amp; Development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22"/>
                <w:szCs w:val="22"/>
                <w:color w:val="auto"/>
              </w:rPr>
              <w:t>SWN Production Company, LLC</w:t>
            </w:r>
          </w:p>
        </w:tc>
        <w:tc>
          <w:tcPr>
            <w:tcW w:w="240" w:type="dxa"/>
            <w:vAlign w:val="bottom"/>
          </w:tcPr>
          <w:p>
            <w:pPr>
              <w:spacing w:after="0"/>
              <w:rPr>
                <w:sz w:val="23"/>
                <w:szCs w:val="23"/>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r>
        <w:trPr>
          <w:trHeight w:val="283"/>
        </w:trPr>
        <w:tc>
          <w:tcPr>
            <w:tcW w:w="7120" w:type="dxa"/>
            <w:vAlign w:val="bottom"/>
          </w:tcPr>
          <w:p>
            <w:pPr>
              <w:ind w:left="20"/>
              <w:spacing w:after="0"/>
              <w:rPr>
                <w:sz w:val="20"/>
                <w:szCs w:val="20"/>
                <w:color w:val="auto"/>
              </w:rPr>
            </w:pPr>
            <w:r>
              <w:rPr>
                <w:rFonts w:ascii="Arial" w:cs="Arial" w:eastAsia="Arial" w:hAnsi="Arial"/>
                <w:sz w:val="22"/>
                <w:szCs w:val="22"/>
                <w:color w:val="auto"/>
              </w:rPr>
              <w:t>SWN Production (Louisiana), LLC</w:t>
            </w:r>
          </w:p>
        </w:tc>
        <w:tc>
          <w:tcPr>
            <w:tcW w:w="240" w:type="dxa"/>
            <w:vAlign w:val="bottom"/>
          </w:tcPr>
          <w:p>
            <w:pPr>
              <w:spacing w:after="0"/>
              <w:rPr>
                <w:sz w:val="24"/>
                <w:szCs w:val="24"/>
                <w:color w:val="auto"/>
              </w:rPr>
            </w:pPr>
          </w:p>
        </w:tc>
        <w:tc>
          <w:tcPr>
            <w:tcW w:w="3340" w:type="dxa"/>
            <w:vAlign w:val="bottom"/>
            <w:gridSpan w:val="2"/>
          </w:tcPr>
          <w:p>
            <w:pPr>
              <w:jc w:val="center"/>
              <w:ind w:right="360"/>
              <w:spacing w:after="0"/>
              <w:rPr>
                <w:sz w:val="20"/>
                <w:szCs w:val="20"/>
                <w:color w:val="auto"/>
              </w:rPr>
            </w:pPr>
            <w:r>
              <w:rPr>
                <w:rFonts w:ascii="Arial" w:cs="Arial" w:eastAsia="Arial" w:hAnsi="Arial"/>
                <w:sz w:val="22"/>
                <w:szCs w:val="22"/>
                <w:color w:val="auto"/>
                <w:w w:val="96"/>
              </w:rPr>
              <w:t>Texas</w:t>
            </w:r>
          </w:p>
        </w:tc>
        <w:tc>
          <w:tcPr>
            <w:tcW w:w="0" w:type="dxa"/>
            <w:vAlign w:val="bottom"/>
          </w:tcPr>
          <w:p>
            <w:pPr>
              <w:spacing w:after="0"/>
              <w:rPr>
                <w:sz w:val="1"/>
                <w:szCs w:val="1"/>
                <w:color w:val="auto"/>
              </w:rPr>
            </w:pPr>
          </w:p>
        </w:tc>
      </w:tr>
      <w:tr>
        <w:trPr>
          <w:trHeight w:val="310"/>
        </w:trPr>
        <w:tc>
          <w:tcPr>
            <w:tcW w:w="7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20" w:type="dxa"/>
            <w:vAlign w:val="bottom"/>
            <w:shd w:val="clear" w:color="auto" w:fill="DBDBDB"/>
          </w:tcPr>
          <w:p>
            <w:pPr>
              <w:ind w:left="20"/>
              <w:spacing w:after="0"/>
              <w:rPr>
                <w:sz w:val="20"/>
                <w:szCs w:val="20"/>
                <w:color w:val="auto"/>
              </w:rPr>
            </w:pPr>
            <w:r>
              <w:rPr>
                <w:rFonts w:ascii="Arial" w:cs="Arial" w:eastAsia="Arial" w:hAnsi="Arial"/>
                <w:sz w:val="22"/>
                <w:szCs w:val="22"/>
                <w:b w:val="1"/>
                <w:bCs w:val="1"/>
                <w:color w:val="auto"/>
              </w:rPr>
              <w:t>Partnerships</w:t>
            </w:r>
          </w:p>
        </w:tc>
        <w:tc>
          <w:tcPr>
            <w:tcW w:w="240" w:type="dxa"/>
            <w:vAlign w:val="bottom"/>
          </w:tcPr>
          <w:p>
            <w:pPr>
              <w:spacing w:after="0"/>
              <w:rPr>
                <w:sz w:val="23"/>
                <w:szCs w:val="23"/>
                <w:color w:val="auto"/>
              </w:rPr>
            </w:pPr>
          </w:p>
        </w:tc>
        <w:tc>
          <w:tcPr>
            <w:tcW w:w="2980" w:type="dxa"/>
            <w:vAlign w:val="bottom"/>
            <w:shd w:val="clear" w:color="auto" w:fill="DBDBDB"/>
          </w:tcPr>
          <w:p>
            <w:pPr>
              <w:jc w:val="center"/>
              <w:spacing w:after="0"/>
              <w:rPr>
                <w:sz w:val="20"/>
                <w:szCs w:val="20"/>
                <w:color w:val="auto"/>
              </w:rPr>
            </w:pPr>
            <w:r>
              <w:rPr>
                <w:rFonts w:ascii="Arial" w:cs="Arial" w:eastAsia="Arial" w:hAnsi="Arial"/>
                <w:sz w:val="22"/>
                <w:szCs w:val="22"/>
                <w:b w:val="1"/>
                <w:bCs w:val="1"/>
                <w:color w:val="auto"/>
                <w:w w:val="98"/>
              </w:rPr>
              <w:t>State of Organization</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120" w:type="dxa"/>
            <w:vAlign w:val="bottom"/>
          </w:tcPr>
          <w:p>
            <w:pPr>
              <w:ind w:left="20"/>
              <w:spacing w:after="0"/>
              <w:rPr>
                <w:sz w:val="20"/>
                <w:szCs w:val="20"/>
                <w:color w:val="auto"/>
              </w:rPr>
            </w:pPr>
            <w:r>
              <w:rPr>
                <w:rFonts w:ascii="Arial" w:cs="Arial" w:eastAsia="Arial" w:hAnsi="Arial"/>
                <w:sz w:val="22"/>
                <w:szCs w:val="22"/>
                <w:color w:val="auto"/>
              </w:rPr>
              <w:t>Chesapeake Louisiana, L.P.</w:t>
            </w:r>
          </w:p>
        </w:tc>
        <w:tc>
          <w:tcPr>
            <w:tcW w:w="24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22"/>
                <w:szCs w:val="22"/>
                <w:color w:val="auto"/>
                <w:w w:val="97"/>
              </w:rPr>
              <w:t>Oklahoma</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20" w:right="400" w:hanging="9"/>
        <w:spacing w:after="0" w:line="237" w:lineRule="auto"/>
        <w:tabs>
          <w:tab w:leader="none" w:pos="177" w:val="left"/>
        </w:tabs>
        <w:numPr>
          <w:ilvl w:val="0"/>
          <w:numId w:val="183"/>
        </w:numPr>
        <w:rPr>
          <w:rFonts w:ascii="Arial" w:cs="Arial" w:eastAsia="Arial" w:hAnsi="Arial"/>
          <w:sz w:val="21"/>
          <w:szCs w:val="21"/>
          <w:color w:val="auto"/>
        </w:rPr>
      </w:pPr>
      <w:r>
        <w:rPr>
          <w:rFonts w:ascii="Arial" w:cs="Arial" w:eastAsia="Arial" w:hAnsi="Arial"/>
          <w:sz w:val="21"/>
          <w:szCs w:val="21"/>
          <w:color w:val="auto"/>
        </w:rPr>
        <w:t>In accordance with Regulation S-K Item 601(b)(21), the names of particular subsidiaries that, considered in the aggregate as a single subsidiary, would not constitute a significant subsidiary (as that term is defined in Rule 1-02(w) of Regulation S-X) as of the end of the year covered by this report have been omitted.</w:t>
      </w:r>
    </w:p>
    <w:p>
      <w:pPr>
        <w:sectPr>
          <w:pgSz w:w="11900" w:h="16838" w:orient="portrait"/>
          <w:cols w:equalWidth="0" w:num="1">
            <w:col w:w="10700"/>
          </w:cols>
          <w:pgMar w:left="780" w:top="197" w:right="419" w:bottom="1440" w:gutter="0" w:footer="0" w:header="0"/>
        </w:sectPr>
      </w:pPr>
    </w:p>
    <w:bookmarkStart w:id="236" w:name="page237"/>
    <w:bookmarkEnd w:id="236"/>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(Nos. 333-283348, 333-263820 and 333-260833) and Form S-8 (Nos. 333-282773, 333-253340 and 333-260834) of Expand Energy Corporation of our report dated February 26,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Oklahoma City, Oklahoma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2025</w:t>
      </w:r>
    </w:p>
    <w:p>
      <w:pPr>
        <w:sectPr>
          <w:pgSz w:w="11900" w:h="16838" w:orient="portrait"/>
          <w:cols w:equalWidth="0" w:num="1">
            <w:col w:w="11240"/>
          </w:cols>
          <w:pgMar w:left="320" w:top="1440"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3125" cy="3429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8">
                      <a:extLst>
                        <a:ext uri="{28A0092B-C50C-407E-A947-70E740481C1C}"/>
                      </a:extLst>
                    </a:blip>
                    <a:srcRect/>
                    <a:stretch>
                      <a:fillRect/>
                    </a:stretch>
                  </pic:blipFill>
                  <pic:spPr bwMode="auto">
                    <a:xfrm>
                      <a:off x="0" y="0"/>
                      <a:ext cx="21431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PETROLEUM ENGINEERS AND GEOLOGISTS</w:t>
      </w:r>
    </w:p>
    <w:p>
      <w:pPr>
        <w:spacing w:after="0" w:line="200" w:lineRule="exact"/>
        <w:rPr>
          <w:sz w:val="20"/>
          <w:szCs w:val="20"/>
          <w:color w:val="auto"/>
        </w:rPr>
      </w:pPr>
    </w:p>
    <w:p>
      <w:pPr>
        <w:spacing w:after="0" w:line="3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hereby consent to the inclusion in this Annual Report on Form 10-K of Expand Energy Corporation for the year ended December 31, 2024 (the "Annual Report") of our audit letter dated February 18, 2025, with respect to estimates of reserves and future net revenue to the Expand Energy Corporation interest, as of December 31, 2024, and to all references to our firm included in the Annual Report.</w:t>
      </w:r>
    </w:p>
    <w:p>
      <w:pPr>
        <w:spacing w:after="0" w:line="200" w:lineRule="exact"/>
        <w:rPr>
          <w:sz w:val="20"/>
          <w:szCs w:val="20"/>
          <w:color w:val="auto"/>
        </w:rPr>
      </w:pPr>
    </w:p>
    <w:p>
      <w:pPr>
        <w:spacing w:after="0" w:line="29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Eric J. Stevens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43180</wp:posOffset>
            </wp:positionV>
            <wp:extent cx="37801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Eric J. Stevens, P.E.</w:t>
      </w:r>
    </w:p>
    <w:p>
      <w:pPr>
        <w:spacing w:after="0" w:line="7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Operating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2025</w:t>
      </w:r>
    </w:p>
    <w:p>
      <w:pPr>
        <w:sectPr>
          <w:pgSz w:w="11900" w:h="16838" w:orient="portrait"/>
          <w:cols w:equalWidth="0" w:num="1">
            <w:col w:w="11240"/>
          </w:cols>
          <w:pgMar w:left="320" w:top="122" w:right="339" w:bottom="1440" w:gutter="0" w:footer="0" w:header="0"/>
        </w:sectPr>
      </w:pPr>
    </w:p>
    <w:bookmarkStart w:id="238" w:name="page239"/>
    <w:bookmarkEnd w:id="238"/>
    <w:p>
      <w:pPr>
        <w:ind w:left="1016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Domenic J. Dell'Osso, Jr., certify that:</w:t>
      </w:r>
    </w:p>
    <w:p>
      <w:pPr>
        <w:spacing w:after="0" w:line="171" w:lineRule="exact"/>
        <w:rPr>
          <w:sz w:val="20"/>
          <w:szCs w:val="20"/>
          <w:color w:val="auto"/>
        </w:rPr>
      </w:pPr>
    </w:p>
    <w:p>
      <w:pPr>
        <w:ind w:left="640" w:hanging="308"/>
        <w:spacing w:after="0"/>
        <w:tabs>
          <w:tab w:leader="none" w:pos="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26, 2025</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DOMENIC J. DELL'OSSO, JR.</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239" w:name="page240"/>
    <w:bookmarkEnd w:id="239"/>
    <w:p>
      <w:pPr>
        <w:ind w:left="101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Mohit Singh, certify that:</w:t>
      </w:r>
    </w:p>
    <w:p>
      <w:pPr>
        <w:spacing w:after="0" w:line="171" w:lineRule="exact"/>
        <w:rPr>
          <w:sz w:val="20"/>
          <w:szCs w:val="20"/>
          <w:color w:val="auto"/>
        </w:rPr>
      </w:pPr>
    </w:p>
    <w:p>
      <w:pPr>
        <w:ind w:left="640" w:hanging="308"/>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26, 2025</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MOHIT SINGH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Mohit Singh</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240" w:name="page241"/>
    <w:bookmarkEnd w:id="240"/>
    <w:p>
      <w:pPr>
        <w:ind w:left="101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Expand Energy Corporation (the “Company”) on Form 10-K for the year ended December 31, 2024 as filed with the Securities and Exchange Commission on the date hereof (the “Report”), I, Domenic J. Dell'Osso, Jr., President and Chief Executive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26, 2025</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DOMENIC J. DELL'OSSO, JR.</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Domenic J. Dell'Osso, Jr.</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241" w:name="page242"/>
    <w:bookmarkEnd w:id="241"/>
    <w:p>
      <w:pPr>
        <w:ind w:left="101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Annual Report of Expand Energy Corporation (the “Company”) on Form 10-K for the year ended December 31, 2024 as filed with the Securities and Exchange Commission on the date hereof (the “Report”), I, Mohit Singh, Executive Vice President and Chief Financial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00" w:type="dxa"/>
            <w:vAlign w:val="bottom"/>
          </w:tcPr>
          <w:p>
            <w:pPr>
              <w:spacing w:after="0"/>
              <w:rPr>
                <w:sz w:val="20"/>
                <w:szCs w:val="20"/>
                <w:color w:val="auto"/>
              </w:rPr>
            </w:pPr>
            <w:r>
              <w:rPr>
                <w:rFonts w:ascii="Arial" w:cs="Arial" w:eastAsia="Arial" w:hAnsi="Arial"/>
                <w:sz w:val="18"/>
                <w:szCs w:val="18"/>
                <w:color w:val="auto"/>
              </w:rPr>
              <w:t>February 26, 2025</w:t>
            </w:r>
          </w:p>
        </w:tc>
        <w:tc>
          <w:tcPr>
            <w:tcW w:w="7200" w:type="dxa"/>
            <w:vAlign w:val="bottom"/>
            <w:gridSpan w:val="2"/>
          </w:tcPr>
          <w:p>
            <w:pPr>
              <w:ind w:left="2520"/>
              <w:spacing w:after="0"/>
              <w:rPr>
                <w:sz w:val="20"/>
                <w:szCs w:val="20"/>
                <w:color w:val="auto"/>
              </w:rPr>
            </w:pPr>
            <w:r>
              <w:rPr>
                <w:rFonts w:ascii="Arial" w:cs="Arial" w:eastAsia="Arial" w:hAnsi="Arial"/>
                <w:sz w:val="18"/>
                <w:szCs w:val="18"/>
                <w:color w:val="auto"/>
              </w:rPr>
              <w:t>By: /s/ MOHIT SINGH</w:t>
            </w:r>
          </w:p>
        </w:tc>
      </w:tr>
      <w:tr>
        <w:trPr>
          <w:trHeight w:val="220"/>
        </w:trPr>
        <w:tc>
          <w:tcPr>
            <w:tcW w:w="40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Mohit Singh</w:t>
            </w:r>
          </w:p>
        </w:tc>
      </w:tr>
      <w:tr>
        <w:trPr>
          <w:trHeight w:val="237"/>
        </w:trPr>
        <w:tc>
          <w:tcPr>
            <w:tcW w:w="40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EXPAND ENERGY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CLAWBACK POLICY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(Effective September 9, 2023)</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Expand Energy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believes that it is in the best interests of the Company and its shareholders to create and maintain a culture that emphasizes integrity and accountability and that reinforces the Company’s pay-for-performance compensation philosophy. The Compensation Committee of the Company’s Board of Directors (the “</w:t>
      </w:r>
      <w:r>
        <w:rPr>
          <w:rFonts w:ascii="Arial" w:cs="Arial" w:eastAsia="Arial" w:hAnsi="Arial"/>
          <w:sz w:val="22"/>
          <w:szCs w:val="22"/>
          <w:u w:val="single" w:color="auto"/>
          <w:color w:val="auto"/>
        </w:rPr>
        <w:t>Compensation Committee</w:t>
      </w:r>
      <w:r>
        <w:rPr>
          <w:rFonts w:ascii="Arial" w:cs="Arial" w:eastAsia="Arial" w:hAnsi="Arial"/>
          <w:sz w:val="22"/>
          <w:szCs w:val="22"/>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Arial" w:cs="Arial" w:eastAsia="Arial" w:hAnsi="Arial"/>
          <w:sz w:val="22"/>
          <w:szCs w:val="22"/>
          <w:u w:val="single" w:color="auto"/>
          <w:color w:val="auto"/>
        </w:rPr>
        <w:t>Policy</w:t>
      </w:r>
      <w:r>
        <w:rPr>
          <w:rFonts w:ascii="Arial" w:cs="Arial" w:eastAsia="Arial" w:hAnsi="Arial"/>
          <w:sz w:val="22"/>
          <w:szCs w:val="22"/>
          <w:color w:val="auto"/>
        </w:rPr>
        <w:t>”). This Policy is designed to comply with Section 10D of the Securities Exchange Act of 1934, as amended (the “</w:t>
      </w:r>
      <w:r>
        <w:rPr>
          <w:rFonts w:ascii="Arial" w:cs="Arial" w:eastAsia="Arial" w:hAnsi="Arial"/>
          <w:sz w:val="22"/>
          <w:szCs w:val="22"/>
          <w:u w:val="single" w:color="auto"/>
          <w:color w:val="auto"/>
        </w:rPr>
        <w:t>Exchange Act</w:t>
      </w:r>
      <w:r>
        <w:rPr>
          <w:rFonts w:ascii="Arial" w:cs="Arial" w:eastAsia="Arial" w:hAnsi="Arial"/>
          <w:sz w:val="22"/>
          <w:szCs w:val="22"/>
          <w:color w:val="auto"/>
        </w:rPr>
        <w:t>”), the rules promulgated thereunder, and the listing standards of the national securities exchange on which the Company’s securities are listed.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ADMINISTRATION</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This Policy shall be administered by the Compensation Committee. Any determinations made by the Compensation Committee shall be final and binding on all affected individuals.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COVERED EXECUTIVES</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Arial" w:cs="Arial" w:eastAsia="Arial" w:hAnsi="Arial"/>
          <w:sz w:val="22"/>
          <w:szCs w:val="22"/>
          <w:u w:val="single" w:color="auto"/>
          <w:color w:val="auto"/>
        </w:rPr>
        <w:t>Covered Executives</w:t>
      </w:r>
      <w:r>
        <w:rPr>
          <w:rFonts w:ascii="Arial" w:cs="Arial" w:eastAsia="Arial" w:hAnsi="Arial"/>
          <w:sz w:val="22"/>
          <w:szCs w:val="22"/>
          <w:color w:val="auto"/>
        </w:rPr>
        <w:t>”). This Policy shall be binding and enforceable against all Covered Executives.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RECOUPMENT; ACCOUNTING RESTATEMENT</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Arial" w:cs="Arial" w:eastAsia="Arial" w:hAnsi="Arial"/>
          <w:sz w:val="21"/>
          <w:szCs w:val="21"/>
          <w:u w:val="single" w:color="auto"/>
          <w:color w:val="auto"/>
        </w:rPr>
        <w:t>Accounting Restatement</w:t>
      </w:r>
      <w:r>
        <w:rPr>
          <w:rFonts w:ascii="Arial" w:cs="Arial" w:eastAsia="Arial" w:hAnsi="Arial"/>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sectPr>
          <w:pgSz w:w="11900" w:h="16838" w:orient="portrait"/>
          <w:cols w:equalWidth="0" w:num="1">
            <w:col w:w="11240"/>
          </w:cols>
          <w:pgMar w:left="320" w:top="125" w:right="3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b w:val="1"/>
          <w:bCs w:val="1"/>
          <w:color w:val="auto"/>
        </w:rPr>
        <w:t>INCENTIVE-BASED COMPENSATION</w:t>
      </w:r>
    </w:p>
    <w:p>
      <w:pPr>
        <w:spacing w:after="0" w:line="23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purposes of this Policy, “</w:t>
      </w:r>
      <w:r>
        <w:rPr>
          <w:rFonts w:ascii="Arial" w:cs="Arial" w:eastAsia="Arial" w:hAnsi="Arial"/>
          <w:sz w:val="21"/>
          <w:szCs w:val="21"/>
          <w:u w:val="single" w:color="auto"/>
          <w:color w:val="auto"/>
        </w:rPr>
        <w:t>Incentive-Based Compensation</w:t>
      </w:r>
      <w:r>
        <w:rPr>
          <w:rFonts w:ascii="Arial" w:cs="Arial" w:eastAsia="Arial" w:hAnsi="Arial"/>
          <w:sz w:val="21"/>
          <w:szCs w:val="21"/>
          <w:color w:val="auto"/>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Compensation that would not be considered Incentive-Based Compensation includes, but is not limited to: (i) salaries;</w:t>
      </w:r>
    </w:p>
    <w:p>
      <w:pPr>
        <w:spacing w:after="0" w:line="22" w:lineRule="exact"/>
        <w:rPr>
          <w:sz w:val="20"/>
          <w:szCs w:val="20"/>
          <w:color w:val="auto"/>
        </w:rPr>
      </w:pPr>
    </w:p>
    <w:p>
      <w:pPr>
        <w:jc w:val="both"/>
        <w:ind w:firstLine="8"/>
        <w:spacing w:after="0" w:line="234" w:lineRule="auto"/>
        <w:tabs>
          <w:tab w:leader="none" w:pos="342" w:val="left"/>
        </w:tabs>
        <w:numPr>
          <w:ilvl w:val="0"/>
          <w:numId w:val="188"/>
        </w:numPr>
        <w:rPr>
          <w:rFonts w:ascii="Arial" w:cs="Arial" w:eastAsia="Arial" w:hAnsi="Arial"/>
          <w:sz w:val="22"/>
          <w:szCs w:val="22"/>
          <w:color w:val="auto"/>
        </w:rPr>
      </w:pPr>
      <w:r>
        <w:rPr>
          <w:rFonts w:ascii="Arial" w:cs="Arial" w:eastAsia="Arial" w:hAnsi="Arial"/>
          <w:sz w:val="22"/>
          <w:szCs w:val="22"/>
          <w:color w:val="auto"/>
        </w:rPr>
        <w:t>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20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OVERPAYMENT: AMOUNT SUBJECT TO RECOVERY</w:t>
      </w:r>
    </w:p>
    <w:p>
      <w:pPr>
        <w:spacing w:after="0" w:line="23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Arial" w:cs="Arial" w:eastAsia="Arial" w:hAnsi="Arial"/>
          <w:sz w:val="22"/>
          <w:szCs w:val="22"/>
          <w:u w:val="single" w:color="auto"/>
          <w:color w:val="auto"/>
        </w:rPr>
        <w:t>Overpayment</w:t>
      </w:r>
      <w:r>
        <w:rPr>
          <w:rFonts w:ascii="Arial" w:cs="Arial" w:eastAsia="Arial" w:hAnsi="Arial"/>
          <w:sz w:val="22"/>
          <w:szCs w:val="22"/>
          <w:color w:val="auto"/>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w:t>
      </w:r>
    </w:p>
    <w:p>
      <w:pPr>
        <w:sectPr>
          <w:pgSz w:w="11900" w:h="16838" w:orient="portrait"/>
          <w:cols w:equalWidth="0" w:num="1">
            <w:col w:w="11240"/>
          </w:cols>
          <w:pgMar w:left="320" w:top="894" w:right="339" w:bottom="1440" w:gutter="0" w:footer="0" w:header="0"/>
        </w:sectPr>
      </w:pPr>
    </w:p>
    <w:bookmarkStart w:id="244" w:name="page245"/>
    <w:bookmarkEnd w:id="244"/>
    <w:p>
      <w:pPr>
        <w:jc w:val="both"/>
        <w:spacing w:after="0" w:line="245" w:lineRule="auto"/>
        <w:rPr>
          <w:sz w:val="20"/>
          <w:szCs w:val="20"/>
          <w:color w:val="auto"/>
        </w:rPr>
      </w:pPr>
      <w:r>
        <w:rPr>
          <w:rFonts w:ascii="Arial" w:cs="Arial" w:eastAsia="Arial" w:hAnsi="Arial"/>
          <w:sz w:val="22"/>
          <w:szCs w:val="22"/>
          <w:color w:val="auto"/>
        </w:rPr>
        <w:t>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 OF RECOUPMENT</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The Compensation Committee will determine, in its sole discretion, the method or methods for recouping any</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Overpayment hereunder which may include, without limitation:</w:t>
      </w:r>
    </w:p>
    <w:p>
      <w:pPr>
        <w:spacing w:after="0" w:line="200"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requiring reimbursement of cash Incentive-Based Compensation previously paid;</w:t>
      </w:r>
    </w:p>
    <w:p>
      <w:pPr>
        <w:spacing w:after="0" w:line="233" w:lineRule="exact"/>
        <w:rPr>
          <w:rFonts w:ascii="Arial" w:cs="Arial" w:eastAsia="Arial" w:hAnsi="Arial"/>
          <w:sz w:val="22"/>
          <w:szCs w:val="22"/>
          <w:color w:val="auto"/>
        </w:rPr>
      </w:pPr>
    </w:p>
    <w:p>
      <w:pPr>
        <w:ind w:left="660" w:hanging="328"/>
        <w:spacing w:after="0" w:line="259" w:lineRule="auto"/>
        <w:tabs>
          <w:tab w:leader="none" w:pos="655"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seeking recovery of any gain realized on the vesting, exercise, settlement, sale, transfer, or other disposition of any equity-based awards granted as Incentive-Based Compensation;</w:t>
      </w:r>
    </w:p>
    <w:p>
      <w:pPr>
        <w:spacing w:after="0" w:line="183" w:lineRule="exact"/>
        <w:rPr>
          <w:rFonts w:ascii="Arial" w:cs="Arial" w:eastAsia="Arial" w:hAnsi="Arial"/>
          <w:sz w:val="22"/>
          <w:szCs w:val="22"/>
          <w:color w:val="auto"/>
        </w:rPr>
      </w:pPr>
    </w:p>
    <w:p>
      <w:pPr>
        <w:ind w:left="660" w:hanging="328"/>
        <w:spacing w:after="0" w:line="259" w:lineRule="auto"/>
        <w:tabs>
          <w:tab w:leader="none" w:pos="69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offsetting any or all of the Overpayment from any compensation otherwise owed by the Company to the Covered Executive;</w:t>
      </w:r>
    </w:p>
    <w:p>
      <w:pPr>
        <w:spacing w:after="0" w:line="183" w:lineRule="exact"/>
        <w:rPr>
          <w:rFonts w:ascii="Arial" w:cs="Arial" w:eastAsia="Arial" w:hAnsi="Arial"/>
          <w:sz w:val="22"/>
          <w:szCs w:val="22"/>
          <w:color w:val="auto"/>
        </w:rPr>
      </w:pPr>
    </w:p>
    <w:p>
      <w:pPr>
        <w:ind w:left="660" w:hanging="328"/>
        <w:spacing w:after="0"/>
        <w:tabs>
          <w:tab w:leader="none" w:pos="66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cancelling outstanding vested or unvested equity awards; and/or</w:t>
      </w:r>
    </w:p>
    <w:p>
      <w:pPr>
        <w:spacing w:after="0" w:line="233" w:lineRule="exact"/>
        <w:rPr>
          <w:rFonts w:ascii="Arial" w:cs="Arial" w:eastAsia="Arial" w:hAnsi="Arial"/>
          <w:sz w:val="22"/>
          <w:szCs w:val="22"/>
          <w:color w:val="auto"/>
        </w:rPr>
      </w:pPr>
    </w:p>
    <w:p>
      <w:pPr>
        <w:ind w:left="660" w:hanging="328"/>
        <w:spacing w:after="0" w:line="259" w:lineRule="auto"/>
        <w:tabs>
          <w:tab w:leader="none" w:pos="70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taking any other remedial and recovery action permitted by law, as determined by the Compensation Committee.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LIMITATION ON RECOVERY; NO ADDITIONAL PAYMENTS</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INDEMNIFICATION</w:t>
      </w:r>
    </w:p>
    <w:p>
      <w:pPr>
        <w:spacing w:after="0" w:line="235"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The Company shall not indemnify any Covered Executives against the loss of any incorrectly awarded Incentive-Based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sectPr>
          <w:pgSz w:w="11900" w:h="16838" w:orient="portrait"/>
          <w:cols w:equalWidth="0" w:num="1">
            <w:col w:w="11240"/>
          </w:cols>
          <w:pgMar w:left="320" w:top="883" w:right="3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b w:val="1"/>
          <w:bCs w:val="1"/>
          <w:color w:val="auto"/>
        </w:rPr>
        <w:t>EFFECTIVE DATE</w:t>
      </w: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Policy shall be effective as of the date it is adopted by the Compensation Committee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October 2, 2023.</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TERMINATION</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Compensation Committee may amend this Policy from time to time in its discretion. The Compensation Committee may terminate this Policy at any time.</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RECOUPMENT RIGHTS</w:t>
      </w:r>
    </w:p>
    <w:p>
      <w:pPr>
        <w:spacing w:after="0" w:line="23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Compensation Committee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IMPRACTICABILITY</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Compensation Committee shall recover any Overpayment in accordance with this Policy except to the extent that the Compensation Committee determines such recovery would be impracticable because:</w:t>
      </w:r>
    </w:p>
    <w:p>
      <w:pPr>
        <w:spacing w:after="0" w:line="183" w:lineRule="exact"/>
        <w:rPr>
          <w:sz w:val="20"/>
          <w:szCs w:val="20"/>
          <w:color w:val="auto"/>
        </w:rPr>
      </w:pPr>
    </w:p>
    <w:p>
      <w:pPr>
        <w:ind w:firstLine="332"/>
        <w:spacing w:after="0" w:line="259" w:lineRule="auto"/>
        <w:tabs>
          <w:tab w:leader="none" w:pos="69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direct expense paid to a third party to assist in enforcing this Policy would exceed the amount to be recovered;</w:t>
      </w:r>
    </w:p>
    <w:p>
      <w:pPr>
        <w:spacing w:after="0" w:line="183" w:lineRule="exact"/>
        <w:rPr>
          <w:rFonts w:ascii="Arial" w:cs="Arial" w:eastAsia="Arial" w:hAnsi="Arial"/>
          <w:sz w:val="22"/>
          <w:szCs w:val="22"/>
          <w:color w:val="auto"/>
        </w:rPr>
      </w:pPr>
    </w:p>
    <w:p>
      <w:pPr>
        <w:ind w:firstLine="332"/>
        <w:spacing w:after="0" w:line="259" w:lineRule="auto"/>
        <w:tabs>
          <w:tab w:leader="none" w:pos="67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Recovery would violate home country law of the Company where that law was adopted prior to November 28, 2022; or</w:t>
      </w:r>
    </w:p>
    <w:p>
      <w:pPr>
        <w:spacing w:after="0" w:line="183" w:lineRule="exact"/>
        <w:rPr>
          <w:rFonts w:ascii="Arial" w:cs="Arial" w:eastAsia="Arial" w:hAnsi="Arial"/>
          <w:sz w:val="22"/>
          <w:szCs w:val="22"/>
          <w:color w:val="auto"/>
        </w:rPr>
      </w:pPr>
    </w:p>
    <w:p>
      <w:pPr>
        <w:jc w:val="both"/>
        <w:ind w:firstLine="332"/>
        <w:spacing w:after="0" w:line="245" w:lineRule="auto"/>
        <w:tabs>
          <w:tab w:leader="none" w:pos="72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SUCCESSORS</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Policy shall be binding and enforceable against all Covered Executives and their beneficiaries, heirs, executors, administrators or other legal representatives.</w:t>
      </w:r>
    </w:p>
    <w:p>
      <w:pPr>
        <w:sectPr>
          <w:pgSz w:w="11900" w:h="16838" w:orient="portrait"/>
          <w:cols w:equalWidth="0" w:num="1">
            <w:col w:w="11240"/>
          </w:cols>
          <w:pgMar w:left="320" w:top="881" w:right="3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47"/>
        </w:trPr>
        <w:tc>
          <w:tcPr>
            <w:tcW w:w="94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258"/>
        </w:trPr>
        <w:tc>
          <w:tcPr>
            <w:tcW w:w="9480" w:type="dxa"/>
            <w:vAlign w:val="bottom"/>
          </w:tcPr>
          <w:p>
            <w:pPr>
              <w:jc w:val="right"/>
              <w:ind w:right="197"/>
              <w:spacing w:after="0"/>
              <w:rPr>
                <w:sz w:val="20"/>
                <w:szCs w:val="20"/>
                <w:color w:val="auto"/>
              </w:rPr>
            </w:pPr>
            <w:r>
              <w:rPr>
                <w:rFonts w:ascii="Arial" w:cs="Arial" w:eastAsia="Arial" w:hAnsi="Arial"/>
                <w:sz w:val="13"/>
                <w:szCs w:val="13"/>
                <w:b w:val="1"/>
                <w:bCs w:val="1"/>
                <w:color w:val="auto"/>
              </w:rPr>
              <w:t>CHAIRMAN &amp; CEO</w:t>
            </w: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EXECUTIVE COMMITTEE</w:t>
            </w:r>
          </w:p>
        </w:tc>
        <w:tc>
          <w:tcPr>
            <w:tcW w:w="0" w:type="dxa"/>
            <w:vAlign w:val="bottom"/>
          </w:tcPr>
          <w:p>
            <w:pPr>
              <w:spacing w:after="0"/>
              <w:rPr>
                <w:sz w:val="1"/>
                <w:szCs w:val="1"/>
                <w:color w:val="auto"/>
              </w:rPr>
            </w:pPr>
          </w:p>
        </w:tc>
      </w:tr>
      <w:tr>
        <w:trPr>
          <w:trHeight w:val="131"/>
        </w:trPr>
        <w:tc>
          <w:tcPr>
            <w:tcW w:w="9480" w:type="dxa"/>
            <w:vAlign w:val="bottom"/>
          </w:tcPr>
          <w:p>
            <w:pPr>
              <w:jc w:val="right"/>
              <w:ind w:right="197"/>
              <w:spacing w:after="0" w:line="131" w:lineRule="exact"/>
              <w:rPr>
                <w:sz w:val="20"/>
                <w:szCs w:val="20"/>
                <w:color w:val="auto"/>
              </w:rPr>
            </w:pPr>
            <w:r>
              <w:rPr>
                <w:rFonts w:ascii="Arial" w:cs="Arial" w:eastAsia="Arial" w:hAnsi="Arial"/>
                <w:sz w:val="13"/>
                <w:szCs w:val="13"/>
                <w:color w:val="auto"/>
              </w:rPr>
              <w:t>RICHARD B. TALLEY, JR.</w:t>
            </w:r>
          </w:p>
        </w:tc>
        <w:tc>
          <w:tcPr>
            <w:tcW w:w="1760" w:type="dxa"/>
            <w:vAlign w:val="bottom"/>
          </w:tcPr>
          <w:p>
            <w:pPr>
              <w:jc w:val="right"/>
              <w:spacing w:after="0" w:line="131" w:lineRule="exact"/>
              <w:rPr>
                <w:sz w:val="20"/>
                <w:szCs w:val="20"/>
                <w:color w:val="auto"/>
              </w:rPr>
            </w:pPr>
            <w:r>
              <w:rPr>
                <w:rFonts w:ascii="Arial" w:cs="Arial" w:eastAsia="Arial" w:hAnsi="Arial"/>
                <w:sz w:val="13"/>
                <w:szCs w:val="13"/>
                <w:color w:val="auto"/>
              </w:rPr>
              <w:t>ROBERT C. BARG</w:t>
            </w:r>
          </w:p>
        </w:tc>
        <w:tc>
          <w:tcPr>
            <w:tcW w:w="0" w:type="dxa"/>
            <w:vAlign w:val="bottom"/>
          </w:tcPr>
          <w:p>
            <w:pPr>
              <w:spacing w:after="0"/>
              <w:rPr>
                <w:sz w:val="1"/>
                <w:szCs w:val="1"/>
                <w:color w:val="auto"/>
              </w:rPr>
            </w:pPr>
          </w:p>
        </w:tc>
      </w:tr>
      <w:tr>
        <w:trPr>
          <w:trHeight w:val="126"/>
        </w:trPr>
        <w:tc>
          <w:tcPr>
            <w:tcW w:w="948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Arial" w:cs="Arial" w:eastAsia="Arial" w:hAnsi="Arial"/>
                <w:sz w:val="13"/>
                <w:szCs w:val="13"/>
                <w:color w:val="auto"/>
              </w:rPr>
              <w:t>P. SCOTT FROST</w:t>
            </w:r>
          </w:p>
        </w:tc>
        <w:tc>
          <w:tcPr>
            <w:tcW w:w="0" w:type="dxa"/>
            <w:vAlign w:val="bottom"/>
          </w:tcPr>
          <w:p>
            <w:pPr>
              <w:spacing w:after="0"/>
              <w:rPr>
                <w:sz w:val="1"/>
                <w:szCs w:val="1"/>
                <w:color w:val="auto"/>
              </w:rPr>
            </w:pPr>
          </w:p>
        </w:tc>
      </w:tr>
      <w:tr>
        <w:trPr>
          <w:trHeight w:val="121"/>
        </w:trPr>
        <w:tc>
          <w:tcPr>
            <w:tcW w:w="94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PRESIDENT &amp; COO</w:t>
            </w:r>
          </w:p>
        </w:tc>
        <w:tc>
          <w:tcPr>
            <w:tcW w:w="1760" w:type="dxa"/>
            <w:vAlign w:val="bottom"/>
          </w:tcPr>
          <w:p>
            <w:pPr>
              <w:jc w:val="right"/>
              <w:spacing w:after="0" w:line="122" w:lineRule="exact"/>
              <w:rPr>
                <w:sz w:val="20"/>
                <w:szCs w:val="20"/>
                <w:color w:val="auto"/>
              </w:rPr>
            </w:pPr>
            <w:r>
              <w:rPr>
                <w:rFonts w:ascii="Arial" w:cs="Arial" w:eastAsia="Arial" w:hAnsi="Arial"/>
                <w:sz w:val="13"/>
                <w:szCs w:val="13"/>
                <w:color w:val="auto"/>
              </w:rPr>
              <w:t>JOHN G. HATTNER</w:t>
            </w:r>
          </w:p>
        </w:tc>
        <w:tc>
          <w:tcPr>
            <w:tcW w:w="0" w:type="dxa"/>
            <w:vAlign w:val="bottom"/>
          </w:tcPr>
          <w:p>
            <w:pPr>
              <w:spacing w:after="0"/>
              <w:rPr>
                <w:sz w:val="1"/>
                <w:szCs w:val="1"/>
                <w:color w:val="auto"/>
              </w:rPr>
            </w:pPr>
          </w:p>
        </w:tc>
      </w:tr>
      <w:tr>
        <w:trPr>
          <w:trHeight w:val="122"/>
        </w:trPr>
        <w:tc>
          <w:tcPr>
            <w:tcW w:w="9480" w:type="dxa"/>
            <w:vAlign w:val="bottom"/>
            <w:vMerge w:val="continue"/>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color w:val="auto"/>
              </w:rPr>
              <w:t>JOSEPH J. SPELLMAN</w:t>
            </w:r>
          </w:p>
        </w:tc>
        <w:tc>
          <w:tcPr>
            <w:tcW w:w="0" w:type="dxa"/>
            <w:vAlign w:val="bottom"/>
          </w:tcPr>
          <w:p>
            <w:pPr>
              <w:spacing w:after="0"/>
              <w:rPr>
                <w:sz w:val="1"/>
                <w:szCs w:val="1"/>
                <w:color w:val="auto"/>
              </w:rPr>
            </w:pPr>
          </w:p>
        </w:tc>
      </w:tr>
      <w:tr>
        <w:trPr>
          <w:trHeight w:val="166"/>
        </w:trPr>
        <w:tc>
          <w:tcPr>
            <w:tcW w:w="9480" w:type="dxa"/>
            <w:vAlign w:val="bottom"/>
          </w:tcPr>
          <w:p>
            <w:pPr>
              <w:jc w:val="right"/>
              <w:ind w:right="197"/>
              <w:spacing w:after="0"/>
              <w:rPr>
                <w:sz w:val="20"/>
                <w:szCs w:val="20"/>
                <w:color w:val="auto"/>
              </w:rPr>
            </w:pPr>
            <w:r>
              <w:rPr>
                <w:rFonts w:ascii="Arial" w:cs="Arial" w:eastAsia="Arial" w:hAnsi="Arial"/>
                <w:sz w:val="13"/>
                <w:szCs w:val="13"/>
                <w:color w:val="auto"/>
              </w:rPr>
              <w:t>ERIC J. STEVENS</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9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-702310</wp:posOffset>
            </wp:positionV>
            <wp:extent cx="2571750" cy="6343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0">
                      <a:extLst>
                        <a:ext uri="{28A0092B-C50C-407E-A947-70E740481C1C}"/>
                      </a:extLst>
                    </a:blip>
                    <a:srcRect/>
                    <a:stretch>
                      <a:fillRect/>
                    </a:stretch>
                  </pic:blipFill>
                  <pic:spPr bwMode="auto">
                    <a:xfrm>
                      <a:off x="0" y="0"/>
                      <a:ext cx="25717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18,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Mr. Nick Penner</w:t>
      </w:r>
    </w:p>
    <w:p>
      <w:pPr>
        <w:spacing w:after="0" w:line="203" w:lineRule="auto"/>
        <w:rPr>
          <w:sz w:val="20"/>
          <w:szCs w:val="20"/>
          <w:color w:val="auto"/>
        </w:rPr>
      </w:pPr>
      <w:r>
        <w:rPr>
          <w:rFonts w:ascii="Arial" w:cs="Arial" w:eastAsia="Arial" w:hAnsi="Arial"/>
          <w:sz w:val="18"/>
          <w:szCs w:val="18"/>
          <w:color w:val="auto"/>
        </w:rPr>
        <w:t>Expand Energy Corporation</w:t>
      </w:r>
    </w:p>
    <w:p>
      <w:pPr>
        <w:spacing w:after="0" w:line="204" w:lineRule="auto"/>
        <w:rPr>
          <w:sz w:val="20"/>
          <w:szCs w:val="20"/>
          <w:color w:val="auto"/>
        </w:rPr>
      </w:pPr>
      <w:r>
        <w:rPr>
          <w:rFonts w:ascii="Arial" w:cs="Arial" w:eastAsia="Arial" w:hAnsi="Arial"/>
          <w:sz w:val="18"/>
          <w:szCs w:val="18"/>
          <w:color w:val="auto"/>
        </w:rPr>
        <w:t>6100 North Western Avenue</w:t>
      </w:r>
    </w:p>
    <w:p>
      <w:pPr>
        <w:spacing w:after="0"/>
        <w:rPr>
          <w:sz w:val="20"/>
          <w:szCs w:val="20"/>
          <w:color w:val="auto"/>
        </w:rPr>
      </w:pPr>
      <w:r>
        <w:rPr>
          <w:rFonts w:ascii="Arial" w:cs="Arial" w:eastAsia="Arial" w:hAnsi="Arial"/>
          <w:sz w:val="18"/>
          <w:szCs w:val="18"/>
          <w:color w:val="auto"/>
        </w:rPr>
        <w:t>Oklahoma City, Oklahoma 73118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Mr. Penner:</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your request, we have audited the estimates prepared by Expand Energy Corporation (Expand), as of December 31, 2024, of the proved reserves and future revenue to the Expand interest in certain oil and gas properties located in the United States. It is our understanding that the proved reserves estimates shown herein constitute all of the proved reserves owned by Expand. We have examined the estimates with respect to reserves quantities, reserves categorization, future producing rates, future net revenue, and the present value of such future net revenue, using the definitions set forth in U.S. Securities and Exchange Commission (SEC) Regulation S-X Rule 4-10(a). The estimates of reserves and future revenue have been prepared in accordance with the definitions and regulations of the SEC and, with</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exception of the exclusion of future income taxes, conform to the FASB Accounting Standards Codification Topic 932, Extractive Activities —Oil and Gas. We completed our audit on or about the date of this letter. This report has been prepared for Expand's use in filing with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SEC; in our opinion the assumptions, data, methods, and procedures used in the preparation of this report are appropriate for such purpose.</w:t>
      </w:r>
    </w:p>
    <w:p>
      <w:pPr>
        <w:spacing w:after="0" w:line="22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sets forth Expand's estimates of the net reserves and future net revenue, as of December 31, 2024, for the audited properties:</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5"/>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Net Reserves</w:t>
            </w:r>
          </w:p>
        </w:tc>
        <w:tc>
          <w:tcPr>
            <w:tcW w:w="14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color w:val="auto"/>
              </w:rPr>
              <w:t>Future Net Revenue (M$)</w:t>
            </w:r>
          </w:p>
        </w:tc>
      </w:tr>
      <w:tr>
        <w:trPr>
          <w:trHeight w:val="218"/>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560"/>
              <w:spacing w:after="0"/>
              <w:rPr>
                <w:sz w:val="20"/>
                <w:szCs w:val="20"/>
                <w:color w:val="auto"/>
              </w:rPr>
            </w:pPr>
            <w:r>
              <w:rPr>
                <w:rFonts w:ascii="Arial" w:cs="Arial" w:eastAsia="Arial" w:hAnsi="Arial"/>
                <w:sz w:val="18"/>
                <w:szCs w:val="18"/>
                <w:color w:val="auto"/>
              </w:rPr>
              <w:t>Oil</w:t>
            </w: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NGL</w:t>
            </w: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Gas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Present Worth</w:t>
            </w:r>
          </w:p>
        </w:tc>
      </w:tr>
      <w:tr>
        <w:trPr>
          <w:trHeight w:val="235"/>
        </w:trPr>
        <w:tc>
          <w:tcPr>
            <w:tcW w:w="28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Category</w:t>
            </w:r>
          </w:p>
        </w:tc>
        <w:tc>
          <w:tcPr>
            <w:tcW w:w="140" w:type="dxa"/>
            <w:vAlign w:val="bottom"/>
          </w:tcPr>
          <w:p>
            <w:pPr>
              <w:spacing w:after="0"/>
              <w:rPr>
                <w:sz w:val="20"/>
                <w:szCs w:val="20"/>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(MBBL)</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(MBBL)</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(MMCF)</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at 10%</w:t>
            </w:r>
          </w:p>
        </w:tc>
      </w:tr>
      <w:tr>
        <w:trPr>
          <w:trHeight w:val="474"/>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Developed 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36,751.4</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360,332.6</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12,969,986.0</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9,415,120.6</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5,710,564.4</w:t>
            </w:r>
          </w:p>
        </w:tc>
      </w:tr>
      <w:tr>
        <w:trPr>
          <w:trHeight w:val="230"/>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Developed Non-Producing</w:t>
            </w:r>
          </w:p>
        </w:tc>
        <w:tc>
          <w:tcPr>
            <w:tcW w:w="1340" w:type="dxa"/>
            <w:vAlign w:val="bottom"/>
          </w:tcPr>
          <w:p>
            <w:pPr>
              <w:jc w:val="right"/>
              <w:spacing w:after="0"/>
              <w:rPr>
                <w:sz w:val="20"/>
                <w:szCs w:val="20"/>
                <w:color w:val="auto"/>
              </w:rPr>
            </w:pPr>
            <w:r>
              <w:rPr>
                <w:rFonts w:ascii="Arial" w:cs="Arial" w:eastAsia="Arial" w:hAnsi="Arial"/>
                <w:sz w:val="18"/>
                <w:szCs w:val="18"/>
                <w:color w:val="auto"/>
              </w:rPr>
              <w:t>3,573.3</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22,736.2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1,447,929.9</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1,204,742.2</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808,015.5</w:t>
            </w:r>
          </w:p>
        </w:tc>
      </w:tr>
      <w:tr>
        <w:trPr>
          <w:trHeight w:val="235"/>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Proved Undeveloped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27,557.3</w:t>
            </w:r>
          </w:p>
        </w:tc>
        <w:tc>
          <w:tcPr>
            <w:tcW w:w="1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195,093.9</w:t>
            </w:r>
          </w:p>
        </w:tc>
        <w:tc>
          <w:tcPr>
            <w:tcW w:w="14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2,505,993.7</w:t>
            </w:r>
          </w:p>
        </w:tc>
        <w:tc>
          <w:tcPr>
            <w:tcW w:w="18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3,048,897.0</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1,048,494.5</w:t>
            </w:r>
          </w:p>
        </w:tc>
      </w:tr>
      <w:tr>
        <w:trPr>
          <w:trHeight w:val="483"/>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Total Proved</w:t>
            </w:r>
          </w:p>
        </w:tc>
        <w:tc>
          <w:tcPr>
            <w:tcW w:w="1340" w:type="dxa"/>
            <w:vAlign w:val="bottom"/>
          </w:tcPr>
          <w:p>
            <w:pPr>
              <w:jc w:val="right"/>
              <w:spacing w:after="0"/>
              <w:rPr>
                <w:sz w:val="20"/>
                <w:szCs w:val="20"/>
                <w:color w:val="auto"/>
              </w:rPr>
            </w:pPr>
            <w:r>
              <w:rPr>
                <w:rFonts w:ascii="Arial" w:cs="Arial" w:eastAsia="Arial" w:hAnsi="Arial"/>
                <w:sz w:val="18"/>
                <w:szCs w:val="18"/>
                <w:color w:val="auto"/>
              </w:rPr>
              <w:t>67,882.1</w:t>
            </w: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578,162.6</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16,923,909.1</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13,668,760.6</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7,567,074.3</w:t>
            </w:r>
          </w:p>
        </w:tc>
      </w:tr>
    </w:tbl>
    <w:p>
      <w:pPr>
        <w:spacing w:after="0" w:line="115"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(MBBL); a barrel is equivalent to 42 United States gallons. Gas volumes are expressed in millions of cubic feet (MMCF) at standard temperature and pressure bases.</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compared on a lease-by-lease basis, some of the estimates of Expand are greater and some are less than the estimates of Netherland, Sewell &amp; Associates, Inc. (NSAI). However, in our opinion the estimates shown herein of Expand's reserves and future revenue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Expand in preparing the December 31, 2024, estimates of reserves and future revenue, and we saw nothing of an unusual nature that would cause us to take exception with the estimates, in the aggregate, as prepared by Expand.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w:t>
            </w:r>
          </w:p>
        </w:tc>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Ross Avenue, Suite 2200 • Dallas, Texas 75201 • Ph: 214-969-5401 • Fax: 214-969-5411</w:t>
            </w:r>
          </w:p>
        </w:tc>
        <w:tc>
          <w:tcPr>
            <w:tcW w:w="3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info@nsai-petro.com</w:t>
            </w:r>
          </w:p>
        </w:tc>
      </w:tr>
      <w:tr>
        <w:trPr>
          <w:trHeight w:val="190"/>
        </w:trPr>
        <w:tc>
          <w:tcPr>
            <w:tcW w:w="360" w:type="dxa"/>
            <w:vAlign w:val="bottom"/>
          </w:tcPr>
          <w:p>
            <w:pPr>
              <w:jc w:val="right"/>
              <w:spacing w:after="0"/>
              <w:rPr>
                <w:sz w:val="20"/>
                <w:szCs w:val="20"/>
                <w:color w:val="auto"/>
              </w:rPr>
            </w:pPr>
            <w:r>
              <w:rPr>
                <w:rFonts w:ascii="Arial" w:cs="Arial" w:eastAsia="Arial" w:hAnsi="Arial"/>
                <w:sz w:val="14"/>
                <w:szCs w:val="14"/>
                <w:color w:val="auto"/>
              </w:rPr>
              <w:t>1301</w:t>
            </w:r>
          </w:p>
        </w:tc>
        <w:tc>
          <w:tcPr>
            <w:tcW w:w="7760" w:type="dxa"/>
            <w:vAlign w:val="bottom"/>
          </w:tcPr>
          <w:p>
            <w:pPr>
              <w:ind w:left="20"/>
              <w:spacing w:after="0"/>
              <w:rPr>
                <w:sz w:val="20"/>
                <w:szCs w:val="20"/>
                <w:color w:val="auto"/>
              </w:rPr>
            </w:pPr>
            <w:r>
              <w:rPr>
                <w:rFonts w:ascii="Arial" w:cs="Arial" w:eastAsia="Arial" w:hAnsi="Arial"/>
                <w:sz w:val="14"/>
                <w:szCs w:val="14"/>
                <w:color w:val="auto"/>
              </w:rPr>
              <w:t>McKinney Street, Suite 3200 • Houston, Texas 77010 • Ph: 713-654-4950 • Fax: 713-654-4951</w:t>
            </w:r>
          </w:p>
        </w:tc>
        <w:tc>
          <w:tcPr>
            <w:tcW w:w="3120" w:type="dxa"/>
            <w:vAlign w:val="bottom"/>
          </w:tcPr>
          <w:p>
            <w:pPr>
              <w:jc w:val="right"/>
              <w:spacing w:after="0"/>
              <w:rPr>
                <w:sz w:val="20"/>
                <w:szCs w:val="20"/>
                <w:color w:val="auto"/>
              </w:rPr>
            </w:pPr>
            <w:r>
              <w:rPr>
                <w:rFonts w:ascii="Arial" w:cs="Arial" w:eastAsia="Arial" w:hAnsi="Arial"/>
                <w:sz w:val="14"/>
                <w:szCs w:val="14"/>
                <w:color w:val="auto"/>
              </w:rPr>
              <w:t>netherlandsewell.com</w:t>
            </w:r>
          </w:p>
        </w:tc>
      </w:tr>
    </w:tbl>
    <w:p>
      <w:pPr>
        <w:sectPr>
          <w:pgSz w:w="11900" w:h="16838" w:orient="portrait"/>
          <w:cols w:equalWidth="0" w:num="1">
            <w:col w:w="11240"/>
          </w:cols>
          <w:pgMar w:left="320" w:top="161" w:right="33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and future revenue included herein have not been adjusted for risk. Expand's estimates do not include probable or possible reserves that may exist for these properties, nor do they include any value for undeveloped acreage beyond those tracts for which undeveloped reserves have been estimated.</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Prices used by Expand are based on the 12-month unweighted arithmetic average of the first-day-of-the-month price for each month in the period January through December 2024. For oil and NGL volumes, the average West Texas Intermediate spot price of $75.48 per barrel is</w:t>
      </w:r>
    </w:p>
    <w:p>
      <w:pPr>
        <w:jc w:val="both"/>
        <w:spacing w:after="0" w:line="226" w:lineRule="auto"/>
        <w:rPr>
          <w:sz w:val="20"/>
          <w:szCs w:val="20"/>
          <w:color w:val="auto"/>
        </w:rPr>
      </w:pPr>
      <w:r>
        <w:rPr>
          <w:rFonts w:ascii="Arial" w:cs="Arial" w:eastAsia="Arial" w:hAnsi="Arial"/>
          <w:sz w:val="18"/>
          <w:szCs w:val="18"/>
          <w:color w:val="auto"/>
        </w:rPr>
        <w:t>adjusted for quality, transportation fees, and market differentials. For gas volumes, the average Henry Hub spot price of $2.130 per MMBTU is adjusted for energy content, transportation fees, and market differentials. All prices are held constant throughout the lives of the properties.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average adjusted product prices weighted by production over the remaining lives of the properties are $65.16 per barrel of oil, $15.20 per barrel of NGL, and $0.650 per MCF of gas.</w:t>
      </w:r>
    </w:p>
    <w:p>
      <w:pPr>
        <w:spacing w:after="0" w:line="19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Operating costs used by Expand are based on historical operating expense records. Operating costs are limited to direct lease- and field-level costs and Expand's estimate of the portion of its headquarters general and administrative overhead expenses necessary to operate the properties. Operating costs have been divided into per-well costs and per-unit-of-production costs. Capital costs used by Expand are based on authorizations for expenditure and actual costs from recent activity. Capital costs are included as required for tubing costs, workovers, new development wells, and production equipment. Abandonment costs used are Expand's estimates of the costs to abandon the wells and production facilities, net of any salvage value. Operating, capital, and abandonment costs are not escalated for inflation.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reserves. Estimates of reserves may increase or decrease as a result of market conditions, future operations, changes in regulations, or actual reservoir performance. In addition to the primary economic assumptions discussed herein, estimates of Expand and NSAI are based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certain assumptions including, but not limited to, that the properties will be developed consistent with current development plans as provided to us by Expand,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Because of governmental policies and uncertainties of supply and demand, the sales rates, prices received for the reserves, and costs incurred in recovering such reserves may vary from assumptions made while preparing these estimates.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major properties making up 99.6 percent of the present worth for the total proved reserves. In the conduct of our audit, we have not independently verified the accuracy and completeness of information and data furnished by Expand with respect to ownership interests, oil and gas production, well test data, historical costs of operation and development, product prices, or any agreements relating to current and future operations of the properties and sales of</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or had independently verified such information or data. Our audit did not include a review of Expand's overall reserves management processes and practices.</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468880" cy="3771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771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and analogy,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Supporting data documenting this audit, along with data provided by Expand, are on file in our office. The technical persons primarily responsible for conducting this audit meet the requirements regarding qualifications, independence, objectivity, and confidentiality set forth in</w:t>
      </w:r>
    </w:p>
    <w:p>
      <w:pPr>
        <w:jc w:val="both"/>
        <w:spacing w:after="0" w:line="226" w:lineRule="auto"/>
        <w:rPr>
          <w:sz w:val="20"/>
          <w:szCs w:val="20"/>
          <w:color w:val="auto"/>
        </w:rPr>
      </w:pPr>
      <w:r>
        <w:rPr>
          <w:rFonts w:ascii="Arial" w:cs="Arial" w:eastAsia="Arial" w:hAnsi="Arial"/>
          <w:sz w:val="18"/>
          <w:szCs w:val="18"/>
          <w:color w:val="auto"/>
        </w:rPr>
        <w:t>the SPE Standards. James D. Berry, a Licensed Professional Engineer in the State of Texas, has been practicing consulting petroleum engineering at NSAI since 2014 and has over 6 years of prior industry experience. William J. Knights, a Licensed Professional Geoscientist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the State of Texas, has been practicing consulting petroleum geoscience at NSAI since 1991 and has over 10 years of prior industry experience. We are independent petroleum engineers, geologists, geophysicists, and petrophysicists; we do not own an interest in these properties nor are we employed on a contingent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Sincerely,</w:t>
            </w:r>
          </w:p>
        </w:tc>
      </w:tr>
      <w:tr>
        <w:trPr>
          <w:trHeight w:val="333"/>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b w:val="1"/>
                <w:bCs w:val="1"/>
                <w:color w:val="auto"/>
              </w:rPr>
              <w:t>NETHERLAND, SEWELL &amp; ASSOCIATES, INC.</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Texas Registered Engineering Firm F-2699</w:t>
            </w:r>
          </w:p>
        </w:tc>
      </w:tr>
      <w:tr>
        <w:trPr>
          <w:trHeight w:val="504"/>
        </w:trPr>
        <w:tc>
          <w:tcPr>
            <w:tcW w:w="4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Richard B. Talley, Jr.</w:t>
            </w:r>
          </w:p>
        </w:tc>
      </w:tr>
      <w:tr>
        <w:trPr>
          <w:trHeight w:val="169"/>
        </w:trPr>
        <w:tc>
          <w:tcPr>
            <w:tcW w:w="4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6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Richard B. Talley, Jr., P.E.</w:t>
            </w:r>
          </w:p>
        </w:tc>
      </w:tr>
      <w:tr>
        <w:trPr>
          <w:trHeight w:val="239"/>
        </w:trPr>
        <w:tc>
          <w:tcPr>
            <w:tcW w:w="4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504"/>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By:  /s/ James D. Berry</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By:  /s/ William J. Knights</w:t>
            </w:r>
          </w:p>
        </w:tc>
      </w:tr>
      <w:tr>
        <w:trPr>
          <w:trHeight w:val="169"/>
        </w:trPr>
        <w:tc>
          <w:tcPr>
            <w:tcW w:w="460" w:type="dxa"/>
            <w:vAlign w:val="bottom"/>
          </w:tcPr>
          <w:p>
            <w:pPr>
              <w:spacing w:after="0"/>
              <w:rPr>
                <w:sz w:val="14"/>
                <w:szCs w:val="14"/>
                <w:color w:val="auto"/>
              </w:rPr>
            </w:pPr>
          </w:p>
        </w:tc>
        <w:tc>
          <w:tcPr>
            <w:tcW w:w="41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James D. Berry, P.E. 128972</w:t>
            </w:r>
          </w:p>
        </w:tc>
        <w:tc>
          <w:tcPr>
            <w:tcW w:w="1940" w:type="dxa"/>
            <w:vAlign w:val="bottom"/>
          </w:tcPr>
          <w:p>
            <w:pPr>
              <w:spacing w:after="0"/>
              <w:rPr>
                <w:sz w:val="14"/>
                <w:szCs w:val="14"/>
                <w:color w:val="auto"/>
              </w:rPr>
            </w:pPr>
          </w:p>
        </w:tc>
        <w:tc>
          <w:tcPr>
            <w:tcW w:w="46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William J. Knights, P.G. 1532</w:t>
            </w:r>
          </w:p>
        </w:tc>
      </w:tr>
      <w:tr>
        <w:trPr>
          <w:trHeight w:val="239"/>
        </w:trPr>
        <w:tc>
          <w:tcPr>
            <w:tcW w:w="460" w:type="dxa"/>
            <w:vAlign w:val="bottom"/>
          </w:tcPr>
          <w:p>
            <w:pPr>
              <w:spacing w:after="0"/>
              <w:rPr>
                <w:sz w:val="20"/>
                <w:szCs w:val="20"/>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194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508"/>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Date Signed: February 18, 2025</w:t>
            </w:r>
          </w:p>
        </w:tc>
        <w:tc>
          <w:tcPr>
            <w:tcW w:w="6600" w:type="dxa"/>
            <w:vAlign w:val="bottom"/>
            <w:gridSpan w:val="2"/>
          </w:tcPr>
          <w:p>
            <w:pPr>
              <w:ind w:left="1500"/>
              <w:spacing w:after="0"/>
              <w:rPr>
                <w:sz w:val="20"/>
                <w:szCs w:val="20"/>
                <w:color w:val="auto"/>
              </w:rPr>
            </w:pPr>
            <w:r>
              <w:rPr>
                <w:rFonts w:ascii="Arial" w:cs="Arial" w:eastAsia="Arial" w:hAnsi="Arial"/>
                <w:sz w:val="18"/>
                <w:szCs w:val="18"/>
                <w:color w:val="auto"/>
              </w:rPr>
              <w:t>Date Signed: February 18, 2025</w:t>
            </w:r>
          </w:p>
        </w:tc>
      </w:tr>
      <w:tr>
        <w:trPr>
          <w:trHeight w:val="540"/>
        </w:trPr>
        <w:tc>
          <w:tcPr>
            <w:tcW w:w="4580" w:type="dxa"/>
            <w:vAlign w:val="bottom"/>
            <w:gridSpan w:val="2"/>
          </w:tcPr>
          <w:p>
            <w:pPr>
              <w:spacing w:after="0"/>
              <w:rPr>
                <w:sz w:val="20"/>
                <w:szCs w:val="20"/>
                <w:color w:val="auto"/>
              </w:rPr>
            </w:pPr>
            <w:r>
              <w:rPr>
                <w:rFonts w:ascii="Arial" w:cs="Arial" w:eastAsia="Arial" w:hAnsi="Arial"/>
                <w:sz w:val="18"/>
                <w:szCs w:val="18"/>
                <w:color w:val="auto"/>
              </w:rPr>
              <w:t>JDB:RKL</w:t>
            </w:r>
          </w:p>
        </w:tc>
        <w:tc>
          <w:tcPr>
            <w:tcW w:w="194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lvl w:ilvl="1">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
      <w:numFmt w:val="bullet"/>
      <w:start w:val="1"/>
    </w:lvl>
  </w:abstractNum>
  <w:abstractNum w:abstractNumId="3">
    <w:nsid w:val="50801EE1"/>
    <w:multiLevelType w:val="hybridMultilevel"/>
    <w:lvl w:ilvl="0">
      <w:lvlJc w:val="left"/>
      <w:lvlText w:val="(%1)"/>
      <w:numFmt w:val="lowerLetter"/>
      <w:start w:val="1"/>
    </w:lvl>
  </w:abstractNum>
  <w:abstractNum w:abstractNumId="4">
    <w:nsid w:val="488AC1A"/>
    <w:multiLevelType w:val="hybridMultilevel"/>
    <w:lvl w:ilvl="0">
      <w:lvlJc w:val="left"/>
      <w:lvlText w:val="•"/>
      <w:numFmt w:val="bullet"/>
      <w:start w:val="1"/>
    </w:lvl>
  </w:abstractNum>
  <w:abstractNum w:abstractNumId="5">
    <w:nsid w:val="5FB8011C"/>
    <w:multiLevelType w:val="hybridMultilevel"/>
    <w:lvl w:ilvl="0">
      <w:lvlJc w:val="left"/>
      <w:lvlText w:val="•"/>
      <w:numFmt w:val="bullet"/>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1)"/>
      <w:numFmt w:val="lowerLetter"/>
      <w:start w:val="1"/>
    </w:lvl>
  </w:abstractNum>
  <w:abstractNum w:abstractNumId="8">
    <w:nsid w:val="6FC75AF8"/>
    <w:multiLevelType w:val="hybridMultilevel"/>
    <w:lvl w:ilvl="0">
      <w:lvlJc w:val="left"/>
      <w:lvlText w:val="•"/>
      <w:numFmt w:val="bullet"/>
      <w:start w:val="1"/>
    </w:lvl>
  </w:abstractNum>
  <w:abstractNum w:abstractNumId="9">
    <w:nsid w:val="6A5F7029"/>
    <w:multiLevelType w:val="hybridMultilevel"/>
    <w:lvl w:ilvl="0">
      <w:lvlJc w:val="left"/>
      <w:lvlText w:val="•"/>
      <w:numFmt w:val="bullet"/>
      <w:start w:val="1"/>
    </w:lvl>
  </w:abstractNum>
  <w:abstractNum w:abstractNumId="10">
    <w:nsid w:val="7D5E18F8"/>
    <w:multiLevelType w:val="hybridMultilevel"/>
    <w:lvl w:ilvl="0">
      <w:lvlJc w:val="left"/>
      <w:lvlText w:val="•"/>
      <w:numFmt w:val="bullet"/>
      <w:start w:val="1"/>
    </w:lvl>
  </w:abstractNum>
  <w:abstractNum w:abstractNumId="11">
    <w:nsid w:val="5F3534A4"/>
    <w:multiLevelType w:val="hybridMultilevel"/>
    <w:lvl w:ilvl="0">
      <w:lvlJc w:val="left"/>
      <w:lvlText w:val="•"/>
      <w:numFmt w:val="bullet"/>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
      <w:numFmt w:val="bullet"/>
      <w:start w:val="1"/>
    </w:lvl>
  </w:abstractNum>
  <w:abstractNum w:abstractNumId="16">
    <w:nsid w:val="14FCE74E"/>
    <w:multiLevelType w:val="hybridMultilevel"/>
    <w:lvl w:ilvl="0">
      <w:lvlJc w:val="left"/>
      <w:lvlText w:val="•"/>
      <w:numFmt w:val="bullet"/>
      <w:start w:val="1"/>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
      <w:numFmt w:val="bullet"/>
      <w:start w:val="1"/>
    </w:lvl>
  </w:abstractNum>
  <w:abstractNum w:abstractNumId="24">
    <w:nsid w:val="59ADEA3D"/>
    <w:multiLevelType w:val="hybridMultilevel"/>
    <w:lvl w:ilvl="0">
      <w:lvlJc w:val="left"/>
      <w:lvlText w:val="•"/>
      <w:numFmt w:val="bullet"/>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1"/>
      <w:numFmt w:val="upperLetter"/>
      <w:start w:val="35"/>
    </w:lvl>
  </w:abstractNum>
  <w:abstractNum w:abstractNumId="27">
    <w:nsid w:val="1D9F6E5F"/>
    <w:multiLevelType w:val="hybridMultilevel"/>
    <w:lvl w:ilvl="0">
      <w:lvlJc w:val="left"/>
      <w:lvlText w:val="(%1)"/>
      <w:numFmt w:val="lowerRoman"/>
      <w:start w:val="1"/>
    </w:lvl>
  </w:abstractNum>
  <w:abstractNum w:abstractNumId="28">
    <w:nsid w:val="97E1B4E"/>
    <w:multiLevelType w:val="hybridMultilevel"/>
    <w:lvl w:ilvl="0">
      <w:lvlJc w:val="left"/>
      <w:lvlText w:val="%1."/>
      <w:numFmt w:val="decimal"/>
      <w:start w:val="1"/>
    </w:lvl>
  </w:abstractNum>
  <w:abstractNum w:abstractNumId="29">
    <w:nsid w:val="51088277"/>
    <w:multiLevelType w:val="hybridMultilevel"/>
    <w:lvl w:ilvl="0">
      <w:lvlJc w:val="left"/>
      <w:lvlText w:val="%1."/>
      <w:numFmt w:val="decimal"/>
      <w:start w:val="2"/>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1"/>
    </w:lvl>
  </w:abstractNum>
  <w:abstractNum w:abstractNumId="32">
    <w:nsid w:val="415E286C"/>
    <w:multiLevelType w:val="hybridMultilevel"/>
    <w:lvl w:ilvl="0">
      <w:lvlJc w:val="left"/>
      <w:lvlText w:val="%1."/>
      <w:numFmt w:val="decimal"/>
      <w:start w:val="3"/>
    </w:lvl>
  </w:abstractNum>
  <w:abstractNum w:abstractNumId="33">
    <w:nsid w:val="7C58FD05"/>
    <w:multiLevelType w:val="hybridMultilevel"/>
    <w:lvl w:ilvl="0">
      <w:lvlJc w:val="left"/>
      <w:lvlText w:val="%1."/>
      <w:numFmt w:val="decimal"/>
      <w:start w:val="4"/>
    </w:lvl>
  </w:abstractNum>
  <w:abstractNum w:abstractNumId="34">
    <w:nsid w:val="23D86AAC"/>
    <w:multiLevelType w:val="hybridMultilevel"/>
    <w:lvl w:ilvl="0">
      <w:lvlJc w:val="left"/>
      <w:lvlText w:val="(%1)"/>
      <w:numFmt w:val="lowerLetter"/>
      <w:start w:val="1"/>
    </w:lvl>
  </w:abstractNum>
  <w:abstractNum w:abstractNumId="35">
    <w:nsid w:val="45E6D486"/>
    <w:multiLevelType w:val="hybridMultilevel"/>
    <w:lvl w:ilvl="0">
      <w:lvlJc w:val="left"/>
      <w:lvlText w:val="(%1)"/>
      <w:numFmt w:val="lowerRoman"/>
      <w:start w:val="8"/>
    </w:lvl>
  </w:abstractNum>
  <w:abstractNum w:abstractNumId="36">
    <w:nsid w:val="5C10FE21"/>
    <w:multiLevelType w:val="hybridMultilevel"/>
    <w:lvl w:ilvl="0">
      <w:lvlJc w:val="left"/>
      <w:lvlText w:val="(%1)"/>
      <w:numFmt w:val="lowerRoman"/>
      <w:start w:val="1"/>
    </w:lvl>
  </w:abstractNum>
  <w:abstractNum w:abstractNumId="37">
    <w:nsid w:val="E7FFA2B"/>
    <w:multiLevelType w:val="hybridMultilevel"/>
    <w:lvl w:ilvl="0">
      <w:lvlJc w:val="left"/>
      <w:lvlText w:val="(%1)"/>
      <w:numFmt w:val="lowerRoman"/>
      <w:start w:val="5"/>
    </w:lvl>
  </w:abstractNum>
  <w:abstractNum w:abstractNumId="38">
    <w:nsid w:val="3C5991AA"/>
    <w:multiLevelType w:val="hybridMultilevel"/>
    <w:lvl w:ilvl="0">
      <w:lvlJc w:val="left"/>
      <w:lvlText w:val="%1."/>
      <w:numFmt w:val="decimal"/>
      <w:start w:val="5"/>
    </w:lvl>
  </w:abstractNum>
  <w:abstractNum w:abstractNumId="39">
    <w:nsid w:val="4BD8591A"/>
    <w:multiLevelType w:val="hybridMultilevel"/>
    <w:lvl w:ilvl="0">
      <w:lvlJc w:val="left"/>
      <w:lvlText w:val="%1."/>
      <w:numFmt w:val="decimal"/>
      <w:start w:val="6"/>
    </w:lvl>
  </w:abstractNum>
  <w:abstractNum w:abstractNumId="40">
    <w:nsid w:val="78DF6A55"/>
    <w:multiLevelType w:val="hybridMultilevel"/>
    <w:lvl w:ilvl="0">
      <w:lvlJc w:val="left"/>
      <w:lvlText w:val="%1."/>
      <w:numFmt w:val="decimal"/>
      <w:start w:val="7"/>
    </w:lvl>
  </w:abstractNum>
  <w:abstractNum w:abstractNumId="41">
    <w:nsid w:val="39B7AAA2"/>
    <w:multiLevelType w:val="hybridMultilevel"/>
    <w:lvl w:ilvl="0">
      <w:lvlJc w:val="left"/>
      <w:lvlText w:val="%1."/>
      <w:numFmt w:val="decimal"/>
      <w:start w:val="8"/>
    </w:lvl>
  </w:abstractNum>
  <w:abstractNum w:abstractNumId="42">
    <w:nsid w:val="2B0D8DBE"/>
    <w:multiLevelType w:val="hybridMultilevel"/>
    <w:lvl w:ilvl="0">
      <w:lvlJc w:val="left"/>
      <w:lvlText w:val="%1."/>
      <w:numFmt w:val="decimal"/>
      <w:start w:val="9"/>
    </w:lvl>
  </w:abstractNum>
  <w:abstractNum w:abstractNumId="43">
    <w:nsid w:val="6C80EC70"/>
    <w:multiLevelType w:val="hybridMultilevel"/>
    <w:lvl w:ilvl="0">
      <w:lvlJc w:val="left"/>
      <w:lvlText w:val="(%1)"/>
      <w:numFmt w:val="lowerLetter"/>
      <w:start w:val="1"/>
    </w:lvl>
  </w:abstractNum>
  <w:abstractNum w:abstractNumId="44">
    <w:nsid w:val="379E21B5"/>
    <w:multiLevelType w:val="hybridMultilevel"/>
    <w:lvl w:ilvl="0">
      <w:lvlJc w:val="left"/>
      <w:lvlText w:val="%1."/>
      <w:numFmt w:val="decimal"/>
      <w:start w:val="11"/>
    </w:lvl>
  </w:abstractNum>
  <w:abstractNum w:abstractNumId="45">
    <w:nsid w:val="69E373"/>
    <w:multiLevelType w:val="hybridMultilevel"/>
    <w:lvl w:ilvl="0">
      <w:lvlJc w:val="left"/>
      <w:lvlText w:val="(%1)"/>
      <w:numFmt w:val="lowerLetter"/>
      <w:start w:val="1"/>
    </w:lvl>
  </w:abstractNum>
  <w:abstractNum w:abstractNumId="46">
    <w:nsid w:val="2C27173B"/>
    <w:multiLevelType w:val="hybridMultilevel"/>
    <w:lvl w:ilvl="0">
      <w:lvlJc w:val="left"/>
      <w:lvlText w:val="%1."/>
      <w:numFmt w:val="decimal"/>
      <w:start w:val="12"/>
    </w:lvl>
  </w:abstractNum>
  <w:abstractNum w:abstractNumId="47">
    <w:nsid w:val="4C9B0904"/>
    <w:multiLevelType w:val="hybridMultilevel"/>
    <w:lvl w:ilvl="0">
      <w:lvlJc w:val="left"/>
      <w:lvlText w:val="%1."/>
      <w:numFmt w:val="decimal"/>
      <w:start w:val="13"/>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1)"/>
      <w:numFmt w:val="lowerLetter"/>
      <w:start w:val="1"/>
    </w:lvl>
  </w:abstractNum>
  <w:abstractNum w:abstractNumId="50">
    <w:nsid w:val="5675FF36"/>
    <w:multiLevelType w:val="hybridMultilevel"/>
    <w:lvl w:ilvl="0">
      <w:lvlJc w:val="left"/>
      <w:lvlText w:val="%1."/>
      <w:numFmt w:val="decimal"/>
      <w:start w:val="14"/>
    </w:lvl>
  </w:abstractNum>
  <w:abstractNum w:abstractNumId="51">
    <w:nsid w:val="3DD15094"/>
    <w:multiLevelType w:val="hybridMultilevel"/>
    <w:lvl w:ilvl="0">
      <w:lvlJc w:val="left"/>
      <w:lvlText w:val="(%1)"/>
      <w:numFmt w:val="lowerLetter"/>
      <w:start w:val="1"/>
    </w:lvl>
    <w:lvl w:ilvl="1">
      <w:lvlJc w:val="left"/>
      <w:lvlText w:val="%2."/>
      <w:numFmt w:val="decimal"/>
      <w:start w:val="15"/>
    </w:lvl>
  </w:abstractNum>
  <w:abstractNum w:abstractNumId="52">
    <w:nsid w:val="3DB012B3"/>
    <w:multiLevelType w:val="hybridMultilevel"/>
    <w:lvl w:ilvl="0">
      <w:lvlJc w:val="left"/>
      <w:lvlText w:val="%1."/>
      <w:numFmt w:val="decimal"/>
      <w:start w:val="16"/>
    </w:lvl>
  </w:abstractNum>
  <w:abstractNum w:abstractNumId="53">
    <w:nsid w:val="2708C9AF"/>
    <w:multiLevelType w:val="hybridMultilevel"/>
    <w:lvl w:ilvl="0">
      <w:lvlJc w:val="left"/>
      <w:lvlText w:val="(%1)"/>
      <w:numFmt w:val="lowerLetter"/>
      <w:start w:val="1"/>
    </w:lvl>
    <w:lvl w:ilvl="1">
      <w:lvlJc w:val="left"/>
      <w:lvlText w:val="%2."/>
      <w:numFmt w:val="decimal"/>
      <w:start w:val="17"/>
    </w:lvl>
  </w:abstractNum>
  <w:abstractNum w:abstractNumId="54">
    <w:nsid w:val="5B25ACE2"/>
    <w:multiLevelType w:val="hybridMultilevel"/>
    <w:lvl w:ilvl="0">
      <w:lvlJc w:val="left"/>
      <w:lvlText w:val="%1."/>
      <w:numFmt w:val="decimal"/>
      <w:start w:val="18"/>
    </w:lvl>
  </w:abstractNum>
  <w:abstractNum w:abstractNumId="55">
    <w:nsid w:val="175DFCF0"/>
    <w:multiLevelType w:val="hybridMultilevel"/>
    <w:lvl w:ilvl="0">
      <w:lvlJc w:val="left"/>
      <w:lvlText w:val="(%1)"/>
      <w:numFmt w:val="lowerLetter"/>
      <w:start w:val="1"/>
    </w:lvl>
  </w:abstractNum>
  <w:abstractNum w:abstractNumId="56">
    <w:nsid w:val="4F97E3E4"/>
    <w:multiLevelType w:val="hybridMultilevel"/>
    <w:lvl w:ilvl="0">
      <w:lvlJc w:val="left"/>
      <w:lvlText w:val="(%1)"/>
      <w:numFmt w:val="lowerLetter"/>
      <w:start w:val="1"/>
    </w:lvl>
  </w:abstractNum>
  <w:abstractNum w:abstractNumId="57">
    <w:nsid w:val="53B0A9E"/>
    <w:multiLevelType w:val="hybridMultilevel"/>
    <w:lvl w:ilvl="0">
      <w:lvlJc w:val="left"/>
      <w:lvlText w:val="(%1)"/>
      <w:numFmt w:val="lowerLetter"/>
      <w:start w:val="1"/>
    </w:lvl>
  </w:abstractNum>
  <w:abstractNum w:abstractNumId="58">
    <w:nsid w:val="34FD6B4F"/>
    <w:multiLevelType w:val="hybridMultilevel"/>
    <w:lvl w:ilvl="0">
      <w:lvlJc w:val="left"/>
      <w:lvlText w:val="(%1)"/>
      <w:numFmt w:val="lowerLetter"/>
      <w:start w:val="1"/>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lowerLetter"/>
      <w:start w:val="1"/>
    </w:lvl>
    <w:lvl w:ilvl="1">
      <w:lvlJc w:val="left"/>
      <w:lvlText w:val="%2."/>
      <w:numFmt w:val="decimal"/>
      <w:start w:val="1"/>
    </w:lvl>
  </w:abstractNum>
  <w:abstractNum w:abstractNumId="61">
    <w:nsid w:val="519E3149"/>
    <w:multiLevelType w:val="hybridMultilevel"/>
    <w:lvl w:ilvl="0">
      <w:lvlJc w:val="left"/>
      <w:lvlText w:val="*"/>
      <w:numFmt w:val="bullet"/>
      <w:start w:val="1"/>
    </w:lvl>
  </w:abstractNum>
  <w:abstractNum w:abstractNumId="62">
    <w:nsid w:val="2C6E4AFD"/>
    <w:multiLevelType w:val="hybridMultilevel"/>
    <w:lvl w:ilvl="0">
      <w:lvlJc w:val="left"/>
      <w:lvlText w:val="**"/>
      <w:numFmt w:val="bullet"/>
      <w:start w:val="1"/>
    </w:lvl>
  </w:abstractNum>
  <w:abstractNum w:abstractNumId="63">
    <w:nsid w:val="17A1B582"/>
    <w:multiLevelType w:val="hybridMultilevel"/>
    <w:lvl w:ilvl="0">
      <w:lvlJc w:val="left"/>
      <w:lvlText w:val="†"/>
      <w:numFmt w:val="bullet"/>
      <w:start w:val="1"/>
    </w:lvl>
  </w:abstractNum>
  <w:abstractNum w:abstractNumId="64">
    <w:nsid w:val="4DF72E4E"/>
    <w:multiLevelType w:val="hybridMultilevel"/>
    <w:lvl w:ilvl="0">
      <w:lvlJc w:val="left"/>
      <w:lvlText w:val="(%1)"/>
      <w:numFmt w:val="lowerLetter"/>
      <w:start w:val="1"/>
    </w:lvl>
  </w:abstractNum>
  <w:abstractNum w:abstractNumId="65">
    <w:nsid w:val="5046B5A9"/>
    <w:multiLevelType w:val="hybridMultilevel"/>
    <w:lvl w:ilvl="0">
      <w:lvlJc w:val="left"/>
      <w:lvlText w:val="(%1)"/>
      <w:numFmt w:val="lowerLetter"/>
      <w:start w:val="7"/>
    </w:lvl>
  </w:abstractNum>
  <w:abstractNum w:abstractNumId="66">
    <w:nsid w:val="5D888A08"/>
    <w:multiLevelType w:val="hybridMultilevel"/>
    <w:lvl w:ilvl="0">
      <w:lvlJc w:val="left"/>
      <w:lvlText w:val="(%1)"/>
      <w:numFmt w:val="lowerLetter"/>
      <w:start w:val="1"/>
    </w:lvl>
    <w:lvl w:ilvl="1">
      <w:lvlJc w:val="left"/>
      <w:lvlText w:val="(%2)"/>
      <w:numFmt w:val="lowerRoman"/>
      <w:start w:val="1"/>
    </w:lvl>
  </w:abstractNum>
  <w:abstractNum w:abstractNumId="67">
    <w:nsid w:val="2A082C70"/>
    <w:multiLevelType w:val="hybridMultilevel"/>
    <w:lvl w:ilvl="0">
      <w:lvlJc w:val="left"/>
      <w:lvlText w:val="(%1)"/>
      <w:numFmt w:val="lowerLetter"/>
      <w:start w:val="1"/>
    </w:lvl>
  </w:abstractNum>
  <w:abstractNum w:abstractNumId="68">
    <w:nsid w:val="5EC6AFD4"/>
    <w:multiLevelType w:val="hybridMultilevel"/>
    <w:lvl w:ilvl="0">
      <w:lvlJc w:val="left"/>
      <w:lvlText w:val="(%1)"/>
      <w:numFmt w:val="lowerLetter"/>
      <w:start w:val="4"/>
    </w:lvl>
  </w:abstractNum>
  <w:abstractNum w:abstractNumId="69">
    <w:nsid w:val="19E21BB2"/>
    <w:multiLevelType w:val="hybridMultilevel"/>
    <w:lvl w:ilvl="0">
      <w:lvlJc w:val="left"/>
      <w:lvlText w:val="(%1)"/>
      <w:numFmt w:val="lowerLetter"/>
      <w:start w:val="1"/>
    </w:lvl>
  </w:abstractNum>
  <w:abstractNum w:abstractNumId="70">
    <w:nsid w:val="75E0858A"/>
    <w:multiLevelType w:val="hybridMultilevel"/>
    <w:lvl w:ilvl="0">
      <w:lvlJc w:val="left"/>
      <w:lvlText w:val="(%1)"/>
      <w:numFmt w:val="lowerLetter"/>
      <w:start w:val="3"/>
    </w:lvl>
  </w:abstractNum>
  <w:abstractNum w:abstractNumId="71">
    <w:nsid w:val="57A61A29"/>
    <w:multiLevelType w:val="hybridMultilevel"/>
    <w:lvl w:ilvl="0">
      <w:lvlJc w:val="left"/>
      <w:lvlText w:val="(%1)"/>
      <w:numFmt w:val="lowerLetter"/>
      <w:start w:val="1"/>
    </w:lvl>
  </w:abstractNum>
  <w:abstractNum w:abstractNumId="72">
    <w:nsid w:val="5399C654"/>
    <w:multiLevelType w:val="hybridMultilevel"/>
    <w:lvl w:ilvl="0">
      <w:lvlJc w:val="left"/>
      <w:lvlText w:val="(%1)"/>
      <w:numFmt w:val="lowerLetter"/>
      <w:start w:val="2"/>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2"/>
    </w:lvl>
  </w:abstractNum>
  <w:abstractNum w:abstractNumId="75">
    <w:nsid w:val="B37E80A"/>
    <w:multiLevelType w:val="hybridMultilevel"/>
    <w:lvl w:ilvl="0">
      <w:lvlJc w:val="left"/>
      <w:lvlText w:val="(%1)"/>
      <w:numFmt w:val="lowerLetter"/>
      <w:start w:val="1"/>
    </w:lvl>
  </w:abstractNum>
  <w:abstractNum w:abstractNumId="76">
    <w:nsid w:val="2157F6BC"/>
    <w:multiLevelType w:val="hybridMultilevel"/>
    <w:lvl w:ilvl="0">
      <w:lvlJc w:val="left"/>
      <w:lvlText w:val="(%1)"/>
      <w:numFmt w:val="lowerLetter"/>
      <w:start w:val="5"/>
    </w:lvl>
  </w:abstractNum>
  <w:abstractNum w:abstractNumId="77">
    <w:nsid w:val="704E1DD5"/>
    <w:multiLevelType w:val="hybridMultilevel"/>
    <w:lvl w:ilvl="0">
      <w:lvlJc w:val="left"/>
      <w:lvlText w:val="(%1)"/>
      <w:numFmt w:val="lowerLetter"/>
      <w:start w:val="1"/>
    </w:lvl>
  </w:abstractNum>
  <w:abstractNum w:abstractNumId="78">
    <w:nsid w:val="57D2F10E"/>
    <w:multiLevelType w:val="hybridMultilevel"/>
    <w:lvl w:ilvl="0">
      <w:lvlJc w:val="left"/>
      <w:lvlText w:val="(%1)"/>
      <w:numFmt w:val="lowerLetter"/>
      <w:start w:val="4"/>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1"/>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3"/>
    </w:lvl>
  </w:abstractNum>
  <w:abstractNum w:abstractNumId="83">
    <w:nsid w:val="4BEE5A5B"/>
    <w:multiLevelType w:val="hybridMultilevel"/>
    <w:lvl w:ilvl="0">
      <w:lvlJc w:val="left"/>
      <w:lvlText w:val="(%1)"/>
      <w:numFmt w:val="lowerRoman"/>
      <w:start w:val="1"/>
    </w:lvl>
  </w:abstractNum>
  <w:abstractNum w:abstractNumId="84">
    <w:nsid w:val="5551B9F3"/>
    <w:multiLevelType w:val="hybridMultilevel"/>
    <w:lvl w:ilvl="0">
      <w:lvlJc w:val="left"/>
      <w:lvlText w:val="(%1)"/>
      <w:numFmt w:val="lowerRoman"/>
      <w:start w:val="1"/>
    </w:lvl>
  </w:abstractNum>
  <w:abstractNum w:abstractNumId="85">
    <w:nsid w:val="24F6AB8E"/>
    <w:multiLevelType w:val="hybridMultilevel"/>
    <w:lvl w:ilvl="0">
      <w:lvlJc w:val="left"/>
      <w:lvlText w:val="(%1)"/>
      <w:numFmt w:val="lowerRoman"/>
      <w:start w:val="4"/>
    </w:lvl>
  </w:abstractNum>
  <w:abstractNum w:abstractNumId="86">
    <w:nsid w:val="634C574C"/>
    <w:multiLevelType w:val="hybridMultilevel"/>
    <w:lvl w:ilvl="0">
      <w:lvlJc w:val="left"/>
      <w:lvlText w:val="(%1)"/>
      <w:numFmt w:val="lowerLetter"/>
      <w:start w:val="1"/>
    </w:lvl>
  </w:abstractNum>
  <w:abstractNum w:abstractNumId="87">
    <w:nsid w:val="24E99DD7"/>
    <w:multiLevelType w:val="hybridMultilevel"/>
    <w:lvl w:ilvl="0">
      <w:lvlJc w:val="left"/>
      <w:lvlText w:val="(%1)"/>
      <w:numFmt w:val="lowerLetter"/>
      <w:start w:val="6"/>
    </w:lvl>
  </w:abstractNum>
  <w:abstractNum w:abstractNumId="88">
    <w:nsid w:val="2A31B62D"/>
    <w:multiLevelType w:val="hybridMultilevel"/>
    <w:lvl w:ilvl="0">
      <w:lvlJc w:val="left"/>
      <w:lvlText w:val="(%1)"/>
      <w:numFmt w:val="lowerLetter"/>
      <w:start w:val="1"/>
    </w:lvl>
  </w:abstractNum>
  <w:abstractNum w:abstractNumId="89">
    <w:nsid w:val="1849C29B"/>
    <w:multiLevelType w:val="hybridMultilevel"/>
    <w:lvl w:ilvl="0">
      <w:lvlJc w:val="left"/>
      <w:lvlText w:val="(%1)"/>
      <w:numFmt w:val="lowerLetter"/>
      <w:start w:val="1"/>
    </w:lvl>
  </w:abstractNum>
  <w:abstractNum w:abstractNumId="90">
    <w:nsid w:val="7DFF9D09"/>
    <w:multiLevelType w:val="hybridMultilevel"/>
    <w:lvl w:ilvl="0">
      <w:lvlJc w:val="left"/>
      <w:lvlText w:val="(%1)"/>
      <w:numFmt w:val="lowerLetter"/>
      <w:start w:val="6"/>
    </w:lvl>
  </w:abstractNum>
  <w:abstractNum w:abstractNumId="91">
    <w:nsid w:val="754342"/>
    <w:multiLevelType w:val="hybridMultilevel"/>
    <w:lvl w:ilvl="0">
      <w:lvlJc w:val="left"/>
      <w:lvlText w:val="(%1)"/>
      <w:numFmt w:val="lowerLetter"/>
      <w:start w:val="1"/>
    </w:lvl>
  </w:abstractNum>
  <w:abstractNum w:abstractNumId="92">
    <w:nsid w:val="69E7F3E5"/>
    <w:multiLevelType w:val="hybridMultilevel"/>
    <w:lvl w:ilvl="0">
      <w:lvlJc w:val="left"/>
      <w:lvlText w:val="%1"/>
      <w:numFmt w:val="decimal"/>
      <w:start w:val="1"/>
    </w:lvl>
    <w:lvl w:ilvl="1">
      <w:lvlJc w:val="left"/>
      <w:lvlText w:val="(%2)"/>
      <w:numFmt w:val="lowerLetter"/>
      <w:start w:val="4"/>
    </w:lvl>
  </w:abstractNum>
  <w:abstractNum w:abstractNumId="93">
    <w:nsid w:val="2A6DE806"/>
    <w:multiLevelType w:val="hybridMultilevel"/>
    <w:lvl w:ilvl="0">
      <w:lvlJc w:val="left"/>
      <w:lvlText w:val="%1."/>
      <w:numFmt w:val="decimal"/>
      <w:start w:val="6"/>
    </w:lvl>
    <w:lvl w:ilvl="1">
      <w:lvlJc w:val="left"/>
      <w:lvlText w:val="%2"/>
      <w:numFmt w:val="lowerLetter"/>
      <w:start w:val="1"/>
    </w:lvl>
  </w:abstractNum>
  <w:abstractNum w:abstractNumId="94">
    <w:nsid w:val="1816F8C4"/>
    <w:multiLevelType w:val="hybridMultilevel"/>
    <w:lvl w:ilvl="0">
      <w:lvlJc w:val="left"/>
      <w:lvlText w:val="(%1)"/>
      <w:numFmt w:val="lowerLetter"/>
      <w:start w:val="1"/>
    </w:lvl>
  </w:abstractNum>
  <w:abstractNum w:abstractNumId="95">
    <w:nsid w:val="37DF2233"/>
    <w:multiLevelType w:val="hybridMultilevel"/>
    <w:lvl w:ilvl="0">
      <w:lvlJc w:val="left"/>
      <w:lvlText w:val="%1"/>
      <w:numFmt w:val="decimal"/>
      <w:start w:val="1"/>
    </w:lvl>
    <w:lvl w:ilvl="1">
      <w:lvlJc w:val="left"/>
      <w:lvlText w:val="(%2)"/>
      <w:numFmt w:val="lowerLetter"/>
      <w:start w:val="1"/>
    </w:lvl>
  </w:abstractNum>
  <w:abstractNum w:abstractNumId="96">
    <w:nsid w:val="7AB49DAF"/>
    <w:multiLevelType w:val="hybridMultilevel"/>
    <w:lvl w:ilvl="0">
      <w:lvlJc w:val="left"/>
      <w:lvlText w:val="%1."/>
      <w:numFmt w:val="decimal"/>
      <w:start w:val="8"/>
    </w:lvl>
    <w:lvl w:ilvl="1">
      <w:lvlJc w:val="left"/>
      <w:lvlText w:val="%2"/>
      <w:numFmt w:val="lowerLetter"/>
      <w:start w:val="1"/>
    </w:lvl>
  </w:abstractNum>
  <w:abstractNum w:abstractNumId="97">
    <w:nsid w:val="759F82CD"/>
    <w:multiLevelType w:val="hybridMultilevel"/>
    <w:lvl w:ilvl="0">
      <w:lvlJc w:val="left"/>
      <w:lvlText w:val="(%1)"/>
      <w:numFmt w:val="lowerLetter"/>
      <w:start w:val="1"/>
    </w:lvl>
  </w:abstractNum>
  <w:abstractNum w:abstractNumId="98">
    <w:nsid w:val="61E74EA3"/>
    <w:multiLevelType w:val="hybridMultilevel"/>
    <w:lvl w:ilvl="0">
      <w:lvlJc w:val="left"/>
      <w:lvlText w:val="(%1)"/>
      <w:numFmt w:val="lowerLetter"/>
      <w:start w:val="1"/>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bullet"/>
      <w:start w:val="1"/>
    </w:lvl>
  </w:abstractNum>
  <w:abstractNum w:abstractNumId="101">
    <w:nsid w:val="57C7D42D"/>
    <w:multiLevelType w:val="hybridMultilevel"/>
    <w:lvl w:ilvl="0">
      <w:lvlJc w:val="left"/>
      <w:lvlText w:val="%1."/>
      <w:numFmt w:val="decimal"/>
      <w:start w:val="1"/>
    </w:lvl>
    <w:lvl w:ilvl="1">
      <w:lvlJc w:val="left"/>
      <w:lvlText w:val="(%2)"/>
      <w:numFmt w:val="lowerLetter"/>
      <w:start w:val="1"/>
    </w:lvl>
  </w:abstractNum>
  <w:abstractNum w:abstractNumId="102">
    <w:nsid w:val="312167AD"/>
    <w:multiLevelType w:val="hybridMultilevel"/>
    <w:lvl w:ilvl="0">
      <w:lvlJc w:val="left"/>
      <w:lvlText w:val="%1"/>
      <w:numFmt w:val="decimal"/>
      <w:start w:val="1"/>
    </w:lvl>
    <w:lvl w:ilvl="1">
      <w:lvlJc w:val="left"/>
      <w:lvlText w:val="(%2)"/>
      <w:numFmt w:val="lowerLetter"/>
      <w:start w:val="2"/>
    </w:lvl>
  </w:abstractNum>
  <w:abstractNum w:abstractNumId="103">
    <w:nsid w:val="631B64D4"/>
    <w:multiLevelType w:val="hybridMultilevel"/>
    <w:lvl w:ilvl="0">
      <w:lvlJc w:val="left"/>
      <w:lvlText w:val="%1."/>
      <w:numFmt w:val="decimal"/>
      <w:start w:val="4"/>
    </w:lvl>
    <w:lvl w:ilvl="1">
      <w:lvlJc w:val="left"/>
      <w:lvlText w:val="%2"/>
      <w:numFmt w:val="lowerLetter"/>
      <w:start w:val="1"/>
    </w:lvl>
  </w:abstractNum>
  <w:abstractNum w:abstractNumId="104">
    <w:nsid w:val="78B5E776"/>
    <w:multiLevelType w:val="hybridMultilevel"/>
    <w:lvl w:ilvl="0">
      <w:lvlJc w:val="left"/>
      <w:lvlText w:val="%1."/>
      <w:numFmt w:val="decimal"/>
      <w:start w:val="7"/>
    </w:lvl>
    <w:lvl w:ilvl="1">
      <w:lvlJc w:val="left"/>
      <w:lvlText w:val="(%2)"/>
      <w:numFmt w:val="lowerLetter"/>
      <w:start w:val="1"/>
    </w:lvl>
  </w:abstractNum>
  <w:abstractNum w:abstractNumId="105">
    <w:nsid w:val="75486E47"/>
    <w:multiLevelType w:val="hybridMultilevel"/>
    <w:lvl w:ilvl="0">
      <w:lvlJc w:val="left"/>
      <w:lvlText w:val="(%1)"/>
      <w:numFmt w:val="lowerLetter"/>
      <w:start w:val="2"/>
    </w:lvl>
  </w:abstractNum>
  <w:abstractNum w:abstractNumId="106">
    <w:nsid w:val="6E534CDE"/>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107">
    <w:nsid w:val="1A0DDE32"/>
    <w:multiLevelType w:val="hybridMultilevel"/>
    <w:lvl w:ilvl="0">
      <w:lvlJc w:val="left"/>
      <w:lvlText w:val="(%1)"/>
      <w:numFmt w:val="lowerLetter"/>
      <w:start w:val="35"/>
    </w:lvl>
    <w:lvl w:ilvl="1">
      <w:lvlJc w:val="left"/>
      <w:lvlText w:val="%2."/>
      <w:numFmt w:val="decimal"/>
      <w:start w:val="14"/>
    </w:lvl>
    <w:lvl w:ilvl="2">
      <w:lvlJc w:val="left"/>
      <w:lvlText w:val="%3"/>
      <w:numFmt w:val="lowerLetter"/>
      <w:start w:val="1"/>
    </w:lvl>
  </w:abstractNum>
  <w:abstractNum w:abstractNumId="108">
    <w:nsid w:val="65968C1C"/>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9">
    <w:nsid w:val="46263DEC"/>
    <w:multiLevelType w:val="hybridMultilevel"/>
    <w:lvl w:ilvl="0">
      <w:lvlJc w:val="left"/>
      <w:lvlText w:val="%1"/>
      <w:numFmt w:val="lowerLetter"/>
      <w:start w:val="1"/>
    </w:lvl>
    <w:lvl w:ilvl="1">
      <w:lvlJc w:val="left"/>
      <w:lvlText w:val="(%2)"/>
      <w:numFmt w:val="lowerLetter"/>
      <w:start w:val="61"/>
    </w:lvl>
  </w:abstractNum>
  <w:abstractNum w:abstractNumId="110">
    <w:nsid w:val="260D8C4A"/>
    <w:multiLevelType w:val="hybridMultilevel"/>
    <w:lvl w:ilvl="0">
      <w:lvlJc w:val="left"/>
      <w:lvlText w:val="(%1)"/>
      <w:numFmt w:val="lowerLetter"/>
      <w:start w:val="3"/>
    </w:lvl>
    <w:lvl w:ilvl="1">
      <w:lvlJc w:val="left"/>
      <w:lvlText w:val="(%2)"/>
      <w:numFmt w:val="lowerLetter"/>
      <w:start w:val="9"/>
    </w:lvl>
  </w:abstractNum>
  <w:abstractNum w:abstractNumId="111">
    <w:nsid w:val="73D4D3C4"/>
    <w:multiLevelType w:val="hybridMultilevel"/>
    <w:lvl w:ilvl="0">
      <w:lvlJc w:val="left"/>
      <w:lvlText w:val="(%1)"/>
      <w:numFmt w:val="lowerRoman"/>
      <w:start w:val="2"/>
    </w:lvl>
  </w:abstractNum>
  <w:abstractNum w:abstractNumId="112">
    <w:nsid w:val="746F2E30"/>
    <w:multiLevelType w:val="hybridMultilevel"/>
    <w:lvl w:ilvl="0">
      <w:lvlJc w:val="left"/>
      <w:lvlText w:val="%1"/>
      <w:numFmt w:val="lowerRoman"/>
      <w:start w:val="1"/>
    </w:lvl>
    <w:lvl w:ilvl="1">
      <w:lvlJc w:val="left"/>
      <w:lvlText w:val="%2."/>
      <w:numFmt w:val="decimal"/>
      <w:start w:val="1"/>
    </w:lvl>
  </w:abstractNum>
  <w:abstractNum w:abstractNumId="113">
    <w:nsid w:val="6FDE8AF6"/>
    <w:multiLevelType w:val="hybridMultilevel"/>
    <w:lvl w:ilvl="0">
      <w:lvlJc w:val="left"/>
      <w:lvlText w:val="(%1)"/>
      <w:numFmt w:val="lowerRoman"/>
      <w:start w:val="1"/>
    </w:lvl>
    <w:lvl w:ilvl="1">
      <w:lvlJc w:val="left"/>
      <w:lvlText w:val="%2"/>
      <w:numFmt w:val="decimal"/>
      <w:start w:val="1"/>
    </w:lvl>
  </w:abstractNum>
  <w:abstractNum w:abstractNumId="114">
    <w:nsid w:val="3FC32E20"/>
    <w:multiLevelType w:val="hybridMultilevel"/>
    <w:lvl w:ilvl="0">
      <w:lvlJc w:val="left"/>
      <w:lvlText w:val="%1."/>
      <w:numFmt w:val="decimal"/>
      <w:start w:val="5"/>
    </w:lvl>
    <w:lvl w:ilvl="1">
      <w:lvlJc w:val="left"/>
      <w:lvlText w:val="(%2)"/>
      <w:numFmt w:val="lowerLetter"/>
      <w:start w:val="1"/>
    </w:lvl>
  </w:abstractNum>
  <w:abstractNum w:abstractNumId="115">
    <w:nsid w:val="49C0E82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16">
    <w:nsid w:val="14D53685"/>
    <w:multiLevelType w:val="hybridMultilevel"/>
    <w:lvl w:ilvl="0">
      <w:lvlJc w:val="left"/>
      <w:lvlText w:val="%1"/>
      <w:numFmt w:val="lowerLetter"/>
      <w:start w:val="1"/>
    </w:lvl>
    <w:lvl w:ilvl="1">
      <w:lvlJc w:val="left"/>
      <w:lvlText w:val="(%2)"/>
      <w:numFmt w:val="lowerLetter"/>
      <w:start w:val="61"/>
    </w:lvl>
  </w:abstractNum>
  <w:abstractNum w:abstractNumId="117">
    <w:nsid w:val="230F856C"/>
    <w:multiLevelType w:val="hybridMultilevel"/>
    <w:lvl w:ilvl="0">
      <w:lvlJc w:val="left"/>
      <w:lvlText w:val="(%1)"/>
      <w:numFmt w:val="lowerLetter"/>
      <w:start w:val="3"/>
    </w:lvl>
    <w:lvl w:ilvl="1">
      <w:lvlJc w:val="left"/>
      <w:lvlText w:val="(%2)"/>
      <w:numFmt w:val="lowerLetter"/>
      <w:start w:val="9"/>
    </w:lvl>
  </w:abstractNum>
  <w:abstractNum w:abstractNumId="118">
    <w:nsid w:val="6EAA85FB"/>
    <w:multiLevelType w:val="hybridMultilevel"/>
    <w:lvl w:ilvl="0">
      <w:lvlJc w:val="left"/>
      <w:lvlText w:val="(%1)"/>
      <w:numFmt w:val="lowerRoman"/>
      <w:start w:val="2"/>
    </w:lvl>
  </w:abstractNum>
  <w:abstractNum w:abstractNumId="119">
    <w:nsid w:val="3F06ECB2"/>
    <w:multiLevelType w:val="hybridMultilevel"/>
    <w:lvl w:ilvl="0">
      <w:lvlJc w:val="left"/>
      <w:lvlText w:val="%1."/>
      <w:numFmt w:val="decimal"/>
      <w:start w:val="1"/>
    </w:lvl>
  </w:abstractNum>
  <w:abstractNum w:abstractNumId="120">
    <w:nsid w:val="3B594807"/>
    <w:multiLevelType w:val="hybridMultilevel"/>
    <w:lvl w:ilvl="0">
      <w:lvlJc w:val="left"/>
      <w:lvlText w:val="%1."/>
      <w:numFmt w:val="decimal"/>
      <w:start w:val="1"/>
    </w:lvl>
    <w:lvl w:ilvl="1">
      <w:lvlJc w:val="left"/>
      <w:lvlText w:val="•"/>
      <w:numFmt w:val="bullet"/>
      <w:start w:val="1"/>
    </w:lvl>
  </w:abstractNum>
  <w:abstractNum w:abstractNumId="121">
    <w:nsid w:val="6CAA2304"/>
    <w:multiLevelType w:val="hybridMultilevel"/>
    <w:lvl w:ilvl="0">
      <w:lvlJc w:val="left"/>
      <w:lvlText w:val="☐"/>
      <w:numFmt w:val="bullet"/>
      <w:start w:val="1"/>
    </w:lvl>
  </w:abstractNum>
  <w:abstractNum w:abstractNumId="122">
    <w:nsid w:val="3F7C2FF4"/>
    <w:multiLevelType w:val="hybridMultilevel"/>
    <w:lvl w:ilvl="0">
      <w:lvlJc w:val="left"/>
      <w:lvlText w:val="%1."/>
      <w:numFmt w:val="decimal"/>
      <w:start w:val="2"/>
    </w:lvl>
    <w:lvl w:ilvl="1">
      <w:lvlJc w:val="left"/>
      <w:lvlText w:val="☐"/>
      <w:numFmt w:val="bullet"/>
      <w:start w:val="1"/>
    </w:lvl>
  </w:abstractNum>
  <w:abstractNum w:abstractNumId="123">
    <w:nsid w:val="25413BEC"/>
    <w:multiLevelType w:val="hybridMultilevel"/>
    <w:lvl w:ilvl="0">
      <w:lvlJc w:val="left"/>
      <w:lvlText w:val="%1."/>
      <w:numFmt w:val="decimal"/>
      <w:start w:val="1"/>
    </w:lvl>
  </w:abstractNum>
  <w:abstractNum w:abstractNumId="124">
    <w:nsid w:val="17180B0B"/>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25">
    <w:nsid w:val="579328B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26">
    <w:nsid w:val="5D205E20"/>
    <w:multiLevelType w:val="hybridMultilevel"/>
    <w:lvl w:ilvl="0">
      <w:lvlJc w:val="left"/>
      <w:lvlText w:val="%1."/>
      <w:numFmt w:val="decimal"/>
      <w:start w:val="4"/>
    </w:lvl>
  </w:abstractNum>
  <w:abstractNum w:abstractNumId="127">
    <w:nsid w:val="11CCA8BA"/>
    <w:multiLevelType w:val="hybridMultilevel"/>
    <w:lvl w:ilvl="0">
      <w:lvlJc w:val="left"/>
      <w:lvlText w:val="%1."/>
      <w:numFmt w:val="decimal"/>
      <w:start w:val="8"/>
    </w:lvl>
  </w:abstractNum>
  <w:abstractNum w:abstractNumId="128">
    <w:nsid w:val="4D32AB86"/>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29">
    <w:nsid w:val="3F07ACC3"/>
    <w:multiLevelType w:val="hybridMultilevel"/>
    <w:lvl w:ilvl="0">
      <w:lvlJc w:val="left"/>
      <w:lvlText w:val="%1"/>
      <w:numFmt w:val="lowerLetter"/>
      <w:start w:val="1"/>
    </w:lvl>
    <w:lvl w:ilvl="1">
      <w:lvlJc w:val="left"/>
      <w:lvlText w:val="%2."/>
      <w:numFmt w:val="decimal"/>
      <w:start w:val="12"/>
    </w:lvl>
  </w:abstractNum>
  <w:abstractNum w:abstractNumId="130">
    <w:nsid w:val="6B47F63E"/>
    <w:multiLevelType w:val="hybridMultilevel"/>
    <w:lvl w:ilvl="0">
      <w:lvlJc w:val="left"/>
      <w:lvlText w:val="(%1)"/>
      <w:numFmt w:val="lowerLetter"/>
      <w:start w:val="1"/>
    </w:lvl>
    <w:lvl w:ilvl="1">
      <w:lvlJc w:val="left"/>
      <w:lvlText w:val="%2."/>
      <w:numFmt w:val="decimal"/>
      <w:start w:val="13"/>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1."/>
      <w:numFmt w:val="decimal"/>
      <w:start w:val="3"/>
    </w:lvl>
    <w:lvl w:ilvl="1">
      <w:lvlJc w:val="left"/>
      <w:lvlText w:val="(%2)"/>
      <w:numFmt w:val="lowerLetter"/>
      <w:start w:val="1"/>
    </w:lvl>
  </w:abstractNum>
  <w:abstractNum w:abstractNumId="133">
    <w:nsid w:val="1C695DEC"/>
    <w:multiLevelType w:val="hybridMultilevel"/>
    <w:lvl w:ilvl="0">
      <w:lvlJc w:val="left"/>
      <w:lvlText w:val="%1."/>
      <w:numFmt w:val="decimal"/>
      <w:start w:val="4"/>
    </w:lvl>
  </w:abstractNum>
  <w:abstractNum w:abstractNumId="134">
    <w:nsid w:val="3FCFAED9"/>
    <w:multiLevelType w:val="hybridMultilevel"/>
    <w:lvl w:ilvl="0">
      <w:lvlJc w:val="left"/>
      <w:lvlText w:val="%1."/>
      <w:numFmt w:val="decimal"/>
      <w:start w:val="8"/>
    </w:lvl>
  </w:abstractNum>
  <w:abstractNum w:abstractNumId="135">
    <w:nsid w:val="F856867"/>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36">
    <w:nsid w:val="11B1CC33"/>
    <w:multiLevelType w:val="hybridMultilevel"/>
    <w:lvl w:ilvl="0">
      <w:lvlJc w:val="left"/>
      <w:lvlText w:val="%1"/>
      <w:numFmt w:val="lowerLetter"/>
      <w:start w:val="1"/>
    </w:lvl>
    <w:lvl w:ilvl="1">
      <w:lvlJc w:val="left"/>
      <w:lvlText w:val="%2."/>
      <w:numFmt w:val="decimal"/>
      <w:start w:val="12"/>
    </w:lvl>
  </w:abstractNum>
  <w:abstractNum w:abstractNumId="137">
    <w:nsid w:val="2E22FBB7"/>
    <w:multiLevelType w:val="hybridMultilevel"/>
    <w:lvl w:ilvl="0">
      <w:lvlJc w:val="left"/>
      <w:lvlText w:val="(%1)"/>
      <w:numFmt w:val="lowerLetter"/>
      <w:start w:val="1"/>
    </w:lvl>
    <w:lvl w:ilvl="1">
      <w:lvlJc w:val="left"/>
      <w:lvlText w:val="%2."/>
      <w:numFmt w:val="decimal"/>
      <w:start w:val="13"/>
    </w:lvl>
  </w:abstractNum>
  <w:abstractNum w:abstractNumId="138">
    <w:nsid w:val="2993469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39">
    <w:nsid w:val="7748585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40">
    <w:nsid w:val="744939A3"/>
    <w:multiLevelType w:val="hybridMultilevel"/>
    <w:lvl w:ilvl="0">
      <w:lvlJc w:val="left"/>
      <w:lvlText w:val="(%1)"/>
      <w:numFmt w:val="lowerLetter"/>
      <w:start w:val="7"/>
    </w:lvl>
    <w:lvl w:ilvl="1">
      <w:lvlJc w:val="left"/>
      <w:lvlText w:val="(%2)"/>
      <w:numFmt w:val="lowerLetter"/>
      <w:start w:val="9"/>
    </w:lvl>
  </w:abstractNum>
  <w:abstractNum w:abstractNumId="141">
    <w:nsid w:val="4FA0D2E3"/>
    <w:multiLevelType w:val="hybridMultilevel"/>
    <w:lvl w:ilvl="0">
      <w:lvlJc w:val="left"/>
      <w:lvlText w:val="%1"/>
      <w:numFmt w:val="lowerLetter"/>
      <w:start w:val="1"/>
    </w:lvl>
    <w:lvl w:ilvl="1">
      <w:lvlJc w:val="left"/>
      <w:lvlText w:val="(%2)"/>
      <w:numFmt w:val="lowerRoman"/>
      <w:start w:val="2"/>
    </w:lvl>
  </w:abstractNum>
  <w:abstractNum w:abstractNumId="142">
    <w:nsid w:val="6B1D2C14"/>
    <w:multiLevelType w:val="hybridMultilevel"/>
    <w:lvl w:ilvl="0">
      <w:lvlJc w:val="left"/>
      <w:lvlText w:val="(%1)"/>
      <w:numFmt w:val="lowerLetter"/>
      <w:start w:val="11"/>
    </w:lvl>
    <w:lvl w:ilvl="1">
      <w:lvlJc w:val="left"/>
      <w:lvlText w:val="%2"/>
      <w:numFmt w:val="lowerRoman"/>
      <w:start w:val="1"/>
    </w:lvl>
  </w:abstractNum>
  <w:abstractNum w:abstractNumId="143">
    <w:nsid w:val="68B867D3"/>
    <w:multiLevelType w:val="hybridMultilevel"/>
    <w:lvl w:ilvl="0">
      <w:lvlJc w:val="left"/>
      <w:lvlText w:val="(%1)"/>
      <w:numFmt w:val="lowerLetter"/>
      <w:start w:val="17"/>
    </w:lvl>
  </w:abstractNum>
  <w:abstractNum w:abstractNumId="144">
    <w:nsid w:val="3F7F5DD9"/>
    <w:multiLevelType w:val="hybridMultilevel"/>
    <w:lvl w:ilvl="0">
      <w:lvlJc w:val="left"/>
      <w:lvlText w:val="(%1)"/>
      <w:numFmt w:val="lowerLetter"/>
      <w:start w:val="20"/>
    </w:lvl>
  </w:abstractNum>
  <w:abstractNum w:abstractNumId="145">
    <w:nsid w:val="2AE05A34"/>
    <w:multiLevelType w:val="hybridMultilevel"/>
    <w:lvl w:ilvl="0">
      <w:lvlJc w:val="left"/>
      <w:lvlText w:val="(%1)"/>
      <w:numFmt w:val="lowerLetter"/>
      <w:start w:val="25"/>
    </w:lvl>
  </w:abstractNum>
  <w:abstractNum w:abstractNumId="146">
    <w:nsid w:val="32794FF7"/>
    <w:multiLevelType w:val="hybridMultilevel"/>
    <w:lvl w:ilvl="0">
      <w:lvlJc w:val="left"/>
      <w:lvlText w:val="(%1)"/>
      <w:numFmt w:val="lowerLetter"/>
      <w:start w:val="27"/>
    </w:lvl>
  </w:abstractNum>
  <w:abstractNum w:abstractNumId="147">
    <w:nsid w:val="545494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8">
    <w:nsid w:val="4DEFDFA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49">
    <w:nsid w:val="2123D5F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50">
    <w:nsid w:val="135B8110"/>
    <w:multiLevelType w:val="hybridMultilevel"/>
    <w:lvl w:ilvl="0">
      <w:lvlJc w:val="left"/>
      <w:lvlText w:val="%1"/>
      <w:numFmt w:val="lowerLetter"/>
      <w:start w:val="1"/>
    </w:lvl>
    <w:lvl w:ilvl="1">
      <w:lvlJc w:val="left"/>
      <w:lvlText w:val="(%2)"/>
      <w:numFmt w:val="lowerLetter"/>
      <w:start w:val="35"/>
    </w:lvl>
  </w:abstractNum>
  <w:abstractNum w:abstractNumId="151">
    <w:nsid w:val="94927A8"/>
    <w:multiLevelType w:val="hybridMultilevel"/>
    <w:lvl w:ilvl="0">
      <w:lvlJc w:val="left"/>
      <w:lvlText w:val="(%1)"/>
      <w:numFmt w:val="lowerLetter"/>
      <w:start w:val="2"/>
    </w:lvl>
    <w:lvl w:ilvl="1">
      <w:lvlJc w:val="left"/>
      <w:lvlText w:val="(%2)"/>
      <w:numFmt w:val="lowerLetter"/>
      <w:start w:val="9"/>
    </w:lvl>
  </w:abstractNum>
  <w:abstractNum w:abstractNumId="152">
    <w:nsid w:val="DCDF8F6"/>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3"/>
    </w:lvl>
  </w:abstractNum>
  <w:abstractNum w:abstractNumId="153">
    <w:nsid w:val="52D7B10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54">
    <w:nsid w:val="2E8A6394"/>
    <w:multiLevelType w:val="hybridMultilevel"/>
    <w:lvl w:ilvl="0">
      <w:lvlJc w:val="left"/>
      <w:lvlText w:val="%1."/>
      <w:numFmt w:val="decimal"/>
      <w:start w:val="6"/>
    </w:lvl>
  </w:abstractNum>
  <w:abstractNum w:abstractNumId="155">
    <w:nsid w:val="24E60401"/>
    <w:multiLevelType w:val="hybridMultilevel"/>
    <w:lvl w:ilvl="0">
      <w:lvlJc w:val="left"/>
      <w:lvlText w:val="(%1)"/>
      <w:numFmt w:val="lowerLetter"/>
      <w:start w:val="1"/>
    </w:lvl>
  </w:abstractNum>
  <w:abstractNum w:abstractNumId="156">
    <w:nsid w:val="2A6AD9BE"/>
    <w:multiLevelType w:val="hybridMultilevel"/>
    <w:lvl w:ilvl="0">
      <w:lvlJc w:val="left"/>
      <w:lvlText w:val="%1."/>
      <w:numFmt w:val="decimal"/>
      <w:start w:val="9"/>
    </w:lvl>
    <w:lvl w:ilvl="1">
      <w:lvlJc w:val="left"/>
      <w:lvlText w:val="(%2)"/>
      <w:numFmt w:val="lowerLetter"/>
      <w:start w:val="1"/>
    </w:lvl>
  </w:abstractNum>
  <w:abstractNum w:abstractNumId="157">
    <w:nsid w:val="BAAC1B4"/>
    <w:multiLevelType w:val="hybridMultilevel"/>
    <w:lvl w:ilvl="0">
      <w:lvlJc w:val="left"/>
      <w:lvlText w:val="%1"/>
      <w:numFmt w:val="decimal"/>
      <w:start w:val="1"/>
    </w:lvl>
    <w:lvl w:ilvl="1">
      <w:lvlJc w:val="left"/>
      <w:lvlText w:val="(%2)"/>
      <w:numFmt w:val="lowerLetter"/>
      <w:start w:val="3"/>
    </w:lvl>
  </w:abstractNum>
  <w:abstractNum w:abstractNumId="158">
    <w:nsid w:val="36B2ACBC"/>
    <w:multiLevelType w:val="hybridMultilevel"/>
    <w:lvl w:ilvl="0">
      <w:lvlJc w:val="left"/>
      <w:lvlText w:val="%1."/>
      <w:numFmt w:val="decimal"/>
      <w:start w:val="10"/>
    </w:lvl>
    <w:lvl w:ilvl="1">
      <w:lvlJc w:val="left"/>
      <w:lvlText w:val="%2"/>
      <w:numFmt w:val="lowerLetter"/>
      <w:start w:val="1"/>
    </w:lvl>
  </w:abstractNum>
  <w:abstractNum w:abstractNumId="159">
    <w:nsid w:val="779D8544"/>
    <w:multiLevelType w:val="hybridMultilevel"/>
    <w:lvl w:ilvl="0">
      <w:lvlJc w:val="left"/>
      <w:lvlText w:val="%1."/>
      <w:numFmt w:val="decimal"/>
      <w:start w:val="11"/>
    </w:lvl>
    <w:lvl w:ilvl="1">
      <w:lvlJc w:val="left"/>
      <w:lvlText w:val="(%2)"/>
      <w:numFmt w:val="lowerLetter"/>
      <w:start w:val="1"/>
    </w:lvl>
  </w:abstractNum>
  <w:abstractNum w:abstractNumId="160">
    <w:nsid w:val="4AB26E78"/>
    <w:multiLevelType w:val="hybridMultilevel"/>
    <w:lvl w:ilvl="0">
      <w:lvlJc w:val="left"/>
      <w:lvlText w:val="%1"/>
      <w:numFmt w:val="decimal"/>
      <w:start w:val="1"/>
    </w:lvl>
    <w:lvl w:ilvl="1">
      <w:lvlJc w:val="left"/>
      <w:lvlText w:val="(%2)"/>
      <w:numFmt w:val="lowerLetter"/>
      <w:start w:val="2"/>
    </w:lvl>
  </w:abstractNum>
  <w:abstractNum w:abstractNumId="161">
    <w:nsid w:val="21FAA2FA"/>
    <w:multiLevelType w:val="hybridMultilevel"/>
    <w:lvl w:ilvl="0">
      <w:lvlJc w:val="left"/>
      <w:lvlText w:val="%1."/>
      <w:numFmt w:val="decimal"/>
      <w:start w:val="15"/>
    </w:lvl>
    <w:lvl w:ilvl="1">
      <w:lvlJc w:val="left"/>
      <w:lvlText w:val="(%2)"/>
      <w:numFmt w:val="lowerLetter"/>
      <w:start w:val="1"/>
    </w:lvl>
  </w:abstractNum>
  <w:abstractNum w:abstractNumId="162">
    <w:nsid w:val="5451CF49"/>
    <w:multiLevelType w:val="hybridMultilevel"/>
    <w:lvl w:ilvl="0">
      <w:lvlJc w:val="left"/>
      <w:lvlText w:val="(%1)"/>
      <w:numFmt w:val="lowerLetter"/>
      <w:start w:val="2"/>
    </w:lvl>
  </w:abstractNum>
  <w:abstractNum w:abstractNumId="163">
    <w:nsid w:val="6181EF69"/>
    <w:multiLevelType w:val="hybridMultilevel"/>
    <w:lvl w:ilvl="0">
      <w:lvlJc w:val="left"/>
      <w:lvlText w:val="%1"/>
      <w:numFmt w:val="lowerLetter"/>
      <w:start w:val="1"/>
    </w:lvl>
    <w:lvl w:ilvl="1">
      <w:lvlJc w:val="left"/>
      <w:lvlText w:val="(%2)"/>
      <w:numFmt w:val="lowerLetter"/>
      <w:start w:val="8"/>
    </w:lvl>
  </w:abstractNum>
  <w:abstractNum w:abstractNumId="164">
    <w:nsid w:val="3E6400E6"/>
    <w:multiLevelType w:val="hybridMultilevel"/>
    <w:lvl w:ilvl="0">
      <w:lvlJc w:val="left"/>
      <w:lvlText w:val="(%1)"/>
      <w:numFmt w:val="lowerLetter"/>
      <w:start w:val="35"/>
    </w:lvl>
    <w:lvl w:ilvl="1">
      <w:lvlJc w:val="left"/>
      <w:lvlText w:val="(%2)"/>
      <w:numFmt w:val="lowerLetter"/>
      <w:start w:val="11"/>
    </w:lvl>
  </w:abstractNum>
  <w:abstractNum w:abstractNumId="165">
    <w:nsid w:val="14217E23"/>
    <w:multiLevelType w:val="hybridMultilevel"/>
    <w:lvl w:ilvl="0">
      <w:lvlJc w:val="left"/>
      <w:lvlText w:val="(%1)"/>
      <w:numFmt w:val="lowerLetter"/>
      <w:start w:val="12"/>
    </w:lvl>
  </w:abstractNum>
  <w:abstractNum w:abstractNumId="166">
    <w:nsid w:val="710757D0"/>
    <w:multiLevelType w:val="hybridMultilevel"/>
    <w:lvl w:ilvl="0">
      <w:lvlJc w:val="left"/>
      <w:lvlText w:val="(%1)"/>
      <w:numFmt w:val="lowerLetter"/>
      <w:start w:val="17"/>
    </w:lvl>
  </w:abstractNum>
  <w:abstractNum w:abstractNumId="167">
    <w:nsid w:val="5015CD1A"/>
    <w:multiLevelType w:val="hybridMultilevel"/>
    <w:lvl w:ilvl="0">
      <w:lvlJc w:val="left"/>
      <w:lvlText w:val="(%1)"/>
      <w:numFmt w:val="lowerRoman"/>
      <w:start w:val="1"/>
    </w:lvl>
  </w:abstractNum>
  <w:abstractNum w:abstractNumId="168">
    <w:nsid w:val="424479DA"/>
    <w:multiLevelType w:val="hybridMultilevel"/>
    <w:lvl w:ilvl="0">
      <w:lvlJc w:val="left"/>
      <w:lvlText w:val="•"/>
      <w:numFmt w:val="bullet"/>
      <w:start w:val="1"/>
    </w:lvl>
  </w:abstractNum>
  <w:abstractNum w:abstractNumId="169">
    <w:nsid w:val="1A9A9E69"/>
    <w:multiLevelType w:val="hybridMultilevel"/>
    <w:lvl w:ilvl="0">
      <w:lvlJc w:val="left"/>
      <w:lvlText w:val="(%1)"/>
      <w:numFmt w:val="lowerRoman"/>
      <w:start w:val="1"/>
    </w:lvl>
  </w:abstractNum>
  <w:abstractNum w:abstractNumId="170">
    <w:nsid w:val="475E256A"/>
    <w:multiLevelType w:val="hybridMultilevel"/>
    <w:lvl w:ilvl="0">
      <w:lvlJc w:val="left"/>
      <w:lvlText w:val="%1."/>
      <w:numFmt w:val="decimal"/>
      <w:start w:val="1"/>
    </w:lvl>
  </w:abstractNum>
  <w:abstractNum w:abstractNumId="171">
    <w:nsid w:val="368DB37E"/>
    <w:multiLevelType w:val="hybridMultilevel"/>
    <w:lvl w:ilvl="0">
      <w:lvlJc w:val="left"/>
      <w:lvlText w:val="%1."/>
      <w:numFmt w:val="decimal"/>
      <w:start w:val="6"/>
    </w:lvl>
  </w:abstractNum>
  <w:abstractNum w:abstractNumId="172">
    <w:nsid w:val="6A3B714C"/>
    <w:multiLevelType w:val="hybridMultilevel"/>
    <w:lvl w:ilvl="0">
      <w:lvlJc w:val="left"/>
      <w:lvlText w:val="%1."/>
      <w:numFmt w:val="decimal"/>
      <w:start w:val="1"/>
    </w:lvl>
    <w:lvl w:ilvl="1">
      <w:lvlJc w:val="left"/>
      <w:lvlText w:val="(%2)"/>
      <w:numFmt w:val="lowerLetter"/>
      <w:start w:val="1"/>
    </w:lvl>
  </w:abstractNum>
  <w:abstractNum w:abstractNumId="173">
    <w:nsid w:val="327B517E"/>
    <w:multiLevelType w:val="hybridMultilevel"/>
    <w:lvl w:ilvl="0">
      <w:lvlJc w:val="left"/>
      <w:lvlText w:val="%1."/>
      <w:numFmt w:val="decimal"/>
      <w:start w:val="3"/>
    </w:lvl>
  </w:abstractNum>
  <w:abstractNum w:abstractNumId="174">
    <w:nsid w:val="1F461B51"/>
    <w:multiLevelType w:val="hybridMultilevel"/>
    <w:lvl w:ilvl="0">
      <w:lvlJc w:val="left"/>
      <w:lvlText w:val="•"/>
      <w:numFmt w:val="bullet"/>
      <w:start w:val="1"/>
    </w:lvl>
  </w:abstractNum>
  <w:abstractNum w:abstractNumId="175">
    <w:nsid w:val="29BACF25"/>
    <w:multiLevelType w:val="hybridMultilevel"/>
    <w:lvl w:ilvl="0">
      <w:lvlJc w:val="left"/>
      <w:lvlText w:val="•"/>
      <w:numFmt w:val="bullet"/>
      <w:start w:val="1"/>
    </w:lvl>
  </w:abstractNum>
  <w:abstractNum w:abstractNumId="176">
    <w:nsid w:val="5D5BABB3"/>
    <w:multiLevelType w:val="hybridMultilevel"/>
    <w:lvl w:ilvl="0">
      <w:lvlJc w:val="left"/>
      <w:lvlText w:val="•"/>
      <w:numFmt w:val="bullet"/>
      <w:start w:val="1"/>
    </w:lvl>
  </w:abstractNum>
  <w:abstractNum w:abstractNumId="177">
    <w:nsid w:val="51BF6B48"/>
    <w:multiLevelType w:val="hybridMultilevel"/>
    <w:lvl w:ilvl="0">
      <w:lvlJc w:val="left"/>
      <w:lvlText w:val="•"/>
      <w:numFmt w:val="bullet"/>
      <w:start w:val="1"/>
    </w:lvl>
  </w:abstractNum>
  <w:abstractNum w:abstractNumId="178">
    <w:nsid w:val="7E0F6384"/>
    <w:multiLevelType w:val="hybridMultilevel"/>
    <w:lvl w:ilvl="0">
      <w:lvlJc w:val="left"/>
      <w:lvlText w:val="•"/>
      <w:numFmt w:val="bullet"/>
      <w:start w:val="1"/>
    </w:lvl>
  </w:abstractNum>
  <w:abstractNum w:abstractNumId="179">
    <w:nsid w:val="2B4B8B53"/>
    <w:multiLevelType w:val="hybridMultilevel"/>
    <w:lvl w:ilvl="0">
      <w:lvlJc w:val="left"/>
      <w:lvlText w:val="•"/>
      <w:numFmt w:val="bullet"/>
      <w:start w:val="1"/>
    </w:lvl>
    <w:lvl w:ilvl="1">
      <w:lvlJc w:val="left"/>
      <w:lvlText w:val="◦"/>
      <w:numFmt w:val="bullet"/>
      <w:start w:val="1"/>
    </w:lvl>
  </w:abstractNum>
  <w:abstractNum w:abstractNumId="180">
    <w:nsid w:val="72E3413A"/>
    <w:multiLevelType w:val="hybridMultilevel"/>
    <w:lvl w:ilvl="0">
      <w:lvlJc w:val="left"/>
      <w:lvlText w:val="•"/>
      <w:numFmt w:val="bullet"/>
      <w:start w:val="1"/>
    </w:lvl>
    <w:lvl w:ilvl="1">
      <w:lvlJc w:val="left"/>
      <w:lvlText w:val="◦"/>
      <w:numFmt w:val="bullet"/>
      <w:start w:val="1"/>
    </w:lvl>
  </w:abstractNum>
  <w:abstractNum w:abstractNumId="181">
    <w:nsid w:val="116AE494"/>
    <w:multiLevelType w:val="hybridMultilevel"/>
    <w:lvl w:ilvl="0">
      <w:lvlJc w:val="left"/>
      <w:lvlText w:val="•"/>
      <w:numFmt w:val="bullet"/>
      <w:start w:val="1"/>
    </w:lvl>
  </w:abstractNum>
  <w:abstractNum w:abstractNumId="182">
    <w:nsid w:val="3494B2FB"/>
    <w:multiLevelType w:val="hybridMultilevel"/>
    <w:lvl w:ilvl="0">
      <w:lvlJc w:val="left"/>
      <w:lvlText w:val="*"/>
      <w:numFmt w:val="bullet"/>
      <w:start w:val="1"/>
    </w:lvl>
  </w:abstractNum>
  <w:abstractNum w:abstractNumId="183">
    <w:nsid w:val="B13A31"/>
    <w:multiLevelType w:val="hybridMultilevel"/>
    <w:lvl w:ilvl="0">
      <w:lvlJc w:val="left"/>
      <w:lvlText w:val="%1."/>
      <w:numFmt w:val="decimal"/>
      <w:start w:val="1"/>
    </w:lvl>
    <w:lvl w:ilvl="1">
      <w:lvlJc w:val="left"/>
      <w:lvlText w:val="(%2)"/>
      <w:numFmt w:val="lowerLetter"/>
      <w:start w:val="1"/>
    </w:lvl>
  </w:abstractNum>
  <w:abstractNum w:abstractNumId="184">
    <w:nsid w:val="64429599"/>
    <w:multiLevelType w:val="hybridMultilevel"/>
    <w:lvl w:ilvl="0">
      <w:lvlJc w:val="left"/>
      <w:lvlText w:val="%1."/>
      <w:numFmt w:val="decimal"/>
      <w:start w:val="1"/>
    </w:lvl>
    <w:lvl w:ilvl="1">
      <w:lvlJc w:val="left"/>
      <w:lvlText w:val="(%2)"/>
      <w:numFmt w:val="lowerLetter"/>
      <w:start w:val="1"/>
    </w:lvl>
  </w:abstractNum>
  <w:abstractNum w:abstractNumId="185">
    <w:nsid w:val="631F1690"/>
    <w:multiLevelType w:val="hybridMultilevel"/>
    <w:lvl w:ilvl="0">
      <w:lvlJc w:val="left"/>
      <w:lvlText w:val="%1."/>
      <w:numFmt w:val="decimal"/>
      <w:start w:val="1"/>
    </w:lvl>
  </w:abstractNum>
  <w:abstractNum w:abstractNumId="186">
    <w:nsid w:val="25973E32"/>
    <w:multiLevelType w:val="hybridMultilevel"/>
    <w:lvl w:ilvl="0">
      <w:lvlJc w:val="left"/>
      <w:lvlText w:val="%1."/>
      <w:numFmt w:val="decimal"/>
      <w:start w:val="1"/>
    </w:lvl>
  </w:abstractNum>
  <w:abstractNum w:abstractNumId="187">
    <w:nsid w:val="EAD6F57"/>
    <w:multiLevelType w:val="hybridMultilevel"/>
    <w:lvl w:ilvl="0">
      <w:lvlJc w:val="left"/>
      <w:lvlText w:val="(%1)"/>
      <w:numFmt w:val="lowerRoman"/>
      <w:start w:val="2"/>
    </w:lvl>
  </w:abstractNum>
  <w:abstractNum w:abstractNumId="188">
    <w:nsid w:val="6EC9D844"/>
    <w:multiLevelType w:val="hybridMultilevel"/>
    <w:lvl w:ilvl="0">
      <w:lvlJc w:val="left"/>
      <w:lvlText w:val="■"/>
      <w:numFmt w:val="bullet"/>
      <w:start w:val="1"/>
    </w:lvl>
  </w:abstractNum>
  <w:abstractNum w:abstractNumId="189">
    <w:nsid w:val="5C49EAEE"/>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6"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7"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4" Type="http://schemas.openxmlformats.org/officeDocument/2006/relationships/image" Target="media/image239.png"/><Relationship Id="rId273" Type="http://schemas.openxmlformats.org/officeDocument/2006/relationships/image" Target="media/image240.png"/><Relationship Id="rId278" Type="http://schemas.openxmlformats.org/officeDocument/2006/relationships/image" Target="media/image241.png"/><Relationship Id="rId279" Type="http://schemas.openxmlformats.org/officeDocument/2006/relationships/image" Target="media/image242.png"/><Relationship Id="rId280" Type="http://schemas.openxmlformats.org/officeDocument/2006/relationships/image" Target="media/image243.png"/><Relationship Id="rId281" Type="http://schemas.openxmlformats.org/officeDocument/2006/relationships/image" Target="media/image244.png"/><Relationship Id="rId282" Type="http://schemas.openxmlformats.org/officeDocument/2006/relationships/image" Target="media/image245.png"/><Relationship Id="rId283" Type="http://schemas.openxmlformats.org/officeDocument/2006/relationships/image" Target="media/image246.png"/><Relationship Id="rId284" Type="http://schemas.openxmlformats.org/officeDocument/2006/relationships/image" Target="media/image247.png"/><Relationship Id="rId285" Type="http://schemas.openxmlformats.org/officeDocument/2006/relationships/image" Target="media/image248.png"/><Relationship Id="rId286" Type="http://schemas.openxmlformats.org/officeDocument/2006/relationships/image" Target="media/image249.png"/><Relationship Id="rId287" Type="http://schemas.openxmlformats.org/officeDocument/2006/relationships/image" Target="media/image250.png"/><Relationship Id="rId288" Type="http://schemas.openxmlformats.org/officeDocument/2006/relationships/image" Target="media/image251.png"/><Relationship Id="rId289" Type="http://schemas.openxmlformats.org/officeDocument/2006/relationships/image" Target="media/image252.png"/><Relationship Id="rId290" Type="http://schemas.openxmlformats.org/officeDocument/2006/relationships/image" Target="media/image253.png"/><Relationship Id="rId291" Type="http://schemas.openxmlformats.org/officeDocument/2006/relationships/image" Target="media/image254.jpeg"/><Relationship Id="rId292" Type="http://schemas.openxmlformats.org/officeDocument/2006/relationships/image" Target="media/image255.png"/><Relationship Id="rId293" Type="http://schemas.openxmlformats.org/officeDocument/2006/relationships/image" Target="media/image256.png"/><Relationship Id="rId294" Type="http://schemas.openxmlformats.org/officeDocument/2006/relationships/image" Target="media/image257.jpeg"/><Relationship Id="rId295" Type="http://schemas.openxmlformats.org/officeDocument/2006/relationships/image" Target="media/image258.png"/><Relationship Id="rId296" Type="http://schemas.openxmlformats.org/officeDocument/2006/relationships/image" Target="media/image259.jpeg"/><Relationship Id="rId297" Type="http://schemas.openxmlformats.org/officeDocument/2006/relationships/image" Target="media/image260.png"/><Relationship Id="rId298" Type="http://schemas.openxmlformats.org/officeDocument/2006/relationships/image" Target="media/image261.jpeg"/><Relationship Id="rId299" Type="http://schemas.openxmlformats.org/officeDocument/2006/relationships/image" Target="media/image262.png"/><Relationship Id="rId300" Type="http://schemas.openxmlformats.org/officeDocument/2006/relationships/image" Target="media/image263.jpeg"/><Relationship Id="rId301" Type="http://schemas.openxmlformats.org/officeDocument/2006/relationships/image" Target="media/image264.jpeg"/><Relationship Id="rId302" Type="http://schemas.openxmlformats.org/officeDocument/2006/relationships/image" Target="media/image265.jpeg"/><Relationship Id="rId126" Type="http://schemas.openxmlformats.org/officeDocument/2006/relationships/hyperlink" Target="https://www.sec.gov/Archives/edgar/data/895126/000089512624000013/chk-20231231.htm#ia667cf758ac34907aec4cb317c545326_109" TargetMode="External"/><Relationship Id="rId234" Type="http://schemas.openxmlformats.org/officeDocument/2006/relationships/hyperlink" Target="https://www.sec.gov/Archives/edgar/data/895126/000089512621000016/ex212021-01x16confirmation.htm" TargetMode="External"/><Relationship Id="rId235" Type="http://schemas.openxmlformats.org/officeDocument/2006/relationships/hyperlink" Target="https://www.sec.gov/Archives/edgar/data/895126/000089512622000029/ex1036chiefpartnershipinte.htm" TargetMode="External"/><Relationship Id="rId237" Type="http://schemas.openxmlformats.org/officeDocument/2006/relationships/hyperlink" Target="https://www.sec.gov/Archives/edgar/data/895126/000089512622000029/ex1037r2kpamembershipinter.htm" TargetMode="External"/><Relationship Id="rId238" Type="http://schemas.openxmlformats.org/officeDocument/2006/relationships/hyperlink" Target="https://www.sec.gov/Archives/edgar/data/895126/000089512622000029/ex1038thmmembershipinteres.htm" TargetMode="External"/><Relationship Id="rId239" Type="http://schemas.openxmlformats.org/officeDocument/2006/relationships/hyperlink" Target="https://www.sec.gov/Archives/edgar/data/895126/000110465924003344/tm243107d1_ex2-1.htm" TargetMode="External"/><Relationship Id="rId243" Type="http://schemas.openxmlformats.org/officeDocument/2006/relationships/hyperlink" Target="https://www.sec.gov/Archives/edgar/data/895126/000110465924104976/tm2425151d1_ex3-1.htm" TargetMode="External"/><Relationship Id="rId244" Type="http://schemas.openxmlformats.org/officeDocument/2006/relationships/hyperlink" Target="https://www.sec.gov/Archives/edgar/data/895126/000110465924104976/tm2425151d1_ex3-2.htm" TargetMode="External"/><Relationship Id="rId245" Type="http://schemas.openxmlformats.org/officeDocument/2006/relationships/hyperlink" Target="https://www.sec.gov/Archives/edgar/data/895126/000089512621000035/form8-axemergence.htm" TargetMode="External"/><Relationship Id="rId250" Type="http://schemas.openxmlformats.org/officeDocument/2006/relationships/hyperlink" Target="https://www.sec.gov/Archives/edgar/data/895126/000110465920077745/tm2023599d1_ex10-1.htm" TargetMode="External"/><Relationship Id="rId253" Type="http://schemas.openxmlformats.org/officeDocument/2006/relationships/hyperlink" Target="https://www.sec.gov/Archives/edgar/data/895126/000089512621000033/ex102registrationrightsagr.htm" TargetMode="External"/><Relationship Id="rId254" Type="http://schemas.openxmlformats.org/officeDocument/2006/relationships/hyperlink" Target="https://www.sec.gov/Archives/edgar/data/895126/000089512621000033/ex103classawarrantagreement.htm" TargetMode="External"/><Relationship Id="rId255" Type="http://schemas.openxmlformats.org/officeDocument/2006/relationships/hyperlink" Target="https://www.sec.gov/Archives/edgar/data/895126/000089512621000033/ex104classbwarrantagreement.htm" TargetMode="External"/><Relationship Id="rId256" Type="http://schemas.openxmlformats.org/officeDocument/2006/relationships/hyperlink" Target="https://www.sec.gov/Archives/edgar/data/895126/000089512621000033/ex105classcwarrantagreement.htm" TargetMode="External"/><Relationship Id="rId258" Type="http://schemas.openxmlformats.org/officeDocument/2006/relationships/hyperlink" Target="https://www.sec.gov/Archives/edgar/data/895126/000089512621000078/ex10102020-12x31purchaseag.htm" TargetMode="External"/><Relationship Id="rId261" Type="http://schemas.openxmlformats.org/officeDocument/2006/relationships/hyperlink" Target="https://www.sec.gov/Archives/edgar/data/895126/000089512621000078/ex10112020-12x31indenture.htm" TargetMode="External"/><Relationship Id="rId262" Type="http://schemas.openxmlformats.org/officeDocument/2006/relationships/hyperlink" Target="https://www.sec.gov/Archives/edgar/data/0000895126/000089512621000078/ex10122020-12x31purchaseag.htm" TargetMode="External"/><Relationship Id="rId263" Type="http://schemas.openxmlformats.org/officeDocument/2006/relationships/hyperlink" Target="https://www.sec.gov/Archives/edgar/data/0000895126/000089512621000078/ex10132020-12x31firstsuppi.htm" TargetMode="External"/><Relationship Id="rId265" Type="http://schemas.openxmlformats.org/officeDocument/2006/relationships/hyperlink" Target="https://www.sec.gov/Archives/edgar/data/0000895126/000110465921133037/tm2131688d1_ex4-1.htm" TargetMode="External"/><Relationship Id="rId266" Type="http://schemas.openxmlformats.org/officeDocument/2006/relationships/hyperlink" Target="https://www.sec.gov/Archives/edgar/data/0000895126/000110465921133037/tm2131688d1_ex4-2.htm" TargetMode="External"/><Relationship Id="rId267" Type="http://schemas.openxmlformats.org/officeDocument/2006/relationships/hyperlink" Target="https://www.sec.gov/Archives/edgar/data/895126/000089512622000036/ex101registrationrightsagr.htm" TargetMode="External"/><Relationship Id="rId268" Type="http://schemas.openxmlformats.org/officeDocument/2006/relationships/hyperlink" Target="https://www.sec.gov/Archives/edgar/data/895126/000089512622000036/ex102registrationrightsagr.htm" TargetMode="External"/><Relationship Id="rId269" Type="http://schemas.openxmlformats.org/officeDocument/2006/relationships/hyperlink" Target="https://www.sec.gov/Archives/edgar/data/895126/000110465922092589/tm2223522d2_ex10-34.htm" TargetMode="External"/><Relationship Id="rId270" Type="http://schemas.openxmlformats.org/officeDocument/2006/relationships/hyperlink" Target="https://www.sec.gov/Archives/edgar/data/895126/000110465922099099/tm2223522d6_ex10-35.htm" TargetMode="External"/><Relationship Id="rId271" Type="http://schemas.openxmlformats.org/officeDocument/2006/relationships/hyperlink" Target="https://www.sec.gov/Archives/edgar/data/895126/000089512622000193/ex1012022-12x09rblcreditag.htm" TargetMode="External"/><Relationship Id="rId272" Type="http://schemas.openxmlformats.org/officeDocument/2006/relationships/hyperlink" Target="https://www.sec.gov/Archives/edgar/data/895126/000110465924003344/tm243107d1_ex10-1.htm" TargetMode="External"/><Relationship Id="rId274" Type="http://schemas.openxmlformats.org/officeDocument/2006/relationships/hyperlink" Target="https://www.sec.gov/Archives/edgar/data/895126/000110465924124578/tm2429756d1_ex4-1.htm" TargetMode="External"/><Relationship Id="rId275" Type="http://schemas.openxmlformats.org/officeDocument/2006/relationships/hyperlink" Target="https://www.sec.gov/Archives/edgar/data/895126/000110465924124578/tm2429756d1_ex4-2.htm" TargetMode="External"/><Relationship Id="rId276" Type="http://schemas.openxmlformats.org/officeDocument/2006/relationships/hyperlink" Target="https://www.sec.gov/Archives/edgar/data/895126/000089512624000108/chk-ex_101x20240630x10q.htm" TargetMode="External"/><Relationship Id="rId277" Type="http://schemas.openxmlformats.org/officeDocument/2006/relationships/hyperlink" Target="https://www.sec.gov/Archives/edgar/data/895126/000110465924113482/tm242719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2025-02-26T15:32:29Z</dcterms:created>
  <dcterms:modified xsi:type="dcterms:W3CDTF">2025-02-26T15:32:29Z</dcterms:modified>
</cp:coreProperties>
</file>