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903605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59" w:lineRule="exact"/>
        <w:rPr>
          <w:sz w:val="24"/>
          <w:szCs w:val="24"/>
          <w:color w:val="auto"/>
        </w:rPr>
      </w:pPr>
    </w:p>
    <w:p>
      <w:pPr>
        <w:ind w:left="3940" w:right="1260" w:hanging="2671"/>
        <w:spacing w:after="0" w:line="238" w:lineRule="auto"/>
        <w:tabs>
          <w:tab w:leader="none" w:pos="1662" w:val="left"/>
        </w:tabs>
        <w:numPr>
          <w:ilvl w:val="0"/>
          <w:numId w:val="1"/>
        </w:numPr>
        <w:rPr>
          <w:rFonts w:ascii="MS PGothic" w:cs="MS PGothic" w:eastAsia="MS PGothic" w:hAnsi="MS PGothic"/>
          <w:sz w:val="25"/>
          <w:szCs w:val="25"/>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March 31, 2026</w:t>
      </w:r>
    </w:p>
    <w:p>
      <w:pPr>
        <w:spacing w:after="0" w:line="82" w:lineRule="exact"/>
        <w:rPr>
          <w:rFonts w:ascii="MS PGothic" w:cs="MS PGothic" w:eastAsia="MS PGothic" w:hAnsi="MS PGothic"/>
          <w:sz w:val="25"/>
          <w:szCs w:val="25"/>
          <w:color w:val="auto"/>
        </w:rPr>
      </w:pPr>
    </w:p>
    <w:p>
      <w:pPr>
        <w:ind w:left="1680" w:hanging="408"/>
        <w:spacing w:after="0"/>
        <w:tabs>
          <w:tab w:leader="none" w:pos="1680" w:val="left"/>
        </w:tabs>
        <w:numPr>
          <w:ilvl w:val="1"/>
          <w:numId w:val="1"/>
        </w:numPr>
        <w:rPr>
          <w:rFonts w:ascii="MS PGothic" w:cs="MS PGothic" w:eastAsia="MS PGothic" w:hAnsi="MS PGothic"/>
          <w:sz w:val="25"/>
          <w:szCs w:val="25"/>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-14605</wp:posOffset>
            </wp:positionV>
            <wp:extent cx="1285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001-13726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86360</wp:posOffset>
            </wp:positionV>
            <wp:extent cx="166306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EXPAND ENERGY CORPORATION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0" w:lineRule="exact"/>
        <w:rPr>
          <w:sz w:val="24"/>
          <w:szCs w:val="24"/>
          <w:color w:val="auto"/>
        </w:rPr>
      </w:pPr>
    </w:p>
    <w:tbl>
      <w:tblPr>
        <w:tblLayout w:type="fixed"/>
        <w:tblInd w:w="1200" w:type="dxa"/>
        <w:tblCellMar>
          <w:top w:w="0" w:type="dxa"/>
          <w:left w:w="0" w:type="dxa"/>
          <w:bottom w:w="0" w:type="dxa"/>
          <w:right w:w="0" w:type="dxa"/>
        </w:tblCellMar>
      </w:tblPr>
      <w:tr>
        <w:trPr>
          <w:trHeight w:val="247"/>
        </w:trPr>
        <w:tc>
          <w:tcPr>
            <w:tcW w:w="3660" w:type="dxa"/>
            <w:vAlign w:val="bottom"/>
            <w:gridSpan w:val="3"/>
          </w:tcPr>
          <w:p>
            <w:pPr>
              <w:jc w:val="center"/>
              <w:ind w:left="798"/>
              <w:spacing w:after="0"/>
              <w:rPr>
                <w:sz w:val="20"/>
                <w:szCs w:val="20"/>
                <w:color w:val="auto"/>
              </w:rPr>
            </w:pPr>
            <w:r>
              <w:rPr>
                <w:rFonts w:ascii="Arial" w:cs="Arial" w:eastAsia="Arial" w:hAnsi="Arial"/>
                <w:sz w:val="18"/>
                <w:szCs w:val="18"/>
                <w:b w:val="1"/>
                <w:bCs w:val="1"/>
                <w:color w:val="auto"/>
                <w:w w:val="98"/>
              </w:rPr>
              <w:t>Oklahoma</w:t>
            </w:r>
          </w:p>
        </w:tc>
        <w:tc>
          <w:tcPr>
            <w:tcW w:w="1880" w:type="dxa"/>
            <w:vAlign w:val="bottom"/>
          </w:tcPr>
          <w:p>
            <w:pPr>
              <w:spacing w:after="0"/>
              <w:rPr>
                <w:sz w:val="21"/>
                <w:szCs w:val="21"/>
                <w:color w:val="auto"/>
              </w:rPr>
            </w:pPr>
          </w:p>
        </w:tc>
        <w:tc>
          <w:tcPr>
            <w:tcW w:w="3700" w:type="dxa"/>
            <w:vAlign w:val="bottom"/>
            <w:gridSpan w:val="2"/>
          </w:tcPr>
          <w:p>
            <w:pPr>
              <w:jc w:val="right"/>
              <w:ind w:right="1781"/>
              <w:spacing w:after="0"/>
              <w:rPr>
                <w:sz w:val="20"/>
                <w:szCs w:val="20"/>
                <w:color w:val="auto"/>
              </w:rPr>
            </w:pPr>
            <w:r>
              <w:rPr>
                <w:rFonts w:ascii="Arial" w:cs="Arial" w:eastAsia="Arial" w:hAnsi="Arial"/>
                <w:sz w:val="18"/>
                <w:szCs w:val="18"/>
                <w:b w:val="1"/>
                <w:bCs w:val="1"/>
                <w:color w:val="auto"/>
              </w:rPr>
              <w:t>73-1395733</w:t>
            </w:r>
          </w:p>
        </w:tc>
      </w:tr>
      <w:tr>
        <w:trPr>
          <w:trHeight w:val="256"/>
        </w:trPr>
        <w:tc>
          <w:tcPr>
            <w:tcW w:w="5540" w:type="dxa"/>
            <w:vAlign w:val="bottom"/>
            <w:gridSpan w:val="4"/>
          </w:tcPr>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tc>
        <w:tc>
          <w:tcPr>
            <w:tcW w:w="3700" w:type="dxa"/>
            <w:vAlign w:val="bottom"/>
            <w:gridSpan w:val="2"/>
          </w:tcPr>
          <w:p>
            <w:pPr>
              <w:jc w:val="center"/>
              <w:ind w:right="921"/>
              <w:spacing w:after="0"/>
              <w:rPr>
                <w:sz w:val="20"/>
                <w:szCs w:val="20"/>
                <w:color w:val="auto"/>
              </w:rPr>
            </w:pPr>
            <w:r>
              <w:rPr>
                <w:rFonts w:ascii="Arial" w:cs="Arial" w:eastAsia="Arial" w:hAnsi="Arial"/>
                <w:sz w:val="16"/>
                <w:szCs w:val="16"/>
                <w:color w:val="auto"/>
              </w:rPr>
              <w:t>(I.R.S. Employer Identification No.)</w:t>
            </w:r>
          </w:p>
        </w:tc>
      </w:tr>
      <w:tr>
        <w:trPr>
          <w:trHeight w:val="278"/>
        </w:trPr>
        <w:tc>
          <w:tcPr>
            <w:tcW w:w="2220" w:type="dxa"/>
            <w:vAlign w:val="bottom"/>
          </w:tcPr>
          <w:p>
            <w:pPr>
              <w:ind w:left="360"/>
              <w:spacing w:after="0"/>
              <w:rPr>
                <w:sz w:val="20"/>
                <w:szCs w:val="20"/>
                <w:color w:val="auto"/>
              </w:rPr>
            </w:pPr>
            <w:r>
              <w:rPr>
                <w:rFonts w:ascii="Arial" w:cs="Arial" w:eastAsia="Arial" w:hAnsi="Arial"/>
                <w:sz w:val="16"/>
                <w:szCs w:val="16"/>
                <w:b w:val="1"/>
                <w:bCs w:val="1"/>
                <w:color w:val="auto"/>
              </w:rPr>
              <w:t>10000 Energy Drive,</w:t>
            </w:r>
          </w:p>
        </w:tc>
        <w:tc>
          <w:tcPr>
            <w:tcW w:w="1440" w:type="dxa"/>
            <w:vAlign w:val="bottom"/>
            <w:gridSpan w:val="2"/>
          </w:tcPr>
          <w:p>
            <w:pPr>
              <w:ind w:left="420"/>
              <w:spacing w:after="0"/>
              <w:rPr>
                <w:sz w:val="20"/>
                <w:szCs w:val="20"/>
                <w:color w:val="auto"/>
              </w:rPr>
            </w:pPr>
            <w:r>
              <w:rPr>
                <w:rFonts w:ascii="Arial" w:cs="Arial" w:eastAsia="Arial" w:hAnsi="Arial"/>
                <w:sz w:val="16"/>
                <w:szCs w:val="16"/>
                <w:b w:val="1"/>
                <w:bCs w:val="1"/>
                <w:color w:val="auto"/>
              </w:rPr>
              <w:t>Spring,</w:t>
            </w:r>
          </w:p>
        </w:tc>
        <w:tc>
          <w:tcPr>
            <w:tcW w:w="1880" w:type="dxa"/>
            <w:vAlign w:val="bottom"/>
          </w:tcPr>
          <w:p>
            <w:pPr>
              <w:ind w:left="180"/>
              <w:spacing w:after="0"/>
              <w:rPr>
                <w:sz w:val="20"/>
                <w:szCs w:val="20"/>
                <w:color w:val="auto"/>
              </w:rPr>
            </w:pPr>
            <w:r>
              <w:rPr>
                <w:rFonts w:ascii="Arial" w:cs="Arial" w:eastAsia="Arial" w:hAnsi="Arial"/>
                <w:sz w:val="16"/>
                <w:szCs w:val="16"/>
                <w:b w:val="1"/>
                <w:bCs w:val="1"/>
                <w:color w:val="auto"/>
              </w:rPr>
              <w:t>Texas</w:t>
            </w:r>
          </w:p>
        </w:tc>
        <w:tc>
          <w:tcPr>
            <w:tcW w:w="3700" w:type="dxa"/>
            <w:vAlign w:val="bottom"/>
            <w:gridSpan w:val="2"/>
          </w:tcPr>
          <w:p>
            <w:pPr>
              <w:jc w:val="right"/>
              <w:ind w:right="2041"/>
              <w:spacing w:after="0"/>
              <w:rPr>
                <w:sz w:val="20"/>
                <w:szCs w:val="20"/>
                <w:color w:val="auto"/>
              </w:rPr>
            </w:pPr>
            <w:r>
              <w:rPr>
                <w:rFonts w:ascii="Arial" w:cs="Arial" w:eastAsia="Arial" w:hAnsi="Arial"/>
                <w:sz w:val="16"/>
                <w:szCs w:val="16"/>
                <w:b w:val="1"/>
                <w:bCs w:val="1"/>
                <w:color w:val="auto"/>
              </w:rPr>
              <w:t>77389</w:t>
            </w:r>
          </w:p>
        </w:tc>
      </w:tr>
      <w:tr>
        <w:trPr>
          <w:trHeight w:val="262"/>
        </w:trPr>
        <w:tc>
          <w:tcPr>
            <w:tcW w:w="3660" w:type="dxa"/>
            <w:vAlign w:val="bottom"/>
            <w:gridSpan w:val="3"/>
          </w:tcPr>
          <w:p>
            <w:pPr>
              <w:jc w:val="center"/>
              <w:ind w:left="798"/>
              <w:spacing w:after="0"/>
              <w:rPr>
                <w:sz w:val="20"/>
                <w:szCs w:val="20"/>
                <w:color w:val="auto"/>
              </w:rPr>
            </w:pPr>
            <w:r>
              <w:rPr>
                <w:rFonts w:ascii="Arial" w:cs="Arial" w:eastAsia="Arial" w:hAnsi="Arial"/>
                <w:sz w:val="16"/>
                <w:szCs w:val="16"/>
                <w:color w:val="auto"/>
              </w:rPr>
              <w:t>(Address of principal executive offices)</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20" w:type="dxa"/>
            <w:vAlign w:val="bottom"/>
          </w:tcPr>
          <w:p>
            <w:pPr>
              <w:jc w:val="center"/>
              <w:ind w:right="1181"/>
              <w:spacing w:after="0"/>
              <w:rPr>
                <w:sz w:val="20"/>
                <w:szCs w:val="20"/>
                <w:color w:val="auto"/>
              </w:rPr>
            </w:pPr>
            <w:r>
              <w:rPr>
                <w:rFonts w:ascii="Arial" w:cs="Arial" w:eastAsia="Arial" w:hAnsi="Arial"/>
                <w:sz w:val="16"/>
                <w:szCs w:val="16"/>
                <w:color w:val="auto"/>
              </w:rPr>
              <w:t>(Zip Code)</w:t>
            </w:r>
          </w:p>
        </w:tc>
      </w:tr>
      <w:tr>
        <w:trPr>
          <w:trHeight w:val="278"/>
        </w:trPr>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jc w:val="right"/>
              <w:ind w:right="180"/>
              <w:spacing w:after="0"/>
              <w:rPr>
                <w:sz w:val="20"/>
                <w:szCs w:val="20"/>
                <w:color w:val="auto"/>
              </w:rPr>
            </w:pPr>
            <w:r>
              <w:rPr>
                <w:rFonts w:ascii="Arial" w:cs="Arial" w:eastAsia="Arial" w:hAnsi="Arial"/>
                <w:sz w:val="16"/>
                <w:szCs w:val="16"/>
                <w:b w:val="1"/>
                <w:bCs w:val="1"/>
                <w:color w:val="auto"/>
              </w:rPr>
              <w:t>(346) 535-0990</w:t>
            </w: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2"/>
        </w:trPr>
        <w:tc>
          <w:tcPr>
            <w:tcW w:w="2220" w:type="dxa"/>
            <w:vAlign w:val="bottom"/>
          </w:tcPr>
          <w:p>
            <w:pPr>
              <w:spacing w:after="0"/>
              <w:rPr>
                <w:sz w:val="22"/>
                <w:szCs w:val="22"/>
                <w:color w:val="auto"/>
              </w:rPr>
            </w:pPr>
          </w:p>
        </w:tc>
        <w:tc>
          <w:tcPr>
            <w:tcW w:w="7020" w:type="dxa"/>
            <w:vAlign w:val="bottom"/>
            <w:gridSpan w:val="5"/>
          </w:tcPr>
          <w:p>
            <w:pPr>
              <w:jc w:val="center"/>
              <w:ind w:right="2141"/>
              <w:spacing w:after="0"/>
              <w:rPr>
                <w:sz w:val="20"/>
                <w:szCs w:val="20"/>
                <w:color w:val="auto"/>
              </w:rPr>
            </w:pPr>
            <w:r>
              <w:rPr>
                <w:rFonts w:ascii="Arial" w:cs="Arial" w:eastAsia="Arial" w:hAnsi="Arial"/>
                <w:sz w:val="16"/>
                <w:szCs w:val="16"/>
                <w:color w:val="auto"/>
              </w:rPr>
              <w:t>(Registrant’s telephone number, including area code)</w:t>
            </w:r>
          </w:p>
        </w:tc>
      </w:tr>
      <w:tr>
        <w:trPr>
          <w:trHeight w:val="307"/>
        </w:trPr>
        <w:tc>
          <w:tcPr>
            <w:tcW w:w="2220" w:type="dxa"/>
            <w:vAlign w:val="bottom"/>
          </w:tcPr>
          <w:p>
            <w:pPr>
              <w:spacing w:after="0"/>
              <w:rPr>
                <w:sz w:val="24"/>
                <w:szCs w:val="24"/>
                <w:color w:val="auto"/>
              </w:rPr>
            </w:pPr>
          </w:p>
        </w:tc>
        <w:tc>
          <w:tcPr>
            <w:tcW w:w="7020" w:type="dxa"/>
            <w:vAlign w:val="bottom"/>
            <w:gridSpan w:val="5"/>
          </w:tcPr>
          <w:p>
            <w:pPr>
              <w:jc w:val="center"/>
              <w:ind w:right="2141"/>
              <w:spacing w:after="0"/>
              <w:rPr>
                <w:sz w:val="20"/>
                <w:szCs w:val="20"/>
                <w:color w:val="auto"/>
              </w:rPr>
            </w:pPr>
            <w:r>
              <w:rPr>
                <w:rFonts w:ascii="Arial" w:cs="Arial" w:eastAsia="Arial" w:hAnsi="Arial"/>
                <w:sz w:val="15"/>
                <w:szCs w:val="15"/>
                <w:b w:val="1"/>
                <w:bCs w:val="1"/>
                <w:color w:val="auto"/>
              </w:rPr>
              <w:t>Securities registered pursuant to Section 12(b) of the Act:</w:t>
            </w:r>
          </w:p>
        </w:tc>
      </w:tr>
      <w:tr>
        <w:trPr>
          <w:trHeight w:val="208"/>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Title of each class</w:t>
            </w:r>
          </w:p>
        </w:tc>
        <w:tc>
          <w:tcPr>
            <w:tcW w:w="11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Trading Symbol</w:t>
            </w:r>
          </w:p>
        </w:tc>
        <w:tc>
          <w:tcPr>
            <w:tcW w:w="280" w:type="dxa"/>
            <w:vAlign w:val="bottom"/>
          </w:tcPr>
          <w:p>
            <w:pPr>
              <w:spacing w:after="0"/>
              <w:rPr>
                <w:sz w:val="18"/>
                <w:szCs w:val="18"/>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08"/>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Common Stock, $0.01 par value per share</w:t>
            </w:r>
          </w:p>
        </w:tc>
        <w:tc>
          <w:tcPr>
            <w:tcW w:w="28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EXE</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bl>
    <w:p>
      <w:pPr>
        <w:spacing w:after="0" w:line="176"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42" w:lineRule="exact"/>
        <w:tabs>
          <w:tab w:leader="none" w:pos="3220" w:val="left"/>
        </w:tabs>
        <w:rPr>
          <w:sz w:val="20"/>
          <w:szCs w:val="20"/>
          <w:color w:val="auto"/>
        </w:rPr>
      </w:pPr>
      <w:r>
        <w:rPr>
          <w:rFonts w:ascii="Arial" w:cs="Arial" w:eastAsia="Arial" w:hAnsi="Arial"/>
          <w:sz w:val="16"/>
          <w:szCs w:val="16"/>
          <w:color w:val="auto"/>
        </w:rPr>
        <w:t xml:space="preserve">requirements for the past 90 days. Yes </w:t>
      </w:r>
      <w:r>
        <w:rPr>
          <w:rFonts w:ascii="MS PGothic" w:cs="MS PGothic" w:eastAsia="MS PGothic" w:hAnsi="MS PGothic"/>
          <w:sz w:val="21"/>
          <w:szCs w:val="21"/>
          <w:color w:val="auto"/>
        </w:rPr>
        <w:t>☒</w:t>
      </w:r>
      <w:r>
        <w:rPr>
          <w:rFonts w:ascii="Arial" w:cs="Arial" w:eastAsia="Arial" w:hAnsi="Arial"/>
          <w:sz w:val="16"/>
          <w:szCs w:val="16"/>
          <w:color w:val="auto"/>
        </w:rPr>
        <w:tab/>
        <w:t xml:space="preserve">No </w:t>
      </w:r>
      <w:r>
        <w:rPr>
          <w:rFonts w:ascii="MS PGothic" w:cs="MS PGothic" w:eastAsia="MS PGothic" w:hAnsi="MS PGothic"/>
          <w:sz w:val="21"/>
          <w:szCs w:val="21"/>
          <w:color w:val="auto"/>
        </w:rPr>
        <w:t>☐</w:t>
      </w:r>
    </w:p>
    <w:p>
      <w:pPr>
        <w:spacing w:after="0" w:line="70"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42"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0"/>
          <w:szCs w:val="20"/>
          <w:color w:val="auto"/>
        </w:rPr>
        <w:t>☐</w:t>
      </w:r>
    </w:p>
    <w:p>
      <w:pPr>
        <w:spacing w:after="0" w:line="70" w:lineRule="exact"/>
        <w:rPr>
          <w:sz w:val="24"/>
          <w:szCs w:val="24"/>
          <w:color w:val="auto"/>
        </w:rPr>
      </w:pPr>
    </w:p>
    <w:p>
      <w:pPr>
        <w:jc w:val="both"/>
        <w:ind w:firstLine="16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p>
      <w:pPr>
        <w:jc w:val="center"/>
        <w:ind w:right="-319"/>
        <w:spacing w:after="0" w:line="242"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21"/>
          <w:szCs w:val="21"/>
          <w:color w:val="auto"/>
        </w:rPr>
        <w:t>☒</w:t>
      </w:r>
      <w:r>
        <w:rPr>
          <w:rFonts w:ascii="Arial" w:cs="Arial" w:eastAsia="Arial" w:hAnsi="Arial"/>
          <w:sz w:val="16"/>
          <w:szCs w:val="16"/>
          <w:color w:val="auto"/>
        </w:rPr>
        <w:t xml:space="preserve"> Accelerated Filer </w:t>
      </w:r>
      <w:r>
        <w:rPr>
          <w:rFonts w:ascii="MS PGothic" w:cs="MS PGothic" w:eastAsia="MS PGothic" w:hAnsi="MS PGothic"/>
          <w:sz w:val="21"/>
          <w:szCs w:val="21"/>
          <w:color w:val="auto"/>
        </w:rPr>
        <w:t>☐</w:t>
      </w:r>
      <w:r>
        <w:rPr>
          <w:rFonts w:ascii="Arial" w:cs="Arial" w:eastAsia="Arial" w:hAnsi="Arial"/>
          <w:sz w:val="16"/>
          <w:szCs w:val="16"/>
          <w:color w:val="auto"/>
        </w:rPr>
        <w:t xml:space="preserve"> Non-accelerated Filer </w:t>
      </w:r>
      <w:r>
        <w:rPr>
          <w:rFonts w:ascii="MS PGothic" w:cs="MS PGothic" w:eastAsia="MS PGothic" w:hAnsi="MS PGothic"/>
          <w:sz w:val="21"/>
          <w:szCs w:val="21"/>
          <w:color w:val="auto"/>
        </w:rPr>
        <w:t>☐</w:t>
      </w:r>
    </w:p>
    <w:p>
      <w:pPr>
        <w:spacing w:after="0" w:line="121" w:lineRule="exact"/>
        <w:rPr>
          <w:sz w:val="24"/>
          <w:szCs w:val="24"/>
          <w:color w:val="auto"/>
        </w:rPr>
      </w:pPr>
    </w:p>
    <w:p>
      <w:pPr>
        <w:jc w:val="center"/>
        <w:ind w:left="340"/>
        <w:spacing w:after="0" w:line="242"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21"/>
          <w:szCs w:val="21"/>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21"/>
          <w:szCs w:val="21"/>
          <w:color w:val="auto"/>
        </w:rPr>
        <w:t>☐</w:t>
      </w:r>
    </w:p>
    <w:p>
      <w:pPr>
        <w:spacing w:after="0" w:line="69" w:lineRule="exact"/>
        <w:rPr>
          <w:sz w:val="24"/>
          <w:szCs w:val="24"/>
          <w:color w:val="auto"/>
        </w:rPr>
      </w:pPr>
    </w:p>
    <w:p>
      <w:pPr>
        <w:jc w:val="both"/>
        <w:ind w:right="20" w:firstLine="162"/>
        <w:spacing w:after="0" w:line="25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left="180" w:right="1660"/>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r>
        <w:rPr>
          <w:rFonts w:ascii="Arial" w:cs="Arial" w:eastAsia="Arial" w:hAnsi="Arial"/>
          <w:sz w:val="16"/>
          <w:szCs w:val="16"/>
          <w:color w:val="auto"/>
        </w:rPr>
        <w:t xml:space="preserve"> As of April 24, 2026, there were 239,228,849 shares of our $0.01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2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INDEX TO FORM 10-Q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DBDBDB"/>
            </w:tcBorders>
            <w:shd w:val="clear" w:color="auto" w:fill="DBDBDB"/>
          </w:tcPr>
          <w:p>
            <w:pPr>
              <w:spacing w:after="0"/>
              <w:rPr>
                <w:sz w:val="19"/>
                <w:szCs w:val="19"/>
                <w:color w:val="auto"/>
              </w:rPr>
            </w:pPr>
          </w:p>
        </w:tc>
        <w:tc>
          <w:tcPr>
            <w:tcW w:w="56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60" w:type="dxa"/>
            <w:vAlign w:val="bottom"/>
            <w:tcBorders>
              <w:bottom w:val="single" w:sz="8" w:color="DBDBDB"/>
            </w:tcBorders>
            <w:shd w:val="clear" w:color="auto" w:fill="DBDBDB"/>
          </w:tcPr>
          <w:p>
            <w:pPr>
              <w:spacing w:after="0"/>
              <w:rPr>
                <w:sz w:val="19"/>
                <w:szCs w:val="19"/>
                <w:color w:val="auto"/>
              </w:rPr>
            </w:pPr>
          </w:p>
        </w:tc>
        <w:tc>
          <w:tcPr>
            <w:tcW w:w="4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4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DBDBDB"/>
            </w:tcBorders>
            <w:shd w:val="clear" w:color="auto" w:fill="DBDBDB"/>
          </w:tcPr>
          <w:p>
            <w:pPr>
              <w:spacing w:after="0"/>
              <w:rPr>
                <w:sz w:val="19"/>
                <w:szCs w:val="19"/>
                <w:color w:val="auto"/>
              </w:rPr>
            </w:pPr>
          </w:p>
        </w:tc>
        <w:tc>
          <w:tcPr>
            <w:tcW w:w="40" w:type="dxa"/>
            <w:vAlign w:val="bottom"/>
            <w:tcBorders>
              <w:bottom w:val="single" w:sz="8" w:color="DBDBDB"/>
            </w:tcBorders>
            <w:shd w:val="clear" w:color="auto" w:fill="DBDBDB"/>
          </w:tcPr>
          <w:p>
            <w:pPr>
              <w:spacing w:after="0"/>
              <w:rPr>
                <w:sz w:val="19"/>
                <w:szCs w:val="19"/>
                <w:color w:val="auto"/>
              </w:rPr>
            </w:pPr>
          </w:p>
        </w:tc>
        <w:tc>
          <w:tcPr>
            <w:tcW w:w="40" w:type="dxa"/>
            <w:vAlign w:val="bottom"/>
            <w:tcBorders>
              <w:bottom w:val="single" w:sz="8" w:color="DBDBDB"/>
            </w:tcBorders>
            <w:shd w:val="clear" w:color="auto" w:fill="DBDBDB"/>
          </w:tcPr>
          <w:p>
            <w:pPr>
              <w:spacing w:after="0"/>
              <w:rPr>
                <w:sz w:val="19"/>
                <w:szCs w:val="19"/>
                <w:color w:val="auto"/>
              </w:rPr>
            </w:pPr>
          </w:p>
        </w:tc>
        <w:tc>
          <w:tcPr>
            <w:tcW w:w="6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DBDBDB"/>
            </w:tcBorders>
            <w:shd w:val="clear" w:color="auto" w:fill="DBDBDB"/>
          </w:tcPr>
          <w:p>
            <w:pPr>
              <w:spacing w:after="0"/>
              <w:rPr>
                <w:sz w:val="19"/>
                <w:szCs w:val="19"/>
                <w:color w:val="auto"/>
              </w:rPr>
            </w:pPr>
          </w:p>
        </w:tc>
        <w:tc>
          <w:tcPr>
            <w:tcW w:w="2960" w:type="dxa"/>
            <w:vAlign w:val="bottom"/>
            <w:tcBorders>
              <w:bottom w:val="single" w:sz="8" w:color="0000FF"/>
            </w:tcBorders>
            <w:gridSpan w:val="16"/>
            <w:shd w:val="clear" w:color="auto" w:fill="DBDBDB"/>
          </w:tcPr>
          <w:p>
            <w:pPr>
              <w:spacing w:after="0"/>
              <w:rPr>
                <w:sz w:val="20"/>
                <w:szCs w:val="20"/>
                <w:color w:val="auto"/>
              </w:rPr>
            </w:pPr>
            <w:r>
              <w:rPr>
                <w:rFonts w:ascii="Arial" w:cs="Arial" w:eastAsia="Arial" w:hAnsi="Arial"/>
                <w:sz w:val="18"/>
                <w:szCs w:val="18"/>
                <w:b w:val="1"/>
                <w:bCs w:val="1"/>
                <w:color w:val="0000FF"/>
                <w:w w:val="98"/>
              </w:rPr>
              <w:t>PART I. FINANCIAL INFORMATION</w:t>
            </w:r>
          </w:p>
        </w:tc>
        <w:tc>
          <w:tcPr>
            <w:tcW w:w="3640" w:type="dxa"/>
            <w:vAlign w:val="bottom"/>
            <w:tcBorders>
              <w:bottom w:val="single" w:sz="8" w:color="DBDBDB"/>
            </w:tcBorders>
            <w:gridSpan w:val="3"/>
            <w:shd w:val="clear" w:color="auto" w:fill="DBDBDB"/>
          </w:tcPr>
          <w:p>
            <w:pPr>
              <w:spacing w:after="0"/>
              <w:rPr>
                <w:sz w:val="19"/>
                <w:szCs w:val="19"/>
                <w:color w:val="auto"/>
              </w:rPr>
            </w:pPr>
          </w:p>
        </w:tc>
        <w:tc>
          <w:tcPr>
            <w:tcW w:w="4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4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DBDBDB"/>
            </w:tcBorders>
            <w:shd w:val="clear" w:color="auto" w:fill="DBDBDB"/>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20" w:type="dxa"/>
            <w:vAlign w:val="bottom"/>
            <w:gridSpan w:val="4"/>
          </w:tcPr>
          <w:p>
            <w:pPr>
              <w:spacing w:after="0" w:line="189" w:lineRule="exact"/>
              <w:rPr>
                <w:sz w:val="20"/>
                <w:szCs w:val="20"/>
                <w:color w:val="auto"/>
              </w:rPr>
            </w:pPr>
            <w:r>
              <w:rPr>
                <w:rFonts w:ascii="Arial" w:cs="Arial" w:eastAsia="Arial" w:hAnsi="Arial"/>
                <w:sz w:val="18"/>
                <w:szCs w:val="18"/>
                <w:color w:val="0000FF"/>
              </w:rPr>
              <w:t>Item 1.</w:t>
            </w:r>
          </w:p>
        </w:tc>
        <w:tc>
          <w:tcPr>
            <w:tcW w:w="9760" w:type="dxa"/>
            <w:vAlign w:val="bottom"/>
            <w:gridSpan w:val="37"/>
          </w:tcPr>
          <w:p>
            <w:pPr>
              <w:ind w:left="40"/>
              <w:spacing w:after="0" w:line="189" w:lineRule="exact"/>
              <w:rPr>
                <w:sz w:val="20"/>
                <w:szCs w:val="20"/>
                <w:color w:val="auto"/>
              </w:rPr>
            </w:pPr>
            <w:r>
              <w:rPr>
                <w:rFonts w:ascii="Arial" w:cs="Arial" w:eastAsia="Arial" w:hAnsi="Arial"/>
                <w:sz w:val="18"/>
                <w:szCs w:val="18"/>
                <w:color w:val="0000FF"/>
              </w:rPr>
              <w:t>Condensed Consolidated Financial Statements (Unaudited)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3340" w:type="dxa"/>
            <w:vAlign w:val="bottom"/>
            <w:gridSpan w:val="20"/>
            <w:shd w:val="clear" w:color="auto" w:fill="DBDBDB"/>
          </w:tcPr>
          <w:p>
            <w:pPr>
              <w:spacing w:after="0" w:line="189" w:lineRule="exact"/>
              <w:rPr>
                <w:sz w:val="20"/>
                <w:szCs w:val="20"/>
                <w:color w:val="auto"/>
              </w:rPr>
            </w:pPr>
            <w:r>
              <w:rPr>
                <w:rFonts w:ascii="Arial" w:cs="Arial" w:eastAsia="Arial" w:hAnsi="Arial"/>
                <w:sz w:val="18"/>
                <w:szCs w:val="18"/>
                <w:color w:val="0000FF"/>
                <w:w w:val="99"/>
              </w:rPr>
              <w:t>Condensed Consolidated Balance Sheets</w:t>
            </w:r>
          </w:p>
        </w:tc>
        <w:tc>
          <w:tcPr>
            <w:tcW w:w="6220" w:type="dxa"/>
            <w:vAlign w:val="bottom"/>
            <w:gridSpan w:val="15"/>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5</w:t>
            </w:r>
          </w:p>
        </w:tc>
        <w:tc>
          <w:tcPr>
            <w:tcW w:w="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2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Condensed Consolidated Statements of Operations</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6</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180" w:type="dxa"/>
            <w:vAlign w:val="bottom"/>
            <w:gridSpan w:val="25"/>
            <w:shd w:val="clear" w:color="auto" w:fill="DBDBDB"/>
          </w:tcPr>
          <w:p>
            <w:pPr>
              <w:spacing w:after="0" w:line="189" w:lineRule="exact"/>
              <w:rPr>
                <w:sz w:val="20"/>
                <w:szCs w:val="20"/>
                <w:color w:val="auto"/>
              </w:rPr>
            </w:pPr>
            <w:r>
              <w:rPr>
                <w:rFonts w:ascii="Arial" w:cs="Arial" w:eastAsia="Arial" w:hAnsi="Arial"/>
                <w:sz w:val="18"/>
                <w:szCs w:val="18"/>
                <w:color w:val="0000FF"/>
                <w:w w:val="99"/>
              </w:rPr>
              <w:t>Condensed Consolidated Statements of Cash Flows</w:t>
            </w:r>
          </w:p>
        </w:tc>
        <w:tc>
          <w:tcPr>
            <w:tcW w:w="5380" w:type="dxa"/>
            <w:vAlign w:val="bottom"/>
            <w:gridSpan w:val="10"/>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7</w:t>
            </w:r>
          </w:p>
        </w:tc>
        <w:tc>
          <w:tcPr>
            <w:tcW w:w="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2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Condensed Consolidated Statements of Stockholders’ Equity</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8</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9720" w:type="dxa"/>
            <w:vAlign w:val="bottom"/>
            <w:gridSpan w:val="36"/>
            <w:shd w:val="clear" w:color="auto" w:fill="DBDBDB"/>
          </w:tcPr>
          <w:p>
            <w:pPr>
              <w:spacing w:after="0" w:line="189" w:lineRule="exact"/>
              <w:rPr>
                <w:sz w:val="20"/>
                <w:szCs w:val="20"/>
                <w:color w:val="auto"/>
              </w:rPr>
            </w:pPr>
            <w:r>
              <w:rPr>
                <w:rFonts w:ascii="Arial" w:cs="Arial" w:eastAsia="Arial" w:hAnsi="Arial"/>
                <w:sz w:val="18"/>
                <w:szCs w:val="18"/>
                <w:color w:val="0000FF"/>
              </w:rPr>
              <w:t>Notes to Condensed Consolidated Financial Statements (Unaudited)</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2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440" w:type="dxa"/>
            <w:vAlign w:val="bottom"/>
            <w:tcBorders>
              <w:top w:val="single" w:sz="8" w:color="0000FF"/>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Note 1. Basis of Presentation and Summary of Significant Accounting Policies</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9</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4020" w:type="dxa"/>
            <w:vAlign w:val="bottom"/>
            <w:tcBorders>
              <w:bottom w:val="single" w:sz="8" w:color="0000FF"/>
            </w:tcBorders>
            <w:gridSpan w:val="23"/>
            <w:shd w:val="clear" w:color="auto" w:fill="DBDBDB"/>
          </w:tcPr>
          <w:p>
            <w:pPr>
              <w:spacing w:after="0" w:line="189" w:lineRule="exact"/>
              <w:rPr>
                <w:sz w:val="20"/>
                <w:szCs w:val="20"/>
                <w:color w:val="auto"/>
              </w:rPr>
            </w:pPr>
            <w:r>
              <w:rPr>
                <w:rFonts w:ascii="Arial" w:cs="Arial" w:eastAsia="Arial" w:hAnsi="Arial"/>
                <w:sz w:val="18"/>
                <w:szCs w:val="18"/>
                <w:color w:val="0000FF"/>
                <w:w w:val="99"/>
              </w:rPr>
              <w:t>Note 2. Natural Gas and Oil Property Transactions</w:t>
            </w:r>
          </w:p>
        </w:tc>
        <w:tc>
          <w:tcPr>
            <w:tcW w:w="5540" w:type="dxa"/>
            <w:vAlign w:val="bottom"/>
            <w:tcBorders>
              <w:bottom w:val="single" w:sz="8" w:color="DBDBDB"/>
            </w:tcBorders>
            <w:gridSpan w:val="12"/>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10</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Note 3. Earnings Per Share</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10</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20" w:type="dxa"/>
            <w:vAlign w:val="bottom"/>
            <w:gridSpan w:val="3"/>
            <w:shd w:val="clear" w:color="auto" w:fill="DBDBDB"/>
          </w:tcPr>
          <w:p>
            <w:pPr>
              <w:spacing w:after="0" w:line="189" w:lineRule="exact"/>
              <w:rPr>
                <w:sz w:val="20"/>
                <w:szCs w:val="20"/>
                <w:color w:val="auto"/>
              </w:rPr>
            </w:pPr>
            <w:r>
              <w:rPr>
                <w:rFonts w:ascii="Arial" w:cs="Arial" w:eastAsia="Arial" w:hAnsi="Arial"/>
                <w:sz w:val="18"/>
                <w:szCs w:val="18"/>
                <w:color w:val="0000FF"/>
                <w:w w:val="98"/>
              </w:rPr>
              <w:t>Note 4. Debt</w:t>
            </w:r>
          </w:p>
        </w:tc>
        <w:tc>
          <w:tcPr>
            <w:tcW w:w="8540" w:type="dxa"/>
            <w:vAlign w:val="bottom"/>
            <w:gridSpan w:val="32"/>
            <w:shd w:val="clear" w:color="auto" w:fill="DBDBDB"/>
          </w:tcPr>
          <w:p>
            <w:pPr>
              <w:spacing w:after="0"/>
              <w:rPr>
                <w:sz w:val="16"/>
                <w:szCs w:val="16"/>
                <w:color w:val="auto"/>
              </w:rPr>
            </w:pPr>
          </w:p>
        </w:tc>
        <w:tc>
          <w:tcPr>
            <w:tcW w:w="200" w:type="dxa"/>
            <w:vAlign w:val="bottom"/>
            <w:gridSpan w:val="4"/>
            <w:shd w:val="clear" w:color="auto" w:fill="DBDBDB"/>
          </w:tcPr>
          <w:p>
            <w:pPr>
              <w:jc w:val="center"/>
              <w:ind w:right="20"/>
              <w:spacing w:after="0" w:line="189" w:lineRule="exact"/>
              <w:rPr>
                <w:sz w:val="20"/>
                <w:szCs w:val="20"/>
                <w:color w:val="auto"/>
              </w:rPr>
            </w:pPr>
            <w:r>
              <w:rPr>
                <w:rFonts w:ascii="Arial" w:cs="Arial" w:eastAsia="Arial" w:hAnsi="Arial"/>
                <w:sz w:val="18"/>
                <w:szCs w:val="18"/>
                <w:color w:val="0000FF"/>
                <w:w w:val="89"/>
              </w:rPr>
              <w:t>11</w:t>
            </w:r>
          </w:p>
        </w:tc>
        <w:tc>
          <w:tcPr>
            <w:tcW w:w="340" w:type="dxa"/>
            <w:vAlign w:val="bottom"/>
            <w:shd w:val="clear" w:color="auto" w:fill="DBDBDB"/>
          </w:tcPr>
          <w:p>
            <w:pPr>
              <w:spacing w:after="0"/>
              <w:rPr>
                <w:sz w:val="16"/>
                <w:szCs w:val="16"/>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Note 5. Contingencies and Commitments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12</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56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Note 6. Other Current Liabilities</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13</w:t>
            </w:r>
          </w:p>
        </w:tc>
      </w:tr>
      <w:tr>
        <w:trPr>
          <w:trHeight w:val="189"/>
        </w:trPr>
        <w:tc>
          <w:tcPr>
            <w:tcW w:w="20" w:type="dxa"/>
            <w:vAlign w:val="bottom"/>
            <w:tcBorders>
              <w:top w:val="single" w:sz="8" w:color="DBDBDB"/>
            </w:tcBorders>
          </w:tcPr>
          <w:p>
            <w:pPr>
              <w:spacing w:after="0"/>
              <w:rPr>
                <w:sz w:val="16"/>
                <w:szCs w:val="16"/>
                <w:color w:val="auto"/>
              </w:rPr>
            </w:pPr>
          </w:p>
        </w:tc>
        <w:tc>
          <w:tcPr>
            <w:tcW w:w="56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180" w:type="dxa"/>
            <w:vAlign w:val="bottom"/>
            <w:tcBorders>
              <w:top w:val="single" w:sz="8" w:color="DBDBDB"/>
            </w:tcBorders>
          </w:tcPr>
          <w:p>
            <w:pPr>
              <w:spacing w:after="0"/>
              <w:rPr>
                <w:sz w:val="16"/>
                <w:szCs w:val="16"/>
                <w:color w:val="auto"/>
              </w:rPr>
            </w:pPr>
          </w:p>
        </w:tc>
        <w:tc>
          <w:tcPr>
            <w:tcW w:w="60" w:type="dxa"/>
            <w:vAlign w:val="bottom"/>
            <w:tcBorders>
              <w:top w:val="single" w:sz="8" w:color="DBDBDB"/>
            </w:tcBorders>
          </w:tcPr>
          <w:p>
            <w:pPr>
              <w:spacing w:after="0"/>
              <w:rPr>
                <w:sz w:val="16"/>
                <w:szCs w:val="16"/>
                <w:color w:val="auto"/>
              </w:rPr>
            </w:pPr>
          </w:p>
        </w:tc>
        <w:tc>
          <w:tcPr>
            <w:tcW w:w="4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2520" w:type="dxa"/>
            <w:vAlign w:val="bottom"/>
            <w:tcBorders>
              <w:top w:val="single" w:sz="8" w:color="0000FF"/>
            </w:tcBorders>
            <w:gridSpan w:val="14"/>
          </w:tcPr>
          <w:p>
            <w:pPr>
              <w:spacing w:after="0" w:line="189" w:lineRule="exact"/>
              <w:rPr>
                <w:sz w:val="20"/>
                <w:szCs w:val="20"/>
                <w:color w:val="auto"/>
              </w:rPr>
            </w:pPr>
            <w:r>
              <w:rPr>
                <w:rFonts w:ascii="Arial" w:cs="Arial" w:eastAsia="Arial" w:hAnsi="Arial"/>
                <w:sz w:val="18"/>
                <w:szCs w:val="18"/>
                <w:color w:val="0000FF"/>
              </w:rPr>
              <w:t>Note 7. Revenue</w:t>
            </w:r>
          </w:p>
        </w:tc>
        <w:tc>
          <w:tcPr>
            <w:tcW w:w="7040" w:type="dxa"/>
            <w:vAlign w:val="bottom"/>
            <w:tcBorders>
              <w:top w:val="single" w:sz="8" w:color="DBDBDB"/>
            </w:tcBorders>
            <w:gridSpan w:val="21"/>
          </w:tcPr>
          <w:p>
            <w:pPr>
              <w:spacing w:after="0"/>
              <w:rPr>
                <w:sz w:val="16"/>
                <w:szCs w:val="16"/>
                <w:color w:val="auto"/>
              </w:rPr>
            </w:pPr>
          </w:p>
        </w:tc>
        <w:tc>
          <w:tcPr>
            <w:tcW w:w="200" w:type="dxa"/>
            <w:vAlign w:val="bottom"/>
            <w:tcBorders>
              <w:top w:val="single" w:sz="8" w:color="0000FF"/>
            </w:tcBorders>
            <w:gridSpan w:val="4"/>
          </w:tcPr>
          <w:p>
            <w:pPr>
              <w:jc w:val="center"/>
              <w:spacing w:after="0" w:line="189" w:lineRule="exact"/>
              <w:rPr>
                <w:sz w:val="20"/>
                <w:szCs w:val="20"/>
                <w:color w:val="auto"/>
              </w:rPr>
            </w:pPr>
            <w:r>
              <w:rPr>
                <w:rFonts w:ascii="Arial" w:cs="Arial" w:eastAsia="Arial" w:hAnsi="Arial"/>
                <w:sz w:val="18"/>
                <w:szCs w:val="18"/>
                <w:color w:val="0000FF"/>
                <w:w w:val="99"/>
              </w:rPr>
              <w:t>13</w:t>
            </w:r>
          </w:p>
        </w:tc>
        <w:tc>
          <w:tcPr>
            <w:tcW w:w="340" w:type="dxa"/>
            <w:vAlign w:val="bottom"/>
            <w:tcBorders>
              <w:top w:val="single" w:sz="8" w:color="DBDBDB"/>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56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Note 8. Income Taxes</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14</w:t>
            </w:r>
          </w:p>
        </w:tc>
      </w:tr>
      <w:tr>
        <w:trPr>
          <w:trHeight w:val="189"/>
        </w:trPr>
        <w:tc>
          <w:tcPr>
            <w:tcW w:w="20" w:type="dxa"/>
            <w:vAlign w:val="bottom"/>
            <w:tcBorders>
              <w:top w:val="single" w:sz="8" w:color="DBDBDB"/>
            </w:tcBorders>
          </w:tcPr>
          <w:p>
            <w:pPr>
              <w:spacing w:after="0"/>
              <w:rPr>
                <w:sz w:val="16"/>
                <w:szCs w:val="16"/>
                <w:color w:val="auto"/>
              </w:rPr>
            </w:pPr>
          </w:p>
        </w:tc>
        <w:tc>
          <w:tcPr>
            <w:tcW w:w="56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180" w:type="dxa"/>
            <w:vAlign w:val="bottom"/>
            <w:tcBorders>
              <w:top w:val="single" w:sz="8" w:color="DBDBDB"/>
            </w:tcBorders>
          </w:tcPr>
          <w:p>
            <w:pPr>
              <w:spacing w:after="0"/>
              <w:rPr>
                <w:sz w:val="16"/>
                <w:szCs w:val="16"/>
                <w:color w:val="auto"/>
              </w:rPr>
            </w:pPr>
          </w:p>
        </w:tc>
        <w:tc>
          <w:tcPr>
            <w:tcW w:w="60" w:type="dxa"/>
            <w:vAlign w:val="bottom"/>
            <w:tcBorders>
              <w:top w:val="single" w:sz="8" w:color="DBDBDB"/>
            </w:tcBorders>
          </w:tcPr>
          <w:p>
            <w:pPr>
              <w:spacing w:after="0"/>
              <w:rPr>
                <w:sz w:val="16"/>
                <w:szCs w:val="16"/>
                <w:color w:val="auto"/>
              </w:rPr>
            </w:pPr>
          </w:p>
        </w:tc>
        <w:tc>
          <w:tcPr>
            <w:tcW w:w="4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1740" w:type="dxa"/>
            <w:vAlign w:val="bottom"/>
            <w:tcBorders>
              <w:top w:val="single" w:sz="8" w:color="0000FF"/>
            </w:tcBorders>
            <w:gridSpan w:val="9"/>
          </w:tcPr>
          <w:p>
            <w:pPr>
              <w:spacing w:after="0" w:line="189" w:lineRule="exact"/>
              <w:rPr>
                <w:sz w:val="20"/>
                <w:szCs w:val="20"/>
                <w:color w:val="auto"/>
              </w:rPr>
            </w:pPr>
            <w:r>
              <w:rPr>
                <w:rFonts w:ascii="Arial" w:cs="Arial" w:eastAsia="Arial" w:hAnsi="Arial"/>
                <w:sz w:val="18"/>
                <w:szCs w:val="18"/>
                <w:color w:val="0000FF"/>
              </w:rPr>
              <w:t>Note 9. Equity</w:t>
            </w:r>
          </w:p>
        </w:tc>
        <w:tc>
          <w:tcPr>
            <w:tcW w:w="7820" w:type="dxa"/>
            <w:vAlign w:val="bottom"/>
            <w:tcBorders>
              <w:top w:val="single" w:sz="8" w:color="DBDBDB"/>
            </w:tcBorders>
            <w:gridSpan w:val="26"/>
          </w:tcPr>
          <w:p>
            <w:pPr>
              <w:spacing w:after="0"/>
              <w:rPr>
                <w:sz w:val="16"/>
                <w:szCs w:val="16"/>
                <w:color w:val="auto"/>
              </w:rPr>
            </w:pPr>
          </w:p>
        </w:tc>
        <w:tc>
          <w:tcPr>
            <w:tcW w:w="200" w:type="dxa"/>
            <w:vAlign w:val="bottom"/>
            <w:tcBorders>
              <w:top w:val="single" w:sz="8" w:color="0000FF"/>
            </w:tcBorders>
            <w:gridSpan w:val="4"/>
          </w:tcPr>
          <w:p>
            <w:pPr>
              <w:jc w:val="center"/>
              <w:spacing w:after="0" w:line="189" w:lineRule="exact"/>
              <w:rPr>
                <w:sz w:val="20"/>
                <w:szCs w:val="20"/>
                <w:color w:val="auto"/>
              </w:rPr>
            </w:pPr>
            <w:r>
              <w:rPr>
                <w:rFonts w:ascii="Arial" w:cs="Arial" w:eastAsia="Arial" w:hAnsi="Arial"/>
                <w:sz w:val="18"/>
                <w:szCs w:val="18"/>
                <w:color w:val="0000FF"/>
                <w:w w:val="99"/>
              </w:rPr>
              <w:t>15</w:t>
            </w:r>
          </w:p>
        </w:tc>
        <w:tc>
          <w:tcPr>
            <w:tcW w:w="340" w:type="dxa"/>
            <w:vAlign w:val="bottom"/>
            <w:tcBorders>
              <w:top w:val="single" w:sz="8" w:color="DBDBDB"/>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3000" w:type="dxa"/>
            <w:vAlign w:val="bottom"/>
            <w:tcBorders>
              <w:bottom w:val="single" w:sz="8" w:color="0000FF"/>
            </w:tcBorders>
            <w:gridSpan w:val="17"/>
            <w:shd w:val="clear" w:color="auto" w:fill="DBDBDB"/>
          </w:tcPr>
          <w:p>
            <w:pPr>
              <w:spacing w:after="0" w:line="189" w:lineRule="exact"/>
              <w:rPr>
                <w:sz w:val="20"/>
                <w:szCs w:val="20"/>
                <w:color w:val="auto"/>
              </w:rPr>
            </w:pPr>
            <w:r>
              <w:rPr>
                <w:rFonts w:ascii="Arial" w:cs="Arial" w:eastAsia="Arial" w:hAnsi="Arial"/>
                <w:sz w:val="18"/>
                <w:szCs w:val="18"/>
                <w:color w:val="0000FF"/>
                <w:w w:val="99"/>
              </w:rPr>
              <w:t>Note 10. Share-Based Compensation</w:t>
            </w:r>
          </w:p>
        </w:tc>
        <w:tc>
          <w:tcPr>
            <w:tcW w:w="6560" w:type="dxa"/>
            <w:vAlign w:val="bottom"/>
            <w:tcBorders>
              <w:bottom w:val="single" w:sz="8" w:color="DBDBDB"/>
            </w:tcBorders>
            <w:gridSpan w:val="18"/>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15</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Note 11. Derivative and Hedging Activities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17</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56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Note 12. Investments</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19</w:t>
            </w: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Note 13. Supplemental Cash Flow Information</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20</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56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Note 14. Segment Information</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20</w:t>
            </w: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gridSpan w:val="4"/>
          </w:tcPr>
          <w:p>
            <w:pPr>
              <w:spacing w:after="0" w:line="189" w:lineRule="exact"/>
              <w:rPr>
                <w:sz w:val="20"/>
                <w:szCs w:val="20"/>
                <w:color w:val="auto"/>
              </w:rPr>
            </w:pPr>
            <w:r>
              <w:rPr>
                <w:rFonts w:ascii="Arial" w:cs="Arial" w:eastAsia="Arial" w:hAnsi="Arial"/>
                <w:sz w:val="18"/>
                <w:szCs w:val="18"/>
                <w:color w:val="0000FF"/>
              </w:rPr>
              <w:t>Item 2.</w:t>
            </w:r>
          </w:p>
        </w:tc>
        <w:tc>
          <w:tcPr>
            <w:tcW w:w="9760" w:type="dxa"/>
            <w:vAlign w:val="bottom"/>
            <w:gridSpan w:val="37"/>
          </w:tcPr>
          <w:p>
            <w:pPr>
              <w:ind w:left="4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21</w:t>
            </w: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2540" w:type="dxa"/>
            <w:vAlign w:val="bottom"/>
            <w:tcBorders>
              <w:bottom w:val="single" w:sz="8" w:color="0000FF"/>
            </w:tcBorders>
            <w:gridSpan w:val="15"/>
            <w:shd w:val="clear" w:color="auto" w:fill="DBDBDB"/>
          </w:tcPr>
          <w:p>
            <w:pPr>
              <w:spacing w:after="0" w:line="189" w:lineRule="exact"/>
              <w:rPr>
                <w:sz w:val="20"/>
                <w:szCs w:val="20"/>
                <w:color w:val="auto"/>
              </w:rPr>
            </w:pPr>
            <w:r>
              <w:rPr>
                <w:rFonts w:ascii="Arial" w:cs="Arial" w:eastAsia="Arial" w:hAnsi="Arial"/>
                <w:sz w:val="18"/>
                <w:szCs w:val="18"/>
                <w:color w:val="0000FF"/>
                <w:w w:val="99"/>
              </w:rPr>
              <w:t>Liquidity and Capital Resources</w:t>
            </w:r>
          </w:p>
        </w:tc>
        <w:tc>
          <w:tcPr>
            <w:tcW w:w="7020" w:type="dxa"/>
            <w:vAlign w:val="bottom"/>
            <w:tcBorders>
              <w:bottom w:val="single" w:sz="8" w:color="DBDBDB"/>
            </w:tcBorders>
            <w:gridSpan w:val="20"/>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23</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Results of Operations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27</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0000FF"/>
            </w:tcBorders>
            <w:shd w:val="clear" w:color="auto" w:fill="DBDBDB"/>
          </w:tcPr>
          <w:p>
            <w:pPr>
              <w:spacing w:after="0" w:line="189" w:lineRule="exact"/>
              <w:rPr>
                <w:sz w:val="20"/>
                <w:szCs w:val="20"/>
                <w:color w:val="auto"/>
              </w:rPr>
            </w:pPr>
            <w:r>
              <w:rPr>
                <w:rFonts w:ascii="Arial" w:cs="Arial" w:eastAsia="Arial" w:hAnsi="Arial"/>
                <w:sz w:val="18"/>
                <w:szCs w:val="18"/>
                <w:color w:val="0000FF"/>
                <w:w w:val="98"/>
              </w:rPr>
              <w:t>Item 3.</w:t>
            </w:r>
          </w:p>
        </w:tc>
        <w:tc>
          <w:tcPr>
            <w:tcW w:w="360" w:type="dxa"/>
            <w:vAlign w:val="bottom"/>
            <w:tcBorders>
              <w:bottom w:val="single" w:sz="8" w:color="DBDBDB"/>
            </w:tcBorders>
            <w:gridSpan w:val="3"/>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4720" w:type="dxa"/>
            <w:vAlign w:val="bottom"/>
            <w:tcBorders>
              <w:bottom w:val="single" w:sz="8" w:color="0000FF"/>
            </w:tcBorders>
            <w:gridSpan w:val="27"/>
            <w:shd w:val="clear" w:color="auto" w:fill="DBDBDB"/>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5000" w:type="dxa"/>
            <w:vAlign w:val="bottom"/>
            <w:tcBorders>
              <w:bottom w:val="single" w:sz="8" w:color="DBDBDB"/>
            </w:tcBorders>
            <w:gridSpan w:val="9"/>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33</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20" w:type="dxa"/>
            <w:vAlign w:val="bottom"/>
            <w:gridSpan w:val="4"/>
          </w:tcPr>
          <w:p>
            <w:pPr>
              <w:spacing w:after="0" w:line="189" w:lineRule="exact"/>
              <w:rPr>
                <w:sz w:val="20"/>
                <w:szCs w:val="20"/>
                <w:color w:val="auto"/>
              </w:rPr>
            </w:pPr>
            <w:r>
              <w:rPr>
                <w:rFonts w:ascii="Arial" w:cs="Arial" w:eastAsia="Arial" w:hAnsi="Arial"/>
                <w:sz w:val="18"/>
                <w:szCs w:val="18"/>
                <w:color w:val="0000FF"/>
              </w:rPr>
              <w:t>Item 4.</w:t>
            </w:r>
          </w:p>
        </w:tc>
        <w:tc>
          <w:tcPr>
            <w:tcW w:w="9760" w:type="dxa"/>
            <w:vAlign w:val="bottom"/>
            <w:gridSpan w:val="37"/>
          </w:tcPr>
          <w:p>
            <w:pPr>
              <w:ind w:left="40"/>
              <w:spacing w:after="0" w:line="189" w:lineRule="exact"/>
              <w:rPr>
                <w:sz w:val="20"/>
                <w:szCs w:val="20"/>
                <w:color w:val="auto"/>
              </w:rPr>
            </w:pPr>
            <w:r>
              <w:rPr>
                <w:rFonts w:ascii="Arial" w:cs="Arial" w:eastAsia="Arial" w:hAnsi="Arial"/>
                <w:sz w:val="18"/>
                <w:szCs w:val="18"/>
                <w:color w:val="0000FF"/>
              </w:rPr>
              <w:t>Controls and Procedures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34</w:t>
            </w: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380" w:type="dxa"/>
            <w:vAlign w:val="bottom"/>
            <w:gridSpan w:val="17"/>
            <w:shd w:val="clear" w:color="auto" w:fill="DBDBDB"/>
          </w:tcPr>
          <w:p>
            <w:pPr>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r>
      <w:tr>
        <w:trPr>
          <w:trHeight w:val="189"/>
        </w:trPr>
        <w:tc>
          <w:tcPr>
            <w:tcW w:w="20" w:type="dxa"/>
            <w:vAlign w:val="bottom"/>
            <w:tcBorders>
              <w:top w:val="single" w:sz="8" w:color="DBDBDB"/>
            </w:tcBorders>
          </w:tcPr>
          <w:p>
            <w:pPr>
              <w:spacing w:after="0"/>
              <w:rPr>
                <w:sz w:val="16"/>
                <w:szCs w:val="16"/>
                <w:color w:val="auto"/>
              </w:rPr>
            </w:pPr>
          </w:p>
        </w:tc>
        <w:tc>
          <w:tcPr>
            <w:tcW w:w="920" w:type="dxa"/>
            <w:vAlign w:val="bottom"/>
            <w:tcBorders>
              <w:top w:val="single" w:sz="8" w:color="DBDBDB"/>
            </w:tcBorders>
            <w:gridSpan w:val="4"/>
          </w:tcPr>
          <w:p>
            <w:pPr>
              <w:spacing w:after="0" w:line="189" w:lineRule="exact"/>
              <w:rPr>
                <w:sz w:val="20"/>
                <w:szCs w:val="20"/>
                <w:color w:val="auto"/>
              </w:rPr>
            </w:pPr>
            <w:r>
              <w:rPr>
                <w:rFonts w:ascii="Arial" w:cs="Arial" w:eastAsia="Arial" w:hAnsi="Arial"/>
                <w:sz w:val="18"/>
                <w:szCs w:val="18"/>
                <w:color w:val="0000FF"/>
              </w:rPr>
              <w:t>Item 1.</w:t>
            </w:r>
          </w:p>
        </w:tc>
        <w:tc>
          <w:tcPr>
            <w:tcW w:w="3380" w:type="dxa"/>
            <w:vAlign w:val="bottom"/>
            <w:tcBorders>
              <w:top w:val="single" w:sz="8" w:color="DBDBDB"/>
            </w:tcBorders>
            <w:gridSpan w:val="20"/>
          </w:tcPr>
          <w:p>
            <w:pPr>
              <w:ind w:left="40"/>
              <w:spacing w:after="0" w:line="189" w:lineRule="exact"/>
              <w:rPr>
                <w:sz w:val="20"/>
                <w:szCs w:val="20"/>
                <w:color w:val="auto"/>
              </w:rPr>
            </w:pPr>
            <w:r>
              <w:rPr>
                <w:rFonts w:ascii="Arial" w:cs="Arial" w:eastAsia="Arial" w:hAnsi="Arial"/>
                <w:sz w:val="18"/>
                <w:szCs w:val="18"/>
                <w:color w:val="0000FF"/>
              </w:rPr>
              <w:t>Legal Proceedings</w:t>
            </w:r>
          </w:p>
        </w:tc>
        <w:tc>
          <w:tcPr>
            <w:tcW w:w="2660" w:type="dxa"/>
            <w:vAlign w:val="bottom"/>
            <w:tcBorders>
              <w:top w:val="single" w:sz="8" w:color="0000FF"/>
            </w:tcBorders>
            <w:gridSpan w:val="13"/>
          </w:tcPr>
          <w:p>
            <w:pPr>
              <w:spacing w:after="0"/>
              <w:rPr>
                <w:sz w:val="16"/>
                <w:szCs w:val="16"/>
                <w:color w:val="auto"/>
              </w:rPr>
            </w:pPr>
          </w:p>
        </w:tc>
        <w:tc>
          <w:tcPr>
            <w:tcW w:w="3720" w:type="dxa"/>
            <w:vAlign w:val="bottom"/>
            <w:tcBorders>
              <w:top w:val="single" w:sz="8" w:color="DBDBDB"/>
            </w:tcBorders>
            <w:gridSpan w:val="4"/>
          </w:tcPr>
          <w:p>
            <w:pPr>
              <w:spacing w:after="0"/>
              <w:rPr>
                <w:sz w:val="16"/>
                <w:szCs w:val="16"/>
                <w:color w:val="auto"/>
              </w:rPr>
            </w:pPr>
          </w:p>
        </w:tc>
        <w:tc>
          <w:tcPr>
            <w:tcW w:w="540" w:type="dxa"/>
            <w:vAlign w:val="bottom"/>
            <w:tcBorders>
              <w:top w:val="single" w:sz="8" w:color="DBDBDB"/>
            </w:tcBorders>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680" w:type="dxa"/>
            <w:vAlign w:val="bottom"/>
            <w:gridSpan w:val="2"/>
            <w:shd w:val="clear" w:color="auto" w:fill="DBDBDB"/>
          </w:tcPr>
          <w:p>
            <w:pPr>
              <w:spacing w:after="0" w:line="189" w:lineRule="exact"/>
              <w:rPr>
                <w:sz w:val="20"/>
                <w:szCs w:val="20"/>
                <w:color w:val="auto"/>
              </w:rPr>
            </w:pPr>
            <w:r>
              <w:rPr>
                <w:rFonts w:ascii="Arial" w:cs="Arial" w:eastAsia="Arial" w:hAnsi="Arial"/>
                <w:sz w:val="18"/>
                <w:szCs w:val="18"/>
                <w:color w:val="0000FF"/>
                <w:w w:val="98"/>
              </w:rPr>
              <w:t>Item 1A.</w:t>
            </w:r>
          </w:p>
        </w:tc>
        <w:tc>
          <w:tcPr>
            <w:tcW w:w="240" w:type="dxa"/>
            <w:vAlign w:val="bottom"/>
            <w:gridSpan w:val="2"/>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9720" w:type="dxa"/>
            <w:vAlign w:val="bottom"/>
            <w:gridSpan w:val="36"/>
            <w:shd w:val="clear" w:color="auto" w:fill="DBDBDB"/>
          </w:tcPr>
          <w:p>
            <w:pPr>
              <w:spacing w:after="0" w:line="189" w:lineRule="exact"/>
              <w:rPr>
                <w:sz w:val="20"/>
                <w:szCs w:val="20"/>
                <w:color w:val="auto"/>
              </w:rPr>
            </w:pPr>
            <w:r>
              <w:rPr>
                <w:rFonts w:ascii="Arial" w:cs="Arial" w:eastAsia="Arial" w:hAnsi="Arial"/>
                <w:sz w:val="18"/>
                <w:szCs w:val="18"/>
                <w:color w:val="0000FF"/>
              </w:rPr>
              <w:t>Risk Factors</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35</w:t>
            </w: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spacing w:after="0" w:line="189" w:lineRule="exact"/>
              <w:rPr>
                <w:sz w:val="20"/>
                <w:szCs w:val="20"/>
                <w:color w:val="auto"/>
              </w:rPr>
            </w:pPr>
            <w:r>
              <w:rPr>
                <w:rFonts w:ascii="Arial" w:cs="Arial" w:eastAsia="Arial" w:hAnsi="Arial"/>
                <w:sz w:val="18"/>
                <w:szCs w:val="18"/>
                <w:color w:val="0000FF"/>
              </w:rPr>
              <w:t>Item 2.</w:t>
            </w:r>
          </w:p>
        </w:tc>
        <w:tc>
          <w:tcPr>
            <w:tcW w:w="2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9720" w:type="dxa"/>
            <w:vAlign w:val="bottom"/>
            <w:gridSpan w:val="36"/>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36</w:t>
            </w: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0000FF"/>
            </w:tcBorders>
            <w:shd w:val="clear" w:color="auto" w:fill="DBDBDB"/>
          </w:tcPr>
          <w:p>
            <w:pPr>
              <w:spacing w:after="0" w:line="189" w:lineRule="exact"/>
              <w:rPr>
                <w:sz w:val="20"/>
                <w:szCs w:val="20"/>
                <w:color w:val="auto"/>
              </w:rPr>
            </w:pPr>
            <w:r>
              <w:rPr>
                <w:rFonts w:ascii="Arial" w:cs="Arial" w:eastAsia="Arial" w:hAnsi="Arial"/>
                <w:sz w:val="18"/>
                <w:szCs w:val="18"/>
                <w:color w:val="0000FF"/>
                <w:w w:val="98"/>
              </w:rPr>
              <w:t>Item 3.</w:t>
            </w:r>
          </w:p>
        </w:tc>
        <w:tc>
          <w:tcPr>
            <w:tcW w:w="360" w:type="dxa"/>
            <w:vAlign w:val="bottom"/>
            <w:tcBorders>
              <w:bottom w:val="single" w:sz="8" w:color="DBDBDB"/>
            </w:tcBorders>
            <w:gridSpan w:val="3"/>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2560" w:type="dxa"/>
            <w:vAlign w:val="bottom"/>
            <w:tcBorders>
              <w:bottom w:val="single" w:sz="8" w:color="0000FF"/>
            </w:tcBorders>
            <w:gridSpan w:val="14"/>
            <w:shd w:val="clear" w:color="auto" w:fill="DBDBDB"/>
          </w:tcPr>
          <w:p>
            <w:pPr>
              <w:spacing w:after="0" w:line="189" w:lineRule="exact"/>
              <w:rPr>
                <w:sz w:val="20"/>
                <w:szCs w:val="20"/>
                <w:color w:val="auto"/>
              </w:rPr>
            </w:pPr>
            <w:r>
              <w:rPr>
                <w:rFonts w:ascii="Arial" w:cs="Arial" w:eastAsia="Arial" w:hAnsi="Arial"/>
                <w:sz w:val="18"/>
                <w:szCs w:val="18"/>
                <w:color w:val="0000FF"/>
                <w:w w:val="99"/>
              </w:rPr>
              <w:t>Defaults Upon Senior Securities</w:t>
            </w:r>
          </w:p>
        </w:tc>
        <w:tc>
          <w:tcPr>
            <w:tcW w:w="7160" w:type="dxa"/>
            <w:vAlign w:val="bottom"/>
            <w:tcBorders>
              <w:bottom w:val="single" w:sz="8" w:color="DBDBDB"/>
            </w:tcBorders>
            <w:gridSpan w:val="22"/>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36</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20" w:type="dxa"/>
            <w:vAlign w:val="bottom"/>
            <w:gridSpan w:val="4"/>
          </w:tcPr>
          <w:p>
            <w:pPr>
              <w:spacing w:after="0" w:line="189" w:lineRule="exact"/>
              <w:rPr>
                <w:sz w:val="20"/>
                <w:szCs w:val="20"/>
                <w:color w:val="auto"/>
              </w:rPr>
            </w:pPr>
            <w:r>
              <w:rPr>
                <w:rFonts w:ascii="Arial" w:cs="Arial" w:eastAsia="Arial" w:hAnsi="Arial"/>
                <w:sz w:val="18"/>
                <w:szCs w:val="18"/>
                <w:color w:val="0000FF"/>
              </w:rPr>
              <w:t>Item 4.</w:t>
            </w:r>
          </w:p>
        </w:tc>
        <w:tc>
          <w:tcPr>
            <w:tcW w:w="9760" w:type="dxa"/>
            <w:vAlign w:val="bottom"/>
            <w:gridSpan w:val="37"/>
          </w:tcPr>
          <w:p>
            <w:pPr>
              <w:ind w:left="40"/>
              <w:spacing w:after="0" w:line="189" w:lineRule="exact"/>
              <w:rPr>
                <w:sz w:val="20"/>
                <w:szCs w:val="20"/>
                <w:color w:val="auto"/>
              </w:rPr>
            </w:pPr>
            <w:r>
              <w:rPr>
                <w:rFonts w:ascii="Arial" w:cs="Arial" w:eastAsia="Arial" w:hAnsi="Arial"/>
                <w:sz w:val="18"/>
                <w:szCs w:val="18"/>
                <w:color w:val="0000FF"/>
              </w:rPr>
              <w:t>Mine Safety Disclosures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36</w:t>
            </w: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line="189" w:lineRule="exact"/>
              <w:rPr>
                <w:sz w:val="20"/>
                <w:szCs w:val="20"/>
                <w:color w:val="auto"/>
              </w:rPr>
            </w:pPr>
            <w:r>
              <w:rPr>
                <w:rFonts w:ascii="Arial" w:cs="Arial" w:eastAsia="Arial" w:hAnsi="Arial"/>
                <w:sz w:val="18"/>
                <w:szCs w:val="18"/>
                <w:color w:val="0000FF"/>
                <w:w w:val="98"/>
              </w:rPr>
              <w:t>Item 5.</w:t>
            </w:r>
          </w:p>
        </w:tc>
        <w:tc>
          <w:tcPr>
            <w:tcW w:w="360" w:type="dxa"/>
            <w:vAlign w:val="bottom"/>
            <w:gridSpan w:val="3"/>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9720" w:type="dxa"/>
            <w:vAlign w:val="bottom"/>
            <w:gridSpan w:val="36"/>
            <w:shd w:val="clear" w:color="auto" w:fill="DBDBDB"/>
          </w:tcPr>
          <w:p>
            <w:pPr>
              <w:spacing w:after="0" w:line="189" w:lineRule="exact"/>
              <w:rPr>
                <w:sz w:val="20"/>
                <w:szCs w:val="20"/>
                <w:color w:val="auto"/>
              </w:rPr>
            </w:pPr>
            <w:r>
              <w:rPr>
                <w:rFonts w:ascii="Arial" w:cs="Arial" w:eastAsia="Arial" w:hAnsi="Arial"/>
                <w:sz w:val="18"/>
                <w:szCs w:val="18"/>
                <w:color w:val="0000FF"/>
              </w:rPr>
              <w:t>Other Information</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36</w:t>
            </w:r>
          </w:p>
        </w:tc>
      </w:tr>
      <w:tr>
        <w:trPr>
          <w:trHeight w:val="189"/>
        </w:trPr>
        <w:tc>
          <w:tcPr>
            <w:tcW w:w="20" w:type="dxa"/>
            <w:vAlign w:val="bottom"/>
            <w:tcBorders>
              <w:top w:val="single" w:sz="8" w:color="DBDBDB"/>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6.</w:t>
            </w:r>
          </w:p>
        </w:tc>
        <w:tc>
          <w:tcPr>
            <w:tcW w:w="360" w:type="dxa"/>
            <w:vAlign w:val="bottom"/>
            <w:tcBorders>
              <w:top w:val="single" w:sz="8" w:color="DBDBDB"/>
            </w:tcBorders>
            <w:gridSpan w:val="3"/>
          </w:tcPr>
          <w:p>
            <w:pPr>
              <w:spacing w:after="0"/>
              <w:rPr>
                <w:sz w:val="16"/>
                <w:szCs w:val="16"/>
                <w:color w:val="auto"/>
              </w:rPr>
            </w:pPr>
          </w:p>
        </w:tc>
        <w:tc>
          <w:tcPr>
            <w:tcW w:w="40" w:type="dxa"/>
            <w:vAlign w:val="bottom"/>
            <w:tcBorders>
              <w:top w:val="single" w:sz="8" w:color="DBDBDB"/>
            </w:tcBorders>
          </w:tcPr>
          <w:p>
            <w:pPr>
              <w:spacing w:after="0"/>
              <w:rPr>
                <w:sz w:val="16"/>
                <w:szCs w:val="16"/>
                <w:color w:val="auto"/>
              </w:rPr>
            </w:pPr>
          </w:p>
        </w:tc>
        <w:tc>
          <w:tcPr>
            <w:tcW w:w="140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Exhibits</w:t>
            </w:r>
          </w:p>
        </w:tc>
        <w:tc>
          <w:tcPr>
            <w:tcW w:w="8320" w:type="dxa"/>
            <w:vAlign w:val="bottom"/>
            <w:tcBorders>
              <w:top w:val="single" w:sz="8" w:color="DBDBDB"/>
            </w:tcBorders>
            <w:gridSpan w:val="30"/>
          </w:tcPr>
          <w:p>
            <w:pPr>
              <w:spacing w:after="0"/>
              <w:rPr>
                <w:sz w:val="16"/>
                <w:szCs w:val="16"/>
                <w:color w:val="auto"/>
              </w:rPr>
            </w:pPr>
          </w:p>
        </w:tc>
        <w:tc>
          <w:tcPr>
            <w:tcW w:w="200" w:type="dxa"/>
            <w:vAlign w:val="bottom"/>
            <w:tcBorders>
              <w:top w:val="single" w:sz="8" w:color="0000FF"/>
            </w:tcBorders>
            <w:gridSpan w:val="4"/>
          </w:tcPr>
          <w:p>
            <w:pPr>
              <w:jc w:val="center"/>
              <w:spacing w:after="0" w:line="189" w:lineRule="exact"/>
              <w:rPr>
                <w:sz w:val="20"/>
                <w:szCs w:val="20"/>
                <w:color w:val="auto"/>
              </w:rPr>
            </w:pPr>
            <w:r>
              <w:rPr>
                <w:rFonts w:ascii="Arial" w:cs="Arial" w:eastAsia="Arial" w:hAnsi="Arial"/>
                <w:sz w:val="18"/>
                <w:szCs w:val="18"/>
                <w:color w:val="0000FF"/>
                <w:w w:val="99"/>
              </w:rPr>
              <w:t>37</w:t>
            </w:r>
          </w:p>
        </w:tc>
        <w:tc>
          <w:tcPr>
            <w:tcW w:w="340" w:type="dxa"/>
            <w:vAlign w:val="bottom"/>
            <w:tcBorders>
              <w:top w:val="single" w:sz="8" w:color="DBDBDB"/>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920" w:type="dxa"/>
            <w:vAlign w:val="bottom"/>
            <w:gridSpan w:val="4"/>
            <w:shd w:val="clear" w:color="auto" w:fill="DBDBDB"/>
          </w:tcPr>
          <w:p>
            <w:pPr>
              <w:spacing w:after="0" w:line="189" w:lineRule="exact"/>
              <w:rPr>
                <w:sz w:val="20"/>
                <w:szCs w:val="20"/>
                <w:color w:val="auto"/>
              </w:rPr>
            </w:pPr>
            <w:r>
              <w:rPr>
                <w:rFonts w:ascii="Arial" w:cs="Arial" w:eastAsia="Arial" w:hAnsi="Arial"/>
                <w:sz w:val="18"/>
                <w:szCs w:val="18"/>
                <w:color w:val="0000FF"/>
              </w:rPr>
              <w:t>Signatures</w:t>
            </w:r>
          </w:p>
        </w:tc>
        <w:tc>
          <w:tcPr>
            <w:tcW w:w="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2640" w:type="dxa"/>
            <w:vAlign w:val="bottom"/>
            <w:shd w:val="clear" w:color="auto" w:fill="DBDBDB"/>
          </w:tcPr>
          <w:p>
            <w:pPr>
              <w:spacing w:after="0"/>
              <w:rPr>
                <w:sz w:val="18"/>
                <w:szCs w:val="18"/>
                <w:color w:val="auto"/>
              </w:rPr>
            </w:pP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39</w:t>
            </w:r>
          </w:p>
        </w:tc>
      </w:tr>
      <w:tr>
        <w:trPr>
          <w:trHeight w:val="1006"/>
        </w:trPr>
        <w:tc>
          <w:tcPr>
            <w:tcW w:w="20" w:type="dxa"/>
            <w:vAlign w:val="bottom"/>
            <w:tcBorders>
              <w:top w:val="single" w:sz="8" w:color="DBDBDB"/>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DBDBDB"/>
              <w:bottom w:val="single" w:sz="8" w:color="9A9A9A"/>
            </w:tcBorders>
          </w:tcPr>
          <w:p>
            <w:pPr>
              <w:spacing w:after="0"/>
              <w:rPr>
                <w:sz w:val="24"/>
                <w:szCs w:val="24"/>
                <w:color w:val="auto"/>
              </w:rPr>
            </w:pPr>
          </w:p>
        </w:tc>
        <w:tc>
          <w:tcPr>
            <w:tcW w:w="40" w:type="dxa"/>
            <w:vAlign w:val="bottom"/>
            <w:tcBorders>
              <w:top w:val="single" w:sz="8" w:color="DBDBDB"/>
              <w:bottom w:val="single" w:sz="8" w:color="9A9A9A"/>
            </w:tcBorders>
          </w:tcPr>
          <w:p>
            <w:pPr>
              <w:spacing w:after="0"/>
              <w:rPr>
                <w:sz w:val="24"/>
                <w:szCs w:val="24"/>
                <w:color w:val="auto"/>
              </w:rPr>
            </w:pPr>
          </w:p>
        </w:tc>
        <w:tc>
          <w:tcPr>
            <w:tcW w:w="160" w:type="dxa"/>
            <w:vAlign w:val="bottom"/>
            <w:tcBorders>
              <w:top w:val="single" w:sz="8" w:color="DBDBDB"/>
              <w:bottom w:val="single" w:sz="8" w:color="9A9A9A"/>
            </w:tcBorders>
          </w:tcPr>
          <w:p>
            <w:pPr>
              <w:spacing w:after="0"/>
              <w:rPr>
                <w:sz w:val="24"/>
                <w:szCs w:val="24"/>
                <w:color w:val="auto"/>
              </w:rPr>
            </w:pPr>
          </w:p>
        </w:tc>
        <w:tc>
          <w:tcPr>
            <w:tcW w:w="480" w:type="dxa"/>
            <w:vAlign w:val="bottom"/>
            <w:tcBorders>
              <w:top w:val="single" w:sz="8" w:color="DBDBDB"/>
              <w:bottom w:val="single" w:sz="8" w:color="9A9A9A"/>
            </w:tcBorders>
          </w:tcPr>
          <w:p>
            <w:pPr>
              <w:spacing w:after="0"/>
              <w:rPr>
                <w:sz w:val="24"/>
                <w:szCs w:val="24"/>
                <w:color w:val="auto"/>
              </w:rPr>
            </w:pPr>
          </w:p>
        </w:tc>
        <w:tc>
          <w:tcPr>
            <w:tcW w:w="360" w:type="dxa"/>
            <w:vAlign w:val="bottom"/>
            <w:tcBorders>
              <w:top w:val="single" w:sz="8" w:color="DBDBDB"/>
              <w:bottom w:val="single" w:sz="8" w:color="9A9A9A"/>
            </w:tcBorders>
          </w:tcPr>
          <w:p>
            <w:pPr>
              <w:spacing w:after="0"/>
              <w:rPr>
                <w:sz w:val="24"/>
                <w:szCs w:val="24"/>
                <w:color w:val="auto"/>
              </w:rPr>
            </w:pPr>
          </w:p>
        </w:tc>
        <w:tc>
          <w:tcPr>
            <w:tcW w:w="180" w:type="dxa"/>
            <w:vAlign w:val="bottom"/>
            <w:tcBorders>
              <w:top w:val="single" w:sz="8" w:color="DBDBDB"/>
              <w:bottom w:val="single" w:sz="8" w:color="9A9A9A"/>
            </w:tcBorders>
          </w:tcPr>
          <w:p>
            <w:pPr>
              <w:spacing w:after="0"/>
              <w:rPr>
                <w:sz w:val="24"/>
                <w:szCs w:val="24"/>
                <w:color w:val="auto"/>
              </w:rPr>
            </w:pPr>
          </w:p>
        </w:tc>
        <w:tc>
          <w:tcPr>
            <w:tcW w:w="120" w:type="dxa"/>
            <w:vAlign w:val="bottom"/>
            <w:tcBorders>
              <w:top w:val="single" w:sz="8" w:color="DBDBDB"/>
              <w:bottom w:val="single" w:sz="8" w:color="9A9A9A"/>
            </w:tcBorders>
          </w:tcPr>
          <w:p>
            <w:pPr>
              <w:spacing w:after="0"/>
              <w:rPr>
                <w:sz w:val="24"/>
                <w:szCs w:val="24"/>
                <w:color w:val="auto"/>
              </w:rPr>
            </w:pPr>
          </w:p>
        </w:tc>
        <w:tc>
          <w:tcPr>
            <w:tcW w:w="100" w:type="dxa"/>
            <w:vAlign w:val="bottom"/>
            <w:tcBorders>
              <w:top w:val="single" w:sz="8" w:color="DBDBDB"/>
              <w:bottom w:val="single" w:sz="8" w:color="9A9A9A"/>
            </w:tcBorders>
          </w:tcPr>
          <w:p>
            <w:pPr>
              <w:spacing w:after="0"/>
              <w:rPr>
                <w:sz w:val="24"/>
                <w:szCs w:val="24"/>
                <w:color w:val="auto"/>
              </w:rPr>
            </w:pPr>
          </w:p>
        </w:tc>
        <w:tc>
          <w:tcPr>
            <w:tcW w:w="100" w:type="dxa"/>
            <w:vAlign w:val="bottom"/>
            <w:tcBorders>
              <w:top w:val="single" w:sz="8" w:color="DBDBDB"/>
              <w:bottom w:val="single" w:sz="8" w:color="9A9A9A"/>
            </w:tcBorders>
          </w:tcPr>
          <w:p>
            <w:pPr>
              <w:spacing w:after="0"/>
              <w:rPr>
                <w:sz w:val="24"/>
                <w:szCs w:val="24"/>
                <w:color w:val="auto"/>
              </w:rPr>
            </w:pPr>
          </w:p>
        </w:tc>
        <w:tc>
          <w:tcPr>
            <w:tcW w:w="20" w:type="dxa"/>
            <w:vAlign w:val="bottom"/>
            <w:tcBorders>
              <w:top w:val="single" w:sz="8" w:color="DBDBDB"/>
              <w:bottom w:val="single" w:sz="8" w:color="9A9A9A"/>
            </w:tcBorders>
          </w:tcPr>
          <w:p>
            <w:pPr>
              <w:spacing w:after="0"/>
              <w:rPr>
                <w:sz w:val="24"/>
                <w:szCs w:val="24"/>
                <w:color w:val="auto"/>
              </w:rPr>
            </w:pPr>
          </w:p>
        </w:tc>
        <w:tc>
          <w:tcPr>
            <w:tcW w:w="340" w:type="dxa"/>
            <w:vAlign w:val="bottom"/>
            <w:tcBorders>
              <w:top w:val="single" w:sz="8" w:color="DBDBDB"/>
              <w:bottom w:val="single" w:sz="8" w:color="9A9A9A"/>
            </w:tcBorders>
          </w:tcPr>
          <w:p>
            <w:pPr>
              <w:spacing w:after="0"/>
              <w:rPr>
                <w:sz w:val="24"/>
                <w:szCs w:val="24"/>
                <w:color w:val="auto"/>
              </w:rPr>
            </w:pPr>
          </w:p>
        </w:tc>
        <w:tc>
          <w:tcPr>
            <w:tcW w:w="40" w:type="dxa"/>
            <w:vAlign w:val="bottom"/>
            <w:tcBorders>
              <w:top w:val="single" w:sz="8" w:color="DBDBDB"/>
              <w:bottom w:val="single" w:sz="8" w:color="9A9A9A"/>
            </w:tcBorders>
          </w:tcPr>
          <w:p>
            <w:pPr>
              <w:spacing w:after="0"/>
              <w:rPr>
                <w:sz w:val="24"/>
                <w:szCs w:val="24"/>
                <w:color w:val="auto"/>
              </w:rPr>
            </w:pPr>
          </w:p>
        </w:tc>
        <w:tc>
          <w:tcPr>
            <w:tcW w:w="40" w:type="dxa"/>
            <w:vAlign w:val="bottom"/>
            <w:tcBorders>
              <w:top w:val="single" w:sz="8" w:color="DBDBDB"/>
              <w:bottom w:val="single" w:sz="8" w:color="9A9A9A"/>
            </w:tcBorders>
          </w:tcPr>
          <w:p>
            <w:pPr>
              <w:spacing w:after="0"/>
              <w:rPr>
                <w:sz w:val="24"/>
                <w:szCs w:val="24"/>
                <w:color w:val="auto"/>
              </w:rPr>
            </w:pPr>
          </w:p>
        </w:tc>
        <w:tc>
          <w:tcPr>
            <w:tcW w:w="60" w:type="dxa"/>
            <w:vAlign w:val="bottom"/>
            <w:tcBorders>
              <w:top w:val="single" w:sz="8" w:color="DBDBDB"/>
              <w:bottom w:val="single" w:sz="8" w:color="9A9A9A"/>
            </w:tcBorders>
          </w:tcPr>
          <w:p>
            <w:pPr>
              <w:spacing w:after="0"/>
              <w:rPr>
                <w:sz w:val="24"/>
                <w:szCs w:val="24"/>
                <w:color w:val="auto"/>
              </w:rPr>
            </w:pPr>
          </w:p>
        </w:tc>
        <w:tc>
          <w:tcPr>
            <w:tcW w:w="360" w:type="dxa"/>
            <w:vAlign w:val="bottom"/>
            <w:tcBorders>
              <w:top w:val="single" w:sz="8" w:color="DBDBDB"/>
              <w:bottom w:val="single" w:sz="8" w:color="9A9A9A"/>
            </w:tcBorders>
          </w:tcPr>
          <w:p>
            <w:pPr>
              <w:spacing w:after="0"/>
              <w:rPr>
                <w:sz w:val="24"/>
                <w:szCs w:val="24"/>
                <w:color w:val="auto"/>
              </w:rPr>
            </w:pPr>
          </w:p>
        </w:tc>
        <w:tc>
          <w:tcPr>
            <w:tcW w:w="200" w:type="dxa"/>
            <w:vAlign w:val="bottom"/>
            <w:tcBorders>
              <w:top w:val="single" w:sz="8" w:color="DBDBDB"/>
              <w:bottom w:val="single" w:sz="8" w:color="9A9A9A"/>
            </w:tcBorders>
          </w:tcPr>
          <w:p>
            <w:pPr>
              <w:spacing w:after="0"/>
              <w:rPr>
                <w:sz w:val="24"/>
                <w:szCs w:val="24"/>
                <w:color w:val="auto"/>
              </w:rPr>
            </w:pPr>
          </w:p>
        </w:tc>
        <w:tc>
          <w:tcPr>
            <w:tcW w:w="120" w:type="dxa"/>
            <w:vAlign w:val="bottom"/>
            <w:tcBorders>
              <w:top w:val="single" w:sz="8" w:color="DBDBDB"/>
              <w:bottom w:val="single" w:sz="8" w:color="9A9A9A"/>
            </w:tcBorders>
          </w:tcPr>
          <w:p>
            <w:pPr>
              <w:spacing w:after="0"/>
              <w:rPr>
                <w:sz w:val="24"/>
                <w:szCs w:val="24"/>
                <w:color w:val="auto"/>
              </w:rPr>
            </w:pPr>
          </w:p>
        </w:tc>
        <w:tc>
          <w:tcPr>
            <w:tcW w:w="20" w:type="dxa"/>
            <w:vAlign w:val="bottom"/>
            <w:tcBorders>
              <w:top w:val="single" w:sz="8" w:color="DBDBDB"/>
              <w:bottom w:val="single" w:sz="8" w:color="9A9A9A"/>
            </w:tcBorders>
          </w:tcPr>
          <w:p>
            <w:pPr>
              <w:spacing w:after="0"/>
              <w:rPr>
                <w:sz w:val="24"/>
                <w:szCs w:val="24"/>
                <w:color w:val="auto"/>
              </w:rPr>
            </w:pPr>
          </w:p>
        </w:tc>
        <w:tc>
          <w:tcPr>
            <w:tcW w:w="420" w:type="dxa"/>
            <w:vAlign w:val="bottom"/>
            <w:tcBorders>
              <w:top w:val="single" w:sz="8" w:color="DBDBDB"/>
              <w:bottom w:val="single" w:sz="8" w:color="9A9A9A"/>
            </w:tcBorders>
          </w:tcPr>
          <w:p>
            <w:pPr>
              <w:spacing w:after="0"/>
              <w:rPr>
                <w:sz w:val="24"/>
                <w:szCs w:val="24"/>
                <w:color w:val="auto"/>
              </w:rPr>
            </w:pPr>
          </w:p>
        </w:tc>
        <w:tc>
          <w:tcPr>
            <w:tcW w:w="40" w:type="dxa"/>
            <w:vAlign w:val="bottom"/>
            <w:tcBorders>
              <w:top w:val="single" w:sz="8" w:color="DBDBDB"/>
              <w:bottom w:val="single" w:sz="8" w:color="9A9A9A"/>
            </w:tcBorders>
          </w:tcPr>
          <w:p>
            <w:pPr>
              <w:spacing w:after="0"/>
              <w:rPr>
                <w:sz w:val="24"/>
                <w:szCs w:val="24"/>
                <w:color w:val="auto"/>
              </w:rPr>
            </w:pPr>
          </w:p>
        </w:tc>
        <w:tc>
          <w:tcPr>
            <w:tcW w:w="180" w:type="dxa"/>
            <w:vAlign w:val="bottom"/>
            <w:tcBorders>
              <w:top w:val="single" w:sz="8" w:color="DBDBDB"/>
              <w:bottom w:val="single" w:sz="8" w:color="9A9A9A"/>
            </w:tcBorders>
          </w:tcPr>
          <w:p>
            <w:pPr>
              <w:spacing w:after="0"/>
              <w:rPr>
                <w:sz w:val="24"/>
                <w:szCs w:val="24"/>
                <w:color w:val="auto"/>
              </w:rPr>
            </w:pPr>
          </w:p>
        </w:tc>
        <w:tc>
          <w:tcPr>
            <w:tcW w:w="100" w:type="dxa"/>
            <w:vAlign w:val="bottom"/>
            <w:tcBorders>
              <w:top w:val="single" w:sz="8" w:color="DBDBDB"/>
              <w:bottom w:val="single" w:sz="8" w:color="9A9A9A"/>
            </w:tcBorders>
          </w:tcPr>
          <w:p>
            <w:pPr>
              <w:spacing w:after="0"/>
              <w:rPr>
                <w:sz w:val="24"/>
                <w:szCs w:val="24"/>
                <w:color w:val="auto"/>
              </w:rPr>
            </w:pPr>
          </w:p>
        </w:tc>
        <w:tc>
          <w:tcPr>
            <w:tcW w:w="60" w:type="dxa"/>
            <w:vAlign w:val="bottom"/>
            <w:tcBorders>
              <w:top w:val="single" w:sz="8" w:color="DBDBDB"/>
              <w:bottom w:val="single" w:sz="8" w:color="9A9A9A"/>
            </w:tcBorders>
          </w:tcPr>
          <w:p>
            <w:pPr>
              <w:spacing w:after="0"/>
              <w:rPr>
                <w:sz w:val="24"/>
                <w:szCs w:val="24"/>
                <w:color w:val="auto"/>
              </w:rPr>
            </w:pPr>
          </w:p>
        </w:tc>
        <w:tc>
          <w:tcPr>
            <w:tcW w:w="20" w:type="dxa"/>
            <w:vAlign w:val="bottom"/>
            <w:tcBorders>
              <w:top w:val="single" w:sz="8" w:color="DBDBDB"/>
              <w:bottom w:val="single" w:sz="8" w:color="9A9A9A"/>
            </w:tcBorders>
          </w:tcPr>
          <w:p>
            <w:pPr>
              <w:spacing w:after="0"/>
              <w:rPr>
                <w:sz w:val="24"/>
                <w:szCs w:val="24"/>
                <w:color w:val="auto"/>
              </w:rPr>
            </w:pPr>
          </w:p>
        </w:tc>
        <w:tc>
          <w:tcPr>
            <w:tcW w:w="320" w:type="dxa"/>
            <w:vAlign w:val="bottom"/>
            <w:tcBorders>
              <w:top w:val="single" w:sz="8" w:color="DBDBDB"/>
              <w:bottom w:val="single" w:sz="8" w:color="9A9A9A"/>
            </w:tcBorders>
          </w:tcPr>
          <w:p>
            <w:pPr>
              <w:spacing w:after="0"/>
              <w:rPr>
                <w:sz w:val="24"/>
                <w:szCs w:val="24"/>
                <w:color w:val="auto"/>
              </w:rPr>
            </w:pPr>
          </w:p>
        </w:tc>
        <w:tc>
          <w:tcPr>
            <w:tcW w:w="340" w:type="dxa"/>
            <w:vAlign w:val="bottom"/>
            <w:tcBorders>
              <w:top w:val="single" w:sz="8" w:color="DBDBDB"/>
              <w:bottom w:val="single" w:sz="8" w:color="9A9A9A"/>
            </w:tcBorders>
          </w:tcPr>
          <w:p>
            <w:pPr>
              <w:spacing w:after="0"/>
              <w:rPr>
                <w:sz w:val="24"/>
                <w:szCs w:val="24"/>
                <w:color w:val="auto"/>
              </w:rPr>
            </w:pPr>
          </w:p>
        </w:tc>
        <w:tc>
          <w:tcPr>
            <w:tcW w:w="100" w:type="dxa"/>
            <w:vAlign w:val="bottom"/>
            <w:tcBorders>
              <w:top w:val="single" w:sz="8" w:color="DBDBDB"/>
              <w:bottom w:val="single" w:sz="8" w:color="9A9A9A"/>
            </w:tcBorders>
          </w:tcPr>
          <w:p>
            <w:pPr>
              <w:spacing w:after="0"/>
              <w:rPr>
                <w:sz w:val="24"/>
                <w:szCs w:val="24"/>
                <w:color w:val="auto"/>
              </w:rPr>
            </w:pPr>
          </w:p>
        </w:tc>
        <w:tc>
          <w:tcPr>
            <w:tcW w:w="60" w:type="dxa"/>
            <w:vAlign w:val="bottom"/>
            <w:tcBorders>
              <w:top w:val="single" w:sz="8" w:color="DBDBDB"/>
              <w:bottom w:val="single" w:sz="8" w:color="9A9A9A"/>
            </w:tcBorders>
          </w:tcPr>
          <w:p>
            <w:pPr>
              <w:spacing w:after="0"/>
              <w:rPr>
                <w:sz w:val="24"/>
                <w:szCs w:val="24"/>
                <w:color w:val="auto"/>
              </w:rPr>
            </w:pPr>
          </w:p>
        </w:tc>
        <w:tc>
          <w:tcPr>
            <w:tcW w:w="380" w:type="dxa"/>
            <w:vAlign w:val="bottom"/>
            <w:tcBorders>
              <w:top w:val="single" w:sz="8" w:color="DBDBDB"/>
              <w:bottom w:val="single" w:sz="8" w:color="9A9A9A"/>
            </w:tcBorders>
          </w:tcPr>
          <w:p>
            <w:pPr>
              <w:spacing w:after="0"/>
              <w:rPr>
                <w:sz w:val="24"/>
                <w:szCs w:val="24"/>
                <w:color w:val="auto"/>
              </w:rPr>
            </w:pPr>
          </w:p>
        </w:tc>
        <w:tc>
          <w:tcPr>
            <w:tcW w:w="20" w:type="dxa"/>
            <w:vAlign w:val="bottom"/>
            <w:tcBorders>
              <w:top w:val="single" w:sz="8" w:color="DBDBDB"/>
              <w:bottom w:val="single" w:sz="8" w:color="9A9A9A"/>
            </w:tcBorders>
          </w:tcPr>
          <w:p>
            <w:pPr>
              <w:spacing w:after="0"/>
              <w:rPr>
                <w:sz w:val="24"/>
                <w:szCs w:val="24"/>
                <w:color w:val="auto"/>
              </w:rPr>
            </w:pPr>
          </w:p>
        </w:tc>
        <w:tc>
          <w:tcPr>
            <w:tcW w:w="120" w:type="dxa"/>
            <w:vAlign w:val="bottom"/>
            <w:tcBorders>
              <w:top w:val="single" w:sz="8" w:color="DBDBDB"/>
              <w:bottom w:val="single" w:sz="8" w:color="9A9A9A"/>
            </w:tcBorders>
          </w:tcPr>
          <w:p>
            <w:pPr>
              <w:spacing w:after="0"/>
              <w:rPr>
                <w:sz w:val="24"/>
                <w:szCs w:val="24"/>
                <w:color w:val="auto"/>
              </w:rPr>
            </w:pPr>
          </w:p>
        </w:tc>
        <w:tc>
          <w:tcPr>
            <w:tcW w:w="160" w:type="dxa"/>
            <w:vAlign w:val="bottom"/>
            <w:tcBorders>
              <w:top w:val="single" w:sz="8" w:color="DBDBDB"/>
              <w:bottom w:val="single" w:sz="8" w:color="9A9A9A"/>
            </w:tcBorders>
          </w:tcPr>
          <w:p>
            <w:pPr>
              <w:spacing w:after="0"/>
              <w:rPr>
                <w:sz w:val="24"/>
                <w:szCs w:val="24"/>
                <w:color w:val="auto"/>
              </w:rPr>
            </w:pPr>
          </w:p>
        </w:tc>
        <w:tc>
          <w:tcPr>
            <w:tcW w:w="440" w:type="dxa"/>
            <w:vAlign w:val="bottom"/>
            <w:tcBorders>
              <w:top w:val="single" w:sz="8" w:color="DBDBDB"/>
              <w:bottom w:val="single" w:sz="8" w:color="9A9A9A"/>
            </w:tcBorders>
          </w:tcPr>
          <w:p>
            <w:pPr>
              <w:spacing w:after="0"/>
              <w:rPr>
                <w:sz w:val="24"/>
                <w:szCs w:val="24"/>
                <w:color w:val="auto"/>
              </w:rPr>
            </w:pPr>
          </w:p>
        </w:tc>
        <w:tc>
          <w:tcPr>
            <w:tcW w:w="540" w:type="dxa"/>
            <w:vAlign w:val="bottom"/>
            <w:tcBorders>
              <w:top w:val="single" w:sz="8" w:color="DBDBDB"/>
              <w:bottom w:val="single" w:sz="8" w:color="9A9A9A"/>
            </w:tcBorders>
          </w:tcPr>
          <w:p>
            <w:pPr>
              <w:spacing w:after="0"/>
              <w:rPr>
                <w:sz w:val="24"/>
                <w:szCs w:val="24"/>
                <w:color w:val="auto"/>
              </w:rPr>
            </w:pPr>
          </w:p>
        </w:tc>
        <w:tc>
          <w:tcPr>
            <w:tcW w:w="80" w:type="dxa"/>
            <w:vAlign w:val="bottom"/>
            <w:tcBorders>
              <w:top w:val="single" w:sz="8" w:color="DBDBDB"/>
              <w:bottom w:val="single" w:sz="8" w:color="9A9A9A"/>
            </w:tcBorders>
          </w:tcPr>
          <w:p>
            <w:pPr>
              <w:spacing w:after="0"/>
              <w:rPr>
                <w:sz w:val="24"/>
                <w:szCs w:val="24"/>
                <w:color w:val="auto"/>
              </w:rPr>
            </w:pPr>
          </w:p>
        </w:tc>
        <w:tc>
          <w:tcPr>
            <w:tcW w:w="280" w:type="dxa"/>
            <w:vAlign w:val="bottom"/>
            <w:tcBorders>
              <w:top w:val="single" w:sz="8" w:color="DBDBDB"/>
              <w:bottom w:val="single" w:sz="8" w:color="9A9A9A"/>
            </w:tcBorders>
          </w:tcPr>
          <w:p>
            <w:pPr>
              <w:spacing w:after="0"/>
              <w:rPr>
                <w:sz w:val="24"/>
                <w:szCs w:val="24"/>
                <w:color w:val="auto"/>
              </w:rPr>
            </w:pPr>
          </w:p>
        </w:tc>
        <w:tc>
          <w:tcPr>
            <w:tcW w:w="720" w:type="dxa"/>
            <w:vAlign w:val="bottom"/>
            <w:tcBorders>
              <w:top w:val="single" w:sz="8" w:color="DBDBDB"/>
              <w:bottom w:val="single" w:sz="8" w:color="9A9A9A"/>
            </w:tcBorders>
          </w:tcPr>
          <w:p>
            <w:pPr>
              <w:spacing w:after="0"/>
              <w:rPr>
                <w:sz w:val="24"/>
                <w:szCs w:val="24"/>
                <w:color w:val="auto"/>
              </w:rPr>
            </w:pPr>
          </w:p>
        </w:tc>
        <w:tc>
          <w:tcPr>
            <w:tcW w:w="2640" w:type="dxa"/>
            <w:vAlign w:val="bottom"/>
            <w:tcBorders>
              <w:top w:val="single" w:sz="8" w:color="DBDBDB"/>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DBDBDB"/>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b w:val="1"/>
          <w:bCs w:val="1"/>
          <w:color w:val="00386C"/>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85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Unless the context otherwise indicates, references to “us,” “we,” “our,” “ours,” “Expand Energy,” the “Company” and “Registrant” refer to Expand Energy Corporation and its consolidated subsidiaries. All monetary values, other than per unit and per share amounts, are stated in millions of U.S. dollars unless otherwise specified. The following are other abbreviations and definitions of certain terms used within this Quarterly Report on Form 10-Q:</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“ASU” means Accounting Standards Update.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Code” means Title 11 of the United States Code, 11 U.S.C. §§ 101–1532, as amended.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Court” means the United States Bankruptcy Court for the Southern District of Texas.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“Bbl” or “Bbls” means one stock tank barrel, or 42 U.S. gallons liquid volume, used in reference to oil or other liquid hydrocarbons.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“Bcf” means billion cubic feet.</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“Bcfe” means billion cubic feet of natural gas equivalent.</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“Chapter 11 Cases” refers to the voluntary petitions for reorganization under Chapter 11 of the Bankruptcy Code filed in the Bankruptcy Court by the Debtors.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“Chesapeake” means Chesapeake Energy Corporation, prior to the Southwestern Merger.</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A Warrants” means warrants to purchase 10 percent of the common stock (after giving effect to the Rights Offering, but subject to dilution by the Management Incentive Plan, the Class B Warrants, and the Class C Warrants), at an initial exercise price per share of $27.63. The Class A Warrants were exercisable from the Effective Date until February 9, 2026.</w:t>
      </w:r>
    </w:p>
    <w:p>
      <w:pPr>
        <w:spacing w:after="0" w:line="10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B Warrants” means warrants to purchase 10 percent of the common stock (after giving effect to the Rights Offering, but subject to dilution by the Management Incentive Plan and the Class C Warrants), at an initial exercise price per share of $32.13. The Class B Warrants were exercisable from the Effective Date until February 9, 2026.</w:t>
      </w:r>
    </w:p>
    <w:p>
      <w:pPr>
        <w:spacing w:after="0" w:line="10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C Warrants” means warrants to purchase 10 percent of the common stock (after giving effect to the Rights Offering, but subject to dilution by the Management Incentive Plan), at an initial exercise price per share of $36.18. The Class C Warrants were exercisable from the Effective Date until February 9, 2026.</w:t>
      </w:r>
    </w:p>
    <w:p>
      <w:pPr>
        <w:spacing w:after="0" w:line="90"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“Confirmation Order” means the order confirming the Fifth Amended Joint Chapter 11 Plan of Reorganization of Chesapeake Energy Corporation and its Debtor Affiliates, Docket No. 2915, entered by the Bankruptcy Court on January 16, 2021.</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“Credit Facility” means the amended and restated credit facility entered into on September 30, 2025.</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“Current Quarter” means the three months ended March 31, 2026.</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“DD&amp;A” means depreciation, depletion and amortization.</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“Debtors” means Chesapeake Energy Corporation prior to the Southwestern Merger, together with all of its direct and indirect subsidiaries that have filed the Chapter 11 Cases.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“Effective Date” means February 9, 2021.</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“FASB” means the Financial Accounting Standards Board.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“G&amp;A” means general and administrative expenses.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“GAAP” means U.S. generally accepted accounting principles.</w:t>
      </w:r>
    </w:p>
    <w:p>
      <w:pPr>
        <w:spacing w:after="0" w:line="15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“General Unsecured Claim” means any Claim against any Debtor that is not otherwise paid in full during the Chapter 11 Cases pursuant to an order of the Bankruptcy Court and is not an Administrative Claim, a Priority Tax Claim, an Other Priority Claim, an Other Secured Claim, a Revolving Credit Facility Claim, a FLLO Term Loan Facility Claim, a Second Lien Notes Claim, an Unsecured Notes Claim, an Intercompany Claim, or a Section 510(b)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p>
      <w:pPr>
        <w:ind w:left="420"/>
        <w:spacing w:after="0"/>
        <w:rPr>
          <w:sz w:val="20"/>
          <w:szCs w:val="20"/>
          <w:color w:val="auto"/>
        </w:rPr>
      </w:pPr>
      <w:r>
        <w:rPr>
          <w:rFonts w:ascii="Arial" w:cs="Arial" w:eastAsia="Arial" w:hAnsi="Arial"/>
          <w:sz w:val="18"/>
          <w:szCs w:val="18"/>
          <w:color w:val="auto"/>
        </w:rPr>
        <w:t>“LNG” means liquefied natural gas.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“LTIP” means the Expand Energy Corporation 2021 Long Term Incentive Plan.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“MBbls” means one thousand barrels of oil or other liquid hydrocarbons.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“MMBbls” means one million barrels of oil or other liquid hydrocarbons.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 means thousand cubic feet.</w:t>
      </w:r>
    </w:p>
    <w:p>
      <w:pPr>
        <w:spacing w:after="0" w:line="158"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“Mcfe” means one thousand cubic feet of natural gas equivalent, with one barrel of oil or NGL converted to an equivalent volume of natural gas using the ratio of one barrel of oil or NGL to six Mcf of natural gas.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“MMcf” means million cubic feet.</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“MMcfe” means million cubic feet of natural gas equivalent.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“NGL” means natural gas liquids.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“NYMEX” means New York Mercantile Exchange.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“OPEC+” means the Organization of the Petroleum Exporting Countries Plus.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“Petition Date” means June 28, 2020, the date on which the Debtors commenced the Chapter 11 Cases.</w:t>
      </w:r>
    </w:p>
    <w:p>
      <w:pPr>
        <w:spacing w:after="0" w:line="158"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“Plan” means the Fifth Amended Joint Chapter 11 Plan of Reorganization of Chesapeake Energy Corporation and its Debtor Affiliates, attached as Exhibit A to the Confirmation Order.</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“Prior Quarter” means the three months ended March 31, 2025.</w:t>
      </w:r>
    </w:p>
    <w:p>
      <w:pPr>
        <w:spacing w:after="0" w:line="158"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“Rights Offering” means the common stock rights offering for the Rights Offering Amount consummated by the Debtors on the Effective Date.</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 means United States Securities and Exchange Commission.</w:t>
      </w:r>
    </w:p>
    <w:p>
      <w:pPr>
        <w:spacing w:after="0" w:line="144"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“SOFR” means a rate equal to the secured overnight financing rate as administered by the SOFR Administrator, the Federal Reserve Bank of New York (or a successor administrator of the secured overnight financing rate).</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“Southwestern” means Southwestern Energy Company.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“Southwestern Merger” means Chesapeake’s merger with Southwestern, which closed on October 1, 2024.</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“Warrants” means, collectively, the Class A Warrants, Class B Warrants and Class C Warrants.</w:t>
      </w:r>
    </w:p>
    <w:p>
      <w:pPr>
        <w:spacing w:after="0" w:line="158"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"Winter Storm Fern" means the severe winter weather event that occurred in January 2026, which affected portions of the United States and resulted in, among other things, significant increases in natural gas and electricity demand and power supply disruptions.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“WTI” means West Texas Intermediate.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“/Bbl” means per barrel.</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 means per Mcf.</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“/Mcfe” means per Mcfe.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FINANCIAL INFORMATION</w:t>
      </w:r>
    </w:p>
    <w:p>
      <w:pPr>
        <w:spacing w:after="0" w:line="194"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00386C"/>
        </w:rPr>
        <w:t>ITEM 1.</w:t>
      </w:r>
      <w:r>
        <w:rPr>
          <w:sz w:val="20"/>
          <w:szCs w:val="20"/>
          <w:color w:val="auto"/>
        </w:rPr>
        <w:tab/>
      </w:r>
      <w:r>
        <w:rPr>
          <w:rFonts w:ascii="Arial" w:cs="Arial" w:eastAsia="Arial" w:hAnsi="Arial"/>
          <w:sz w:val="17"/>
          <w:szCs w:val="17"/>
          <w:b w:val="1"/>
          <w:bCs w:val="1"/>
          <w:color w:val="00386C"/>
        </w:rPr>
        <w:t>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17780</wp:posOffset>
            </wp:positionV>
            <wp:extent cx="3180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8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40" w:type="dxa"/>
            <w:vAlign w:val="bottom"/>
            <w:gridSpan w:val="3"/>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340" w:type="dxa"/>
            <w:vAlign w:val="bottom"/>
          </w:tcPr>
          <w:p>
            <w:pPr>
              <w:spacing w:after="0"/>
              <w:rPr>
                <w:sz w:val="20"/>
                <w:szCs w:val="20"/>
                <w:color w:val="auto"/>
              </w:rPr>
            </w:pPr>
          </w:p>
        </w:tc>
        <w:tc>
          <w:tcPr>
            <w:tcW w:w="21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2026</w:t>
            </w:r>
          </w:p>
        </w:tc>
        <w:tc>
          <w:tcPr>
            <w:tcW w:w="260" w:type="dxa"/>
            <w:vAlign w:val="bottom"/>
          </w:tcPr>
          <w:p>
            <w:pPr>
              <w:spacing w:after="0"/>
              <w:rPr>
                <w:sz w:val="20"/>
                <w:szCs w:val="20"/>
                <w:color w:val="auto"/>
              </w:rPr>
            </w:pPr>
          </w:p>
        </w:tc>
        <w:tc>
          <w:tcPr>
            <w:tcW w:w="214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634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DBDBDB"/>
          </w:tcPr>
          <w:p>
            <w:pPr>
              <w:spacing w:after="0"/>
              <w:rPr>
                <w:sz w:val="18"/>
                <w:szCs w:val="18"/>
                <w:color w:val="auto"/>
              </w:rPr>
            </w:pPr>
          </w:p>
        </w:tc>
        <w:tc>
          <w:tcPr>
            <w:tcW w:w="20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214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6340" w:type="dxa"/>
            <w:vAlign w:val="bottom"/>
            <w:gridSpan w:val="3"/>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9"/>
        </w:trPr>
        <w:tc>
          <w:tcPr>
            <w:tcW w:w="6340" w:type="dxa"/>
            <w:vAlign w:val="bottom"/>
            <w:gridSpan w:val="3"/>
          </w:tcPr>
          <w:p>
            <w:pPr>
              <w:ind w:left="240"/>
              <w:spacing w:after="0"/>
              <w:rPr>
                <w:sz w:val="20"/>
                <w:szCs w:val="20"/>
                <w:color w:val="auto"/>
              </w:rPr>
            </w:pPr>
            <w:r>
              <w:rPr>
                <w:rFonts w:ascii="Arial" w:cs="Arial" w:eastAsia="Arial" w:hAnsi="Arial"/>
                <w:sz w:val="18"/>
                <w:szCs w:val="18"/>
                <w:color w:val="auto"/>
              </w:rPr>
              <w:t>Derivative assets</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DBDBDB"/>
          </w:tcPr>
          <w:p>
            <w:pPr>
              <w:spacing w:after="0"/>
              <w:rPr>
                <w:sz w:val="19"/>
                <w:szCs w:val="19"/>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6340" w:type="dxa"/>
            <w:vAlign w:val="bottom"/>
            <w:gridSpan w:val="3"/>
          </w:tcPr>
          <w:p>
            <w:pPr>
              <w:ind w:left="5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DBDBDB"/>
          </w:tcPr>
          <w:p>
            <w:pPr>
              <w:spacing w:after="0"/>
              <w:rPr>
                <w:sz w:val="19"/>
                <w:szCs w:val="19"/>
                <w:color w:val="auto"/>
              </w:rPr>
            </w:pPr>
          </w:p>
        </w:tc>
        <w:tc>
          <w:tcPr>
            <w:tcW w:w="2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3"/>
          </w:tcPr>
          <w:p>
            <w:pPr>
              <w:ind w:left="360"/>
              <w:spacing w:after="0"/>
              <w:rPr>
                <w:sz w:val="20"/>
                <w:szCs w:val="20"/>
                <w:color w:val="auto"/>
              </w:rPr>
            </w:pPr>
            <w:r>
              <w:rPr>
                <w:rFonts w:ascii="Arial" w:cs="Arial" w:eastAsia="Arial" w:hAnsi="Arial"/>
                <w:sz w:val="18"/>
                <w:szCs w:val="18"/>
                <w:color w:val="auto"/>
              </w:rPr>
              <w:t>Natural gas and oil properties, successful efforts method</w:t>
            </w: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3"/>
            <w:shd w:val="clear" w:color="auto" w:fill="DBDBDB"/>
          </w:tcPr>
          <w:p>
            <w:pPr>
              <w:ind w:left="460"/>
              <w:spacing w:after="0"/>
              <w:rPr>
                <w:sz w:val="20"/>
                <w:szCs w:val="20"/>
                <w:color w:val="auto"/>
              </w:rPr>
            </w:pPr>
            <w:r>
              <w:rPr>
                <w:rFonts w:ascii="Arial" w:cs="Arial" w:eastAsia="Arial" w:hAnsi="Arial"/>
                <w:sz w:val="18"/>
                <w:szCs w:val="18"/>
                <w:color w:val="auto"/>
              </w:rPr>
              <w:t>Proved natural gas and oil properties</w:t>
            </w:r>
          </w:p>
        </w:tc>
        <w:tc>
          <w:tcPr>
            <w:tcW w:w="3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27,336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26,606</w:t>
            </w:r>
          </w:p>
        </w:tc>
        <w:tc>
          <w:tcPr>
            <w:tcW w:w="0" w:type="dxa"/>
            <w:vAlign w:val="bottom"/>
          </w:tcPr>
          <w:p>
            <w:pPr>
              <w:spacing w:after="0"/>
              <w:rPr>
                <w:sz w:val="1"/>
                <w:szCs w:val="1"/>
                <w:color w:val="auto"/>
              </w:rPr>
            </w:pPr>
          </w:p>
        </w:tc>
      </w:tr>
      <w:tr>
        <w:trPr>
          <w:trHeight w:val="230"/>
        </w:trPr>
        <w:tc>
          <w:tcPr>
            <w:tcW w:w="6340" w:type="dxa"/>
            <w:vAlign w:val="bottom"/>
            <w:gridSpan w:val="3"/>
          </w:tcPr>
          <w:p>
            <w:pPr>
              <w:ind w:left="460"/>
              <w:spacing w:after="0"/>
              <w:rPr>
                <w:sz w:val="20"/>
                <w:szCs w:val="20"/>
                <w:color w:val="auto"/>
              </w:rPr>
            </w:pPr>
            <w:r>
              <w:rPr>
                <w:rFonts w:ascii="Arial" w:cs="Arial" w:eastAsia="Arial" w:hAnsi="Arial"/>
                <w:sz w:val="18"/>
                <w:szCs w:val="18"/>
                <w:color w:val="auto"/>
              </w:rPr>
              <w:t>Unproved properties</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29"/>
        </w:trPr>
        <w:tc>
          <w:tcPr>
            <w:tcW w:w="6340" w:type="dxa"/>
            <w:vAlign w:val="bottom"/>
            <w:gridSpan w:val="3"/>
            <w:shd w:val="clear" w:color="auto" w:fill="DBDBDB"/>
          </w:tcPr>
          <w:p>
            <w:pPr>
              <w:ind w:left="460"/>
              <w:spacing w:after="0"/>
              <w:rPr>
                <w:sz w:val="20"/>
                <w:szCs w:val="20"/>
                <w:color w:val="auto"/>
              </w:rPr>
            </w:pPr>
            <w:r>
              <w:rPr>
                <w:rFonts w:ascii="Arial" w:cs="Arial" w:eastAsia="Arial" w:hAnsi="Arial"/>
                <w:sz w:val="18"/>
                <w:szCs w:val="18"/>
                <w:color w:val="auto"/>
              </w:rPr>
              <w:t>Other property and equipment</w:t>
            </w:r>
          </w:p>
        </w:tc>
        <w:tc>
          <w:tcPr>
            <w:tcW w:w="340" w:type="dxa"/>
            <w:vAlign w:val="bottom"/>
            <w:tcBorders>
              <w:bottom w:val="single" w:sz="8" w:color="auto"/>
            </w:tcBorders>
            <w:shd w:val="clear" w:color="auto" w:fill="DBDBDB"/>
          </w:tcPr>
          <w:p>
            <w:pPr>
              <w:spacing w:after="0"/>
              <w:rPr>
                <w:sz w:val="19"/>
                <w:szCs w:val="19"/>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DBDBDB"/>
            </w:tcBorders>
            <w:gridSpan w:val="3"/>
          </w:tcPr>
          <w:p>
            <w:pPr>
              <w:ind w:left="560"/>
              <w:spacing w:after="0"/>
              <w:rPr>
                <w:sz w:val="20"/>
                <w:szCs w:val="20"/>
                <w:color w:val="auto"/>
              </w:rPr>
            </w:pPr>
            <w:r>
              <w:rPr>
                <w:rFonts w:ascii="Arial" w:cs="Arial" w:eastAsia="Arial" w:hAnsi="Arial"/>
                <w:sz w:val="18"/>
                <w:szCs w:val="18"/>
                <w:color w:val="auto"/>
              </w:rPr>
              <w:t>Total property and equipment</w:t>
            </w: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33,293</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32,593</w:t>
            </w:r>
          </w:p>
        </w:tc>
        <w:tc>
          <w:tcPr>
            <w:tcW w:w="0" w:type="dxa"/>
            <w:vAlign w:val="bottom"/>
          </w:tcPr>
          <w:p>
            <w:pPr>
              <w:spacing w:after="0"/>
              <w:rPr>
                <w:sz w:val="1"/>
                <w:szCs w:val="1"/>
                <w:color w:val="auto"/>
              </w:rPr>
            </w:pPr>
          </w:p>
        </w:tc>
      </w:tr>
      <w:tr>
        <w:trPr>
          <w:trHeight w:val="223"/>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Less: accumulated depreciation, depletion and amortization</w:t>
            </w:r>
          </w:p>
        </w:tc>
        <w:tc>
          <w:tcPr>
            <w:tcW w:w="3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(8,978)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30"/>
        </w:trPr>
        <w:tc>
          <w:tcPr>
            <w:tcW w:w="6340" w:type="dxa"/>
            <w:vAlign w:val="bottom"/>
            <w:gridSpan w:val="3"/>
          </w:tcPr>
          <w:p>
            <w:pPr>
              <w:ind w:left="240"/>
              <w:spacing w:after="0"/>
              <w:rPr>
                <w:sz w:val="20"/>
                <w:szCs w:val="20"/>
                <w:color w:val="auto"/>
              </w:rPr>
            </w:pPr>
            <w:r>
              <w:rPr>
                <w:rFonts w:ascii="Arial" w:cs="Arial" w:eastAsia="Arial" w:hAnsi="Arial"/>
                <w:sz w:val="18"/>
                <w:szCs w:val="18"/>
                <w:color w:val="auto"/>
              </w:rPr>
              <w:t>Property and equipment held for sale, net</w:t>
            </w:r>
          </w:p>
        </w:tc>
        <w:tc>
          <w:tcPr>
            <w:tcW w:w="34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340" w:type="dxa"/>
            <w:vAlign w:val="bottom"/>
            <w:tcBorders>
              <w:top w:val="single" w:sz="8" w:color="DBDBDB"/>
            </w:tcBorders>
            <w:gridSpan w:val="3"/>
            <w:shd w:val="clear" w:color="auto" w:fill="DBDBDB"/>
          </w:tcPr>
          <w:p>
            <w:pPr>
              <w:ind w:left="56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2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24,315</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2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24,355</w:t>
            </w:r>
          </w:p>
        </w:tc>
        <w:tc>
          <w:tcPr>
            <w:tcW w:w="0" w:type="dxa"/>
            <w:vAlign w:val="bottom"/>
          </w:tcPr>
          <w:p>
            <w:pPr>
              <w:spacing w:after="0"/>
              <w:rPr>
                <w:sz w:val="1"/>
                <w:szCs w:val="1"/>
                <w:color w:val="auto"/>
              </w:rPr>
            </w:pPr>
          </w:p>
        </w:tc>
      </w:tr>
      <w:tr>
        <w:trPr>
          <w:trHeight w:val="223"/>
        </w:trPr>
        <w:tc>
          <w:tcPr>
            <w:tcW w:w="6340" w:type="dxa"/>
            <w:vAlign w:val="bottom"/>
            <w:gridSpan w:val="3"/>
          </w:tcPr>
          <w:p>
            <w:pPr>
              <w:ind w:left="240"/>
              <w:spacing w:after="0"/>
              <w:rPr>
                <w:sz w:val="20"/>
                <w:szCs w:val="20"/>
                <w:color w:val="auto"/>
              </w:rPr>
            </w:pPr>
            <w:r>
              <w:rPr>
                <w:rFonts w:ascii="Arial" w:cs="Arial" w:eastAsia="Arial" w:hAnsi="Arial"/>
                <w:sz w:val="18"/>
                <w:szCs w:val="18"/>
                <w:color w:val="auto"/>
              </w:rPr>
              <w:t>Long-term derivative assets</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DBDBDB"/>
          </w:tcPr>
          <w:p>
            <w:pPr>
              <w:spacing w:after="0"/>
              <w:rPr>
                <w:sz w:val="19"/>
                <w:szCs w:val="19"/>
                <w:color w:val="auto"/>
              </w:rPr>
            </w:pPr>
          </w:p>
        </w:tc>
        <w:tc>
          <w:tcPr>
            <w:tcW w:w="21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DBDBDB"/>
            </w:tcBorders>
            <w:gridSpan w:val="3"/>
          </w:tcPr>
          <w:p>
            <w:pPr>
              <w:ind w:left="24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29,521</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28,287</w:t>
            </w:r>
          </w:p>
        </w:tc>
        <w:tc>
          <w:tcPr>
            <w:tcW w:w="0" w:type="dxa"/>
            <w:vAlign w:val="bottom"/>
          </w:tcPr>
          <w:p>
            <w:pPr>
              <w:spacing w:after="0"/>
              <w:rPr>
                <w:sz w:val="1"/>
                <w:szCs w:val="1"/>
                <w:color w:val="auto"/>
              </w:rPr>
            </w:pPr>
          </w:p>
        </w:tc>
      </w:tr>
      <w:tr>
        <w:trPr>
          <w:trHeight w:val="21"/>
        </w:trPr>
        <w:tc>
          <w:tcPr>
            <w:tcW w:w="274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tcBorders>
          </w:tcPr>
          <w:p>
            <w:pPr>
              <w:spacing w:after="0" w:line="20" w:lineRule="exact"/>
              <w:rPr>
                <w:sz w:val="1"/>
                <w:szCs w:val="1"/>
                <w:color w:val="auto"/>
              </w:rPr>
            </w:pPr>
          </w:p>
        </w:tc>
        <w:tc>
          <w:tcPr>
            <w:tcW w:w="30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DBDBDB"/>
          </w:tcPr>
          <w:p>
            <w:pPr>
              <w:spacing w:after="0"/>
              <w:rPr>
                <w:sz w:val="20"/>
                <w:szCs w:val="20"/>
                <w:color w:val="auto"/>
              </w:rPr>
            </w:pPr>
          </w:p>
        </w:tc>
        <w:tc>
          <w:tcPr>
            <w:tcW w:w="20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1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0"/>
        </w:trPr>
        <w:tc>
          <w:tcPr>
            <w:tcW w:w="6340" w:type="dxa"/>
            <w:vAlign w:val="bottom"/>
            <w:gridSpan w:val="3"/>
          </w:tcPr>
          <w:p>
            <w:pPr>
              <w:ind w:left="240"/>
              <w:spacing w:after="0"/>
              <w:rPr>
                <w:sz w:val="20"/>
                <w:szCs w:val="20"/>
                <w:color w:val="auto"/>
              </w:rPr>
            </w:pPr>
            <w:r>
              <w:rPr>
                <w:rFonts w:ascii="Arial" w:cs="Arial" w:eastAsia="Arial" w:hAnsi="Arial"/>
                <w:sz w:val="18"/>
                <w:szCs w:val="18"/>
                <w:color w:val="auto"/>
              </w:rPr>
              <w:t>Current maturities of long-term debt, net</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Accrued interest</w:t>
            </w:r>
          </w:p>
        </w:tc>
        <w:tc>
          <w:tcPr>
            <w:tcW w:w="3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34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4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DBDBDB"/>
          </w:tcPr>
          <w:p>
            <w:pPr>
              <w:spacing w:after="0"/>
              <w:rPr>
                <w:sz w:val="19"/>
                <w:szCs w:val="19"/>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23"/>
        </w:trPr>
        <w:tc>
          <w:tcPr>
            <w:tcW w:w="6340" w:type="dxa"/>
            <w:vAlign w:val="bottom"/>
            <w:gridSpan w:val="3"/>
          </w:tcPr>
          <w:p>
            <w:pPr>
              <w:ind w:left="3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Long-term debt, net</w:t>
            </w:r>
          </w:p>
        </w:tc>
        <w:tc>
          <w:tcPr>
            <w:tcW w:w="3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230"/>
        </w:trPr>
        <w:tc>
          <w:tcPr>
            <w:tcW w:w="6340" w:type="dxa"/>
            <w:vAlign w:val="bottom"/>
            <w:gridSpan w:val="3"/>
          </w:tcPr>
          <w:p>
            <w:pPr>
              <w:ind w:left="240"/>
              <w:spacing w:after="0"/>
              <w:rPr>
                <w:sz w:val="20"/>
                <w:szCs w:val="20"/>
                <w:color w:val="auto"/>
              </w:rPr>
            </w:pPr>
            <w:r>
              <w:rPr>
                <w:rFonts w:ascii="Arial" w:cs="Arial" w:eastAsia="Arial" w:hAnsi="Arial"/>
                <w:sz w:val="18"/>
                <w:szCs w:val="18"/>
                <w:color w:val="auto"/>
              </w:rPr>
              <w:t>Long-term derivative liabilities</w:t>
            </w:r>
          </w:p>
        </w:tc>
        <w:tc>
          <w:tcPr>
            <w:tcW w:w="34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Asset retirement obligations, net of current portion</w:t>
            </w:r>
          </w:p>
        </w:tc>
        <w:tc>
          <w:tcPr>
            <w:tcW w:w="3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30"/>
        </w:trPr>
        <w:tc>
          <w:tcPr>
            <w:tcW w:w="6340" w:type="dxa"/>
            <w:vAlign w:val="bottom"/>
            <w:gridSpan w:val="3"/>
          </w:tcPr>
          <w:p>
            <w:pPr>
              <w:ind w:left="240"/>
              <w:spacing w:after="0"/>
              <w:rPr>
                <w:sz w:val="20"/>
                <w:szCs w:val="20"/>
                <w:color w:val="auto"/>
              </w:rPr>
            </w:pPr>
            <w:r>
              <w:rPr>
                <w:rFonts w:ascii="Arial" w:cs="Arial" w:eastAsia="Arial" w:hAnsi="Arial"/>
                <w:sz w:val="18"/>
                <w:szCs w:val="18"/>
                <w:color w:val="auto"/>
              </w:rPr>
              <w:t>Long-term contract liabilities</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DBDBDB"/>
          </w:tcPr>
          <w:p>
            <w:pPr>
              <w:spacing w:after="0"/>
              <w:rPr>
                <w:sz w:val="19"/>
                <w:szCs w:val="19"/>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9,975</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190"/>
        </w:trPr>
        <w:tc>
          <w:tcPr>
            <w:tcW w:w="6340" w:type="dxa"/>
            <w:vAlign w:val="bottom"/>
            <w:gridSpan w:val="3"/>
            <w:shd w:val="clear" w:color="auto" w:fill="DBDBDB"/>
          </w:tcPr>
          <w:p>
            <w:pPr>
              <w:ind w:left="20"/>
              <w:spacing w:after="0" w:line="169" w:lineRule="exact"/>
              <w:rPr>
                <w:sz w:val="20"/>
                <w:szCs w:val="20"/>
                <w:color w:val="auto"/>
              </w:rPr>
            </w:pPr>
            <w:r>
              <w:rPr>
                <w:rFonts w:ascii="Arial" w:cs="Arial" w:eastAsia="Arial" w:hAnsi="Arial"/>
                <w:sz w:val="18"/>
                <w:szCs w:val="18"/>
                <w:color w:val="auto"/>
              </w:rPr>
              <w:t>Contingencies and commitments (</w:t>
            </w:r>
            <w:r>
              <w:rPr>
                <w:rFonts w:ascii="Arial" w:cs="Arial" w:eastAsia="Arial" w:hAnsi="Arial"/>
                <w:sz w:val="18"/>
                <w:szCs w:val="18"/>
                <w:color w:val="0000FF"/>
              </w:rPr>
              <w:t>Note 5</w:t>
            </w:r>
            <w:r>
              <w:rPr>
                <w:rFonts w:ascii="Arial" w:cs="Arial" w:eastAsia="Arial" w:hAnsi="Arial"/>
                <w:sz w:val="18"/>
                <w:szCs w:val="18"/>
                <w:color w:val="auto"/>
              </w:rPr>
              <w:t>)</w:t>
            </w:r>
          </w:p>
        </w:tc>
        <w:tc>
          <w:tcPr>
            <w:tcW w:w="340" w:type="dxa"/>
            <w:vAlign w:val="bottom"/>
            <w:shd w:val="clear" w:color="auto" w:fill="DBDBDB"/>
          </w:tcPr>
          <w:p>
            <w:pPr>
              <w:spacing w:after="0"/>
              <w:rPr>
                <w:sz w:val="16"/>
                <w:szCs w:val="16"/>
                <w:color w:val="auto"/>
              </w:rPr>
            </w:pPr>
          </w:p>
        </w:tc>
        <w:tc>
          <w:tcPr>
            <w:tcW w:w="2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Borders>
              <w:top w:val="single" w:sz="8" w:color="DBDBDB"/>
            </w:tcBorders>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tcBorders>
              <w:top w:val="single" w:sz="8" w:color="0000FF"/>
            </w:tcBorders>
          </w:tcPr>
          <w:p>
            <w:pPr>
              <w:spacing w:after="0"/>
              <w:rPr>
                <w:sz w:val="19"/>
                <w:szCs w:val="19"/>
                <w:color w:val="auto"/>
              </w:rPr>
            </w:pPr>
          </w:p>
        </w:tc>
        <w:tc>
          <w:tcPr>
            <w:tcW w:w="3060" w:type="dxa"/>
            <w:vAlign w:val="bottom"/>
            <w:tcBorders>
              <w:top w:val="single" w:sz="8" w:color="DBDBDB"/>
            </w:tcBorders>
          </w:tcPr>
          <w:p>
            <w:pPr>
              <w:spacing w:after="0"/>
              <w:rPr>
                <w:sz w:val="19"/>
                <w:szCs w:val="19"/>
                <w:color w:val="auto"/>
              </w:rPr>
            </w:pPr>
          </w:p>
        </w:tc>
        <w:tc>
          <w:tcPr>
            <w:tcW w:w="340" w:type="dxa"/>
            <w:vAlign w:val="bottom"/>
            <w:tcBorders>
              <w:top w:val="single" w:sz="8" w:color="DBDBDB"/>
            </w:tcBorders>
          </w:tcPr>
          <w:p>
            <w:pPr>
              <w:spacing w:after="0"/>
              <w:rPr>
                <w:sz w:val="19"/>
                <w:szCs w:val="19"/>
                <w:color w:val="auto"/>
              </w:rPr>
            </w:pPr>
          </w:p>
        </w:tc>
        <w:tc>
          <w:tcPr>
            <w:tcW w:w="2060" w:type="dxa"/>
            <w:vAlign w:val="bottom"/>
            <w:tcBorders>
              <w:top w:val="single" w:sz="8" w:color="DBDBDB"/>
            </w:tcBorders>
          </w:tcPr>
          <w:p>
            <w:pPr>
              <w:spacing w:after="0"/>
              <w:rPr>
                <w:sz w:val="19"/>
                <w:szCs w:val="19"/>
                <w:color w:val="auto"/>
              </w:rPr>
            </w:pPr>
          </w:p>
        </w:tc>
        <w:tc>
          <w:tcPr>
            <w:tcW w:w="100" w:type="dxa"/>
            <w:vAlign w:val="bottom"/>
            <w:tcBorders>
              <w:top w:val="single" w:sz="8" w:color="DBDBDB"/>
            </w:tcBorders>
          </w:tcPr>
          <w:p>
            <w:pPr>
              <w:spacing w:after="0"/>
              <w:rPr>
                <w:sz w:val="19"/>
                <w:szCs w:val="19"/>
                <w:color w:val="auto"/>
              </w:rPr>
            </w:pPr>
          </w:p>
        </w:tc>
        <w:tc>
          <w:tcPr>
            <w:tcW w:w="260" w:type="dxa"/>
            <w:vAlign w:val="bottom"/>
            <w:tcBorders>
              <w:top w:val="single" w:sz="8" w:color="DBDBDB"/>
            </w:tcBorders>
          </w:tcPr>
          <w:p>
            <w:pPr>
              <w:spacing w:after="0"/>
              <w:rPr>
                <w:sz w:val="19"/>
                <w:szCs w:val="19"/>
                <w:color w:val="auto"/>
              </w:rPr>
            </w:pPr>
          </w:p>
        </w:tc>
        <w:tc>
          <w:tcPr>
            <w:tcW w:w="2140" w:type="dxa"/>
            <w:vAlign w:val="bottom"/>
            <w:tcBorders>
              <w:top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40" w:type="dxa"/>
            <w:vAlign w:val="bottom"/>
            <w:gridSpan w:val="3"/>
            <w:shd w:val="clear" w:color="auto" w:fill="DBDBDB"/>
          </w:tcPr>
          <w:p>
            <w:pPr>
              <w:ind w:left="240"/>
              <w:spacing w:after="0" w:line="176" w:lineRule="exact"/>
              <w:rPr>
                <w:sz w:val="20"/>
                <w:szCs w:val="20"/>
                <w:color w:val="auto"/>
              </w:rPr>
            </w:pPr>
            <w:r>
              <w:rPr>
                <w:rFonts w:ascii="Arial" w:cs="Arial" w:eastAsia="Arial" w:hAnsi="Arial"/>
                <w:sz w:val="18"/>
                <w:szCs w:val="18"/>
                <w:color w:val="auto"/>
              </w:rPr>
              <w:t>Common stock, $0.01 par value, 450,000,000 shares authorized:</w:t>
            </w:r>
          </w:p>
        </w:tc>
        <w:tc>
          <w:tcPr>
            <w:tcW w:w="340" w:type="dxa"/>
            <w:vAlign w:val="bottom"/>
            <w:shd w:val="clear" w:color="auto" w:fill="DBDBDB"/>
          </w:tcPr>
          <w:p>
            <w:pPr>
              <w:spacing w:after="0"/>
              <w:rPr>
                <w:sz w:val="15"/>
                <w:szCs w:val="15"/>
                <w:color w:val="auto"/>
              </w:rPr>
            </w:pPr>
          </w:p>
        </w:tc>
        <w:tc>
          <w:tcPr>
            <w:tcW w:w="20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2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240,085,572 and 239,249,874 shares issued</w:t>
            </w:r>
          </w:p>
        </w:tc>
        <w:tc>
          <w:tcPr>
            <w:tcW w:w="340" w:type="dxa"/>
            <w:vAlign w:val="bottom"/>
            <w:shd w:val="clear" w:color="auto" w:fill="DBDBDB"/>
          </w:tcPr>
          <w:p>
            <w:pPr>
              <w:spacing w:after="0"/>
              <w:rPr>
                <w:sz w:val="21"/>
                <w:szCs w:val="21"/>
                <w:color w:val="auto"/>
              </w:rPr>
            </w:pPr>
          </w:p>
        </w:tc>
        <w:tc>
          <w:tcPr>
            <w:tcW w:w="206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1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ind w:left="2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13,759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13,746</w:t>
            </w:r>
          </w:p>
        </w:tc>
        <w:tc>
          <w:tcPr>
            <w:tcW w:w="0" w:type="dxa"/>
            <w:vAlign w:val="bottom"/>
          </w:tcPr>
          <w:p>
            <w:pPr>
              <w:spacing w:after="0"/>
              <w:rPr>
                <w:sz w:val="1"/>
                <w:szCs w:val="1"/>
                <w:color w:val="auto"/>
              </w:rPr>
            </w:pPr>
          </w:p>
        </w:tc>
      </w:tr>
      <w:tr>
        <w:trPr>
          <w:trHeight w:val="229"/>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shd w:val="clear" w:color="auto" w:fill="DBDBDB"/>
          </w:tcPr>
          <w:p>
            <w:pPr>
              <w:spacing w:after="0"/>
              <w:rPr>
                <w:sz w:val="19"/>
                <w:szCs w:val="19"/>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5,785</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19,546</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29,521</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28,287</w:t>
            </w:r>
          </w:p>
        </w:tc>
        <w:tc>
          <w:tcPr>
            <w:tcW w:w="0" w:type="dxa"/>
            <w:vAlign w:val="bottom"/>
          </w:tcPr>
          <w:p>
            <w:pPr>
              <w:spacing w:after="0"/>
              <w:rPr>
                <w:sz w:val="1"/>
                <w:szCs w:val="1"/>
                <w:color w:val="auto"/>
              </w:rPr>
            </w:pPr>
          </w:p>
        </w:tc>
      </w:tr>
      <w:tr>
        <w:trPr>
          <w:trHeight w:val="20"/>
        </w:trPr>
        <w:tc>
          <w:tcPr>
            <w:tcW w:w="274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tcBorders>
          </w:tcPr>
          <w:p>
            <w:pPr>
              <w:spacing w:after="0" w:line="20" w:lineRule="exact"/>
              <w:rPr>
                <w:sz w:val="1"/>
                <w:szCs w:val="1"/>
                <w:color w:val="auto"/>
              </w:rPr>
            </w:pPr>
          </w:p>
        </w:tc>
        <w:tc>
          <w:tcPr>
            <w:tcW w:w="30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Revenues and other:</w:t>
            </w:r>
          </w:p>
        </w:tc>
        <w:tc>
          <w:tcPr>
            <w:tcW w:w="56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Natural gas, oil and NGL</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3,315</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6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Marketing</w:t>
            </w:r>
          </w:p>
        </w:tc>
        <w:tc>
          <w:tcPr>
            <w:tcW w:w="560" w:type="dxa"/>
            <w:vAlign w:val="bottom"/>
            <w:shd w:val="clear" w:color="auto" w:fill="DBDBDB"/>
          </w:tcPr>
          <w:p>
            <w:pPr>
              <w:spacing w:after="0"/>
              <w:rPr>
                <w:sz w:val="19"/>
                <w:szCs w:val="19"/>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1,212</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Losses on derivatives</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9"/>
        </w:trPr>
        <w:tc>
          <w:tcPr>
            <w:tcW w:w="6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Losses on sales of assets</w:t>
            </w:r>
          </w:p>
        </w:tc>
        <w:tc>
          <w:tcPr>
            <w:tcW w:w="560" w:type="dxa"/>
            <w:vAlign w:val="bottom"/>
            <w:tcBorders>
              <w:bottom w:val="single" w:sz="8" w:color="auto"/>
            </w:tcBorders>
            <w:shd w:val="clear" w:color="auto" w:fill="DBDBDB"/>
          </w:tcPr>
          <w:p>
            <w:pPr>
              <w:spacing w:after="0"/>
              <w:rPr>
                <w:sz w:val="19"/>
                <w:szCs w:val="19"/>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spacing w:after="0"/>
              <w:rPr>
                <w:sz w:val="19"/>
                <w:szCs w:val="19"/>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DBDBDB"/>
            </w:tcBorders>
          </w:tcPr>
          <w:p>
            <w:pPr>
              <w:ind w:left="460"/>
              <w:spacing w:after="0"/>
              <w:rPr>
                <w:sz w:val="20"/>
                <w:szCs w:val="20"/>
                <w:color w:val="auto"/>
              </w:rPr>
            </w:pPr>
            <w:r>
              <w:rPr>
                <w:rFonts w:ascii="Arial" w:cs="Arial" w:eastAsia="Arial" w:hAnsi="Arial"/>
                <w:sz w:val="18"/>
                <w:szCs w:val="18"/>
                <w:color w:val="auto"/>
              </w:rPr>
              <w:t>Total revenues and other</w:t>
            </w: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09"/>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Production</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6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Gathering, processing and transportation</w:t>
            </w:r>
          </w:p>
        </w:tc>
        <w:tc>
          <w:tcPr>
            <w:tcW w:w="560" w:type="dxa"/>
            <w:vAlign w:val="bottom"/>
            <w:shd w:val="clear" w:color="auto" w:fill="DBDBDB"/>
          </w:tcPr>
          <w:p>
            <w:pPr>
              <w:spacing w:after="0"/>
              <w:rPr>
                <w:sz w:val="19"/>
                <w:szCs w:val="19"/>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Severance and ad valorem taxes</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Exploration</w:t>
            </w:r>
          </w:p>
        </w:tc>
        <w:tc>
          <w:tcPr>
            <w:tcW w:w="560" w:type="dxa"/>
            <w:vAlign w:val="bottom"/>
            <w:shd w:val="clear" w:color="auto" w:fill="DBDBDB"/>
          </w:tcPr>
          <w:p>
            <w:pPr>
              <w:spacing w:after="0"/>
              <w:rPr>
                <w:sz w:val="19"/>
                <w:szCs w:val="19"/>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9"/>
        </w:trPr>
        <w:tc>
          <w:tcPr>
            <w:tcW w:w="6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DBDBDB"/>
          </w:tcPr>
          <w:p>
            <w:pPr>
              <w:spacing w:after="0"/>
              <w:rPr>
                <w:sz w:val="19"/>
                <w:szCs w:val="19"/>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Separation and other termination costs</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560" w:type="dxa"/>
            <w:vAlign w:val="bottom"/>
            <w:shd w:val="clear" w:color="auto" w:fill="DBDBDB"/>
          </w:tcPr>
          <w:p>
            <w:pPr>
              <w:spacing w:after="0"/>
              <w:rPr>
                <w:sz w:val="19"/>
                <w:szCs w:val="19"/>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Other operating expense, net</w:t>
            </w: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2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auto"/>
            </w:tcBorders>
            <w:shd w:val="clear" w:color="auto" w:fill="DBDBDB"/>
          </w:tcPr>
          <w:p>
            <w:pPr>
              <w:spacing w:after="0"/>
              <w:rPr>
                <w:sz w:val="19"/>
                <w:szCs w:val="19"/>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2,866</w:t>
            </w:r>
          </w:p>
        </w:tc>
        <w:tc>
          <w:tcPr>
            <w:tcW w:w="140" w:type="dxa"/>
            <w:vAlign w:val="bottom"/>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spacing w:after="0"/>
              <w:rPr>
                <w:sz w:val="19"/>
                <w:szCs w:val="19"/>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9"/>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56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Other income, net</w:t>
            </w:r>
          </w:p>
        </w:tc>
        <w:tc>
          <w:tcPr>
            <w:tcW w:w="560" w:type="dxa"/>
            <w:vAlign w:val="bottom"/>
            <w:tcBorders>
              <w:bottom w:val="single" w:sz="8" w:color="auto"/>
            </w:tcBorders>
            <w:shd w:val="clear" w:color="auto" w:fill="DBDBDB"/>
          </w:tcPr>
          <w:p>
            <w:pPr>
              <w:spacing w:after="0"/>
              <w:rPr>
                <w:sz w:val="19"/>
                <w:szCs w:val="19"/>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spacing w:after="0"/>
              <w:rPr>
                <w:sz w:val="19"/>
                <w:szCs w:val="19"/>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DBDBDB"/>
            </w:tcBorders>
          </w:tcPr>
          <w:p>
            <w:pPr>
              <w:ind w:left="460"/>
              <w:spacing w:after="0"/>
              <w:rPr>
                <w:sz w:val="20"/>
                <w:szCs w:val="20"/>
                <w:color w:val="auto"/>
              </w:rPr>
            </w:pPr>
            <w:r>
              <w:rPr>
                <w:rFonts w:ascii="Arial" w:cs="Arial" w:eastAsia="Arial" w:hAnsi="Arial"/>
                <w:sz w:val="18"/>
                <w:szCs w:val="18"/>
                <w:color w:val="auto"/>
              </w:rPr>
              <w:t>Total other income (expense)</w:t>
            </w: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560" w:type="dxa"/>
            <w:vAlign w:val="bottom"/>
            <w:shd w:val="clear" w:color="auto" w:fill="DBDBDB"/>
          </w:tcPr>
          <w:p>
            <w:pPr>
              <w:spacing w:after="0"/>
              <w:rPr>
                <w:sz w:val="19"/>
                <w:szCs w:val="19"/>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1,489</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Income tax expense (benefit)</w:t>
            </w: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1"/>
        </w:trPr>
        <w:tc>
          <w:tcPr>
            <w:tcW w:w="6280" w:type="dxa"/>
            <w:vAlign w:val="bottom"/>
            <w:tcBorders>
              <w:bottom w:val="single" w:sz="8" w:color="DBDBDB"/>
            </w:tcBorders>
            <w:shd w:val="clear" w:color="auto" w:fill="DBDBDB"/>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560" w:type="dxa"/>
            <w:vAlign w:val="bottom"/>
            <w:tcBorders>
              <w:bottom w:val="single" w:sz="8" w:color="auto"/>
            </w:tcBorders>
            <w:shd w:val="clear" w:color="auto" w:fill="DBDBDB"/>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BDBDB"/>
          </w:tcPr>
          <w:p>
            <w:pPr>
              <w:jc w:val="right"/>
              <w:spacing w:after="0" w:line="196" w:lineRule="exact"/>
              <w:rPr>
                <w:sz w:val="20"/>
                <w:szCs w:val="20"/>
                <w:color w:val="auto"/>
              </w:rPr>
            </w:pPr>
            <w:r>
              <w:rPr>
                <w:rFonts w:ascii="Arial" w:cs="Arial" w:eastAsia="Arial" w:hAnsi="Arial"/>
                <w:sz w:val="18"/>
                <w:szCs w:val="18"/>
                <w:color w:val="auto"/>
              </w:rPr>
              <w:t>1,159</w:t>
            </w:r>
          </w:p>
        </w:tc>
        <w:tc>
          <w:tcPr>
            <w:tcW w:w="14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DBDBDB"/>
          </w:tcPr>
          <w:p>
            <w:pPr>
              <w:jc w:val="right"/>
              <w:spacing w:after="0" w:line="196"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628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8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56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Diluted</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Weighted average common shares outstanding (in thousands):</w:t>
            </w:r>
          </w:p>
        </w:tc>
        <w:tc>
          <w:tcPr>
            <w:tcW w:w="560" w:type="dxa"/>
            <w:vAlign w:val="bottom"/>
            <w:shd w:val="clear" w:color="auto" w:fill="DBDBDB"/>
          </w:tcPr>
          <w:p>
            <w:pPr>
              <w:spacing w:after="0"/>
              <w:rPr>
                <w:sz w:val="19"/>
                <w:szCs w:val="19"/>
                <w:color w:val="auto"/>
              </w:rPr>
            </w:pPr>
          </w:p>
        </w:tc>
        <w:tc>
          <w:tcPr>
            <w:tcW w:w="18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239,900</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234,434</w:t>
            </w:r>
          </w:p>
        </w:tc>
        <w:tc>
          <w:tcPr>
            <w:tcW w:w="0" w:type="dxa"/>
            <w:vAlign w:val="bottom"/>
          </w:tcPr>
          <w:p>
            <w:pPr>
              <w:spacing w:after="0"/>
              <w:rPr>
                <w:sz w:val="1"/>
                <w:szCs w:val="1"/>
                <w:color w:val="auto"/>
              </w:rPr>
            </w:pPr>
          </w:p>
        </w:tc>
      </w:tr>
      <w:tr>
        <w:trPr>
          <w:trHeight w:val="230"/>
        </w:trPr>
        <w:tc>
          <w:tcPr>
            <w:tcW w:w="6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DBDBDB"/>
          </w:tcPr>
          <w:p>
            <w:pPr>
              <w:spacing w:after="0"/>
              <w:rPr>
                <w:sz w:val="19"/>
                <w:szCs w:val="19"/>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240,759</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234,434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2026</w:t>
            </w:r>
          </w:p>
        </w:tc>
        <w:tc>
          <w:tcPr>
            <w:tcW w:w="16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r>
      <w:tr>
        <w:trPr>
          <w:trHeight w:val="209"/>
        </w:trPr>
        <w:tc>
          <w:tcPr>
            <w:tcW w:w="7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7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Deferred income tax expense (benefit)</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Derivative losses, net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29"/>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Cash payments on derivative settlements, net</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20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Losses on sales of assets</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Contract amortization</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2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Changes in assets and liabilities</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72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2,402</w:t>
            </w:r>
          </w:p>
        </w:tc>
        <w:tc>
          <w:tcPr>
            <w:tcW w:w="16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1,096</w:t>
            </w:r>
          </w:p>
        </w:tc>
      </w:tr>
      <w:tr>
        <w:trPr>
          <w:trHeight w:val="209"/>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(563)</w:t>
            </w: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Property acquisitions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Receipts of deferred consideration</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200" w:type="dxa"/>
            <w:vAlign w:val="bottom"/>
          </w:tcPr>
          <w:p>
            <w:pPr>
              <w:ind w:left="240"/>
              <w:spacing w:after="0"/>
              <w:rPr>
                <w:sz w:val="20"/>
                <w:szCs w:val="20"/>
                <w:color w:val="auto"/>
              </w:rPr>
            </w:pPr>
            <w:r>
              <w:rPr>
                <w:rFonts w:ascii="Arial" w:cs="Arial" w:eastAsia="Arial" w:hAnsi="Arial"/>
                <w:sz w:val="18"/>
                <w:szCs w:val="18"/>
                <w:color w:val="auto"/>
              </w:rPr>
              <w:t>Contributions to investments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Distributions from investments</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Proceeds from divestitures of property and equipment</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(507)</w:t>
            </w:r>
          </w:p>
        </w:tc>
      </w:tr>
      <w:tr>
        <w:trPr>
          <w:trHeight w:val="21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Proceeds from credit facility</w:t>
            </w:r>
          </w:p>
        </w:tc>
        <w:tc>
          <w:tcPr>
            <w:tcW w:w="440" w:type="dxa"/>
            <w:vAlign w:val="bottom"/>
            <w:shd w:val="clear" w:color="auto" w:fill="DBDBDB"/>
          </w:tcPr>
          <w:p>
            <w:pPr>
              <w:spacing w:after="0"/>
              <w:rPr>
                <w:sz w:val="19"/>
                <w:szCs w:val="19"/>
                <w:color w:val="auto"/>
              </w:rPr>
            </w:pPr>
          </w:p>
        </w:tc>
        <w:tc>
          <w:tcPr>
            <w:tcW w:w="166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725</w:t>
            </w: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Payments on credit facility</w:t>
            </w:r>
          </w:p>
        </w:tc>
        <w:tc>
          <w:tcPr>
            <w:tcW w:w="44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Proceeds from warrant exercise</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200" w:type="dxa"/>
            <w:vAlign w:val="bottom"/>
          </w:tcPr>
          <w:p>
            <w:pPr>
              <w:ind w:left="240"/>
              <w:spacing w:after="0"/>
              <w:rPr>
                <w:sz w:val="20"/>
                <w:szCs w:val="20"/>
                <w:color w:val="auto"/>
              </w:rPr>
            </w:pPr>
            <w:r>
              <w:rPr>
                <w:rFonts w:ascii="Arial" w:cs="Arial" w:eastAsia="Arial" w:hAnsi="Arial"/>
                <w:sz w:val="18"/>
                <w:szCs w:val="18"/>
                <w:color w:val="auto"/>
              </w:rPr>
              <w:t>Cash paid to repurchase and retire common stock</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Cash paid to purchase debt</w:t>
            </w:r>
          </w:p>
        </w:tc>
        <w:tc>
          <w:tcPr>
            <w:tcW w:w="440" w:type="dxa"/>
            <w:vAlign w:val="bottom"/>
            <w:shd w:val="clear" w:color="auto" w:fill="DBDBDB"/>
          </w:tcPr>
          <w:p>
            <w:pPr>
              <w:spacing w:after="0"/>
              <w:rPr>
                <w:sz w:val="19"/>
                <w:szCs w:val="19"/>
                <w:color w:val="auto"/>
              </w:rPr>
            </w:pPr>
          </w:p>
        </w:tc>
        <w:tc>
          <w:tcPr>
            <w:tcW w:w="16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72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Cash paid for common stock dividends</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72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(557)</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4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0"/>
        </w:trPr>
        <w:tc>
          <w:tcPr>
            <w:tcW w:w="7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7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30"/>
        </w:trPr>
        <w:tc>
          <w:tcPr>
            <w:tcW w:w="7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2,220</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72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7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2,305</w:t>
            </w:r>
          </w:p>
        </w:tc>
        <w:tc>
          <w:tcPr>
            <w:tcW w:w="16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427</w:t>
            </w:r>
          </w:p>
        </w:tc>
      </w:tr>
      <w:tr>
        <w:trPr>
          <w:trHeight w:val="20"/>
        </w:trPr>
        <w:tc>
          <w:tcPr>
            <w:tcW w:w="72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860" w:right="2040"/>
        <w:spacing w:after="0" w:line="270" w:lineRule="auto"/>
        <w:rPr>
          <w:sz w:val="20"/>
          <w:szCs w:val="20"/>
          <w:color w:val="auto"/>
        </w:rPr>
      </w:pPr>
      <w:r>
        <w:rPr>
          <w:rFonts w:ascii="Arial" w:cs="Arial" w:eastAsia="Arial" w:hAnsi="Arial"/>
          <w:sz w:val="18"/>
          <w:szCs w:val="18"/>
          <w:b w:val="1"/>
          <w:bCs w:val="1"/>
          <w:color w:val="auto"/>
        </w:rPr>
        <w:t>EXPAND ENERGY CORPORATION AND SUBSIDIARIES CONDENSED CONSOLIDATED STATEMENTS OF STOCKHOLDERS’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p>
        </w:tc>
        <w:tc>
          <w:tcPr>
            <w:tcW w:w="2460" w:type="dxa"/>
            <w:vAlign w:val="bottom"/>
            <w:gridSpan w:val="5"/>
          </w:tcPr>
          <w:p>
            <w:pPr>
              <w:ind w:left="520"/>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center"/>
              <w:ind w:right="57"/>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rPr>
              <w:t>Additional Paid-in</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00" w:type="dxa"/>
            <w:vAlign w:val="bottom"/>
          </w:tcPr>
          <w:p>
            <w:pPr>
              <w:spacing w:after="0"/>
              <w:rPr>
                <w:sz w:val="15"/>
                <w:szCs w:val="15"/>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Amount</w:t>
            </w:r>
          </w:p>
        </w:tc>
        <w:tc>
          <w:tcPr>
            <w:tcW w:w="1820" w:type="dxa"/>
            <w:vAlign w:val="bottom"/>
            <w:gridSpan w:val="3"/>
            <w:vMerge w:val="continue"/>
          </w:tcPr>
          <w:p>
            <w:pPr>
              <w:spacing w:after="0"/>
              <w:rPr>
                <w:sz w:val="15"/>
                <w:szCs w:val="15"/>
                <w:color w:val="auto"/>
              </w:rPr>
            </w:pPr>
          </w:p>
        </w:tc>
        <w:tc>
          <w:tcPr>
            <w:tcW w:w="18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Retained Earnings</w:t>
            </w:r>
          </w:p>
        </w:tc>
        <w:tc>
          <w:tcPr>
            <w:tcW w:w="140" w:type="dxa"/>
            <w:vAlign w:val="bottom"/>
          </w:tcPr>
          <w:p>
            <w:pPr>
              <w:spacing w:after="0"/>
              <w:rPr>
                <w:sz w:val="15"/>
                <w:szCs w:val="15"/>
                <w:color w:val="auto"/>
              </w:rPr>
            </w:pPr>
          </w:p>
        </w:tc>
        <w:tc>
          <w:tcPr>
            <w:tcW w:w="1400" w:type="dxa"/>
            <w:vAlign w:val="bottom"/>
          </w:tcPr>
          <w:p>
            <w:pPr>
              <w:jc w:val="center"/>
              <w:ind w:right="57"/>
              <w:spacing w:after="0" w:line="181"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Capital</w:t>
            </w:r>
          </w:p>
        </w:tc>
        <w:tc>
          <w:tcPr>
            <w:tcW w:w="18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right="57"/>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09"/>
        </w:trPr>
        <w:tc>
          <w:tcPr>
            <w:tcW w:w="35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231,769,886</w:t>
            </w:r>
          </w:p>
        </w:tc>
        <w:tc>
          <w:tcPr>
            <w:tcW w:w="12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jc w:val="right"/>
              <w:ind w:right="157"/>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13,687</w:t>
            </w:r>
          </w:p>
        </w:tc>
        <w:tc>
          <w:tcPr>
            <w:tcW w:w="120" w:type="dxa"/>
            <w:vAlign w:val="bottom"/>
            <w:tcBorders>
              <w:top w:val="single" w:sz="8" w:color="DBDBDB"/>
            </w:tcBorders>
            <w:shd w:val="clear" w:color="auto" w:fill="DBDBDB"/>
          </w:tcPr>
          <w:p>
            <w:pPr>
              <w:spacing w:after="0"/>
              <w:rPr>
                <w:sz w:val="18"/>
                <w:szCs w:val="18"/>
                <w:color w:val="auto"/>
              </w:rPr>
            </w:pPr>
          </w:p>
        </w:tc>
        <w:tc>
          <w:tcPr>
            <w:tcW w:w="660" w:type="dxa"/>
            <w:vAlign w:val="bottom"/>
            <w:tcBorders>
              <w:top w:val="single" w:sz="8" w:color="auto"/>
            </w:tcBorders>
            <w:shd w:val="clear" w:color="auto" w:fill="DBDBDB"/>
          </w:tcPr>
          <w:p>
            <w:pPr>
              <w:jc w:val="right"/>
              <w:ind w:right="477"/>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3,876</w:t>
            </w: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17,565</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6"/>
                <w:szCs w:val="16"/>
                <w:color w:val="auto"/>
              </w:rPr>
              <w:t>386,025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3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5,320,216</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6"/>
        </w:trPr>
        <w:tc>
          <w:tcPr>
            <w:tcW w:w="3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12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237,476,127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13,700</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17,191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December 31, 2025</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239,249,874</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7"/>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13,746</w:t>
            </w: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jc w:val="right"/>
              <w:ind w:right="477"/>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4,830</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18,578</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6"/>
                <w:szCs w:val="16"/>
                <w:color w:val="auto"/>
              </w:rPr>
              <w:t>333,423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3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1,122,179</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line="162" w:lineRule="exact"/>
              <w:rPr>
                <w:sz w:val="20"/>
                <w:szCs w:val="20"/>
                <w:color w:val="auto"/>
              </w:rPr>
            </w:pPr>
            <w:r>
              <w:rPr>
                <w:rFonts w:ascii="Arial" w:cs="Arial" w:eastAsia="Arial" w:hAnsi="Arial"/>
                <w:sz w:val="16"/>
                <w:szCs w:val="16"/>
                <w:color w:val="auto"/>
              </w:rPr>
              <w:t>Issuance of reserved common stock and</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2,554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3"/>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warrants</w:t>
            </w: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3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(622,458)</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16"/>
        </w:trPr>
        <w:tc>
          <w:tcPr>
            <w:tcW w:w="3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12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2026</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240,085,572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13,759</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19,546</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2480"/>
        <w:spacing w:after="0" w:line="263"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(Unaudited)</w:t>
      </w:r>
    </w:p>
    <w:p>
      <w:pPr>
        <w:spacing w:after="0" w:line="200" w:lineRule="exact"/>
        <w:rPr>
          <w:sz w:val="20"/>
          <w:szCs w:val="20"/>
          <w:color w:val="auto"/>
        </w:rPr>
      </w:pPr>
    </w:p>
    <w:p>
      <w:pPr>
        <w:spacing w:after="0" w:line="371" w:lineRule="exact"/>
        <w:rPr>
          <w:sz w:val="20"/>
          <w:szCs w:val="20"/>
          <w:color w:val="auto"/>
        </w:rPr>
      </w:pPr>
    </w:p>
    <w:p>
      <w:pPr>
        <w:ind w:left="500" w:hanging="474"/>
        <w:spacing w:after="0"/>
        <w:tabs>
          <w:tab w:leader="none" w:pos="500" w:val="left"/>
        </w:tabs>
        <w:numPr>
          <w:ilvl w:val="0"/>
          <w:numId w:val="2"/>
        </w:numPr>
        <w:rPr>
          <w:rFonts w:ascii="Arial" w:cs="Arial" w:eastAsia="Arial" w:hAnsi="Arial"/>
          <w:sz w:val="18"/>
          <w:szCs w:val="18"/>
          <w:b w:val="1"/>
          <w:bCs w:val="1"/>
          <w:color w:val="00386C"/>
        </w:rPr>
      </w:pPr>
      <w:r>
        <w:rPr>
          <w:rFonts w:ascii="Arial" w:cs="Arial" w:eastAsia="Arial" w:hAnsi="Arial"/>
          <w:sz w:val="18"/>
          <w:szCs w:val="18"/>
          <w:b w:val="1"/>
          <w:bCs w:val="1"/>
          <w:color w:val="00386C"/>
        </w:rPr>
        <w:t>Basis of Presentation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17780</wp:posOffset>
            </wp:positionV>
            <wp:extent cx="39001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Description of Company</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Expand Energy Corporation (“Expand Energy,” “we,” “our,” “us” or the “Company”) is the largest natural gas producer in the U.S., based on net daily production, and is focused on responsibly developing an abundant supply of natural gas, oil and NGL to expand energy access for all. We have operations in Louisiana, Texas, Pennsylvania, West Virginia and Ohio, with all of our operations located onshore in the United States.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accompanying unaudited condensed consolidated financial statements of Expand Energy were prepared in accordance with GAAP and the rules and regulations of the SEC. Pursuant to such rules and regulations, certain disclosures have been condensed or omitted.</w:t>
      </w:r>
    </w:p>
    <w:p>
      <w:pPr>
        <w:spacing w:after="0" w:line="99" w:lineRule="exact"/>
        <w:rPr>
          <w:sz w:val="20"/>
          <w:szCs w:val="20"/>
          <w:color w:val="auto"/>
        </w:rPr>
      </w:pPr>
    </w:p>
    <w:p>
      <w:pPr>
        <w:jc w:val="both"/>
        <w:ind w:firstLine="405"/>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(this “Form 10-Q”) relates to our financial position as of March 31, 2026 and December 31, 2025, and our results of operations for the three months ended March 31, 2026 (“Current Quarter”), and the three months ended March 31, 2025 (“Prior Quarter”). Our </w:t>
      </w:r>
      <w:hyperlink r:id="rId24">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 (“2025 Form 10-K”) should be read in conjunction with this Form 10-Q. The accompanying unaudited condensed consolidated financial statements reflect all normal recurring adjustments that, in the opinion of management, are necessary for a fair statement of our condensed consolidated financial statements and accompanying notes and include the accounts of our direct and indirect wholly owned subsidiaries and entities in which we have a controlling financial interest. Intercompany accounts and balances have been eliminated. For the time periods covered by this Form 10-Q, we did not have any changes or items impacting other comprehensive income.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Restricted Cash</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of March 31, 2026, we had restricted cash of $85 million. Our restricted cash represents funds restricted for payment of certain royalties pending the outcome of competing ownership claims for certain minerals, as well as for payment of certain convenience class unsecured claims.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December 2025, the FASB issued ASU 2025-11, </w:t>
      </w:r>
      <w:r>
        <w:rPr>
          <w:rFonts w:ascii="Arial" w:cs="Arial" w:eastAsia="Arial" w:hAnsi="Arial"/>
          <w:sz w:val="18"/>
          <w:szCs w:val="18"/>
          <w:i w:val="1"/>
          <w:iCs w:val="1"/>
          <w:color w:val="auto"/>
        </w:rPr>
        <w:t>Interim Reporting (Topic 270): Narrow-Scope Improvements</w:t>
      </w:r>
      <w:r>
        <w:rPr>
          <w:rFonts w:ascii="Arial" w:cs="Arial" w:eastAsia="Arial" w:hAnsi="Arial"/>
          <w:sz w:val="18"/>
          <w:szCs w:val="18"/>
          <w:color w:val="auto"/>
        </w:rPr>
        <w:t>. ASU 2025-11 clarifies interim disclosure requirements and the applicability of Topic 270. Additionally, ASU 2025-11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with early adoption permitted. We are evaluating the impact this ASU will have on our disclosures.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ASU 2024-03 expands disclosures about specific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presented on the face of the income statement. This ASU is effective for annual reporting periods beginning after December 15, 2026, and for interim reporting periods within annual reporting periods beginning after December 15, 2027, with early adoption permitted. We are evaluating the impact this ASU will have on our disclosures.</w:t>
      </w:r>
    </w:p>
    <w:p>
      <w:pPr>
        <w:spacing w:after="0" w:line="125"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We consider the applicability and impact of all ASUs. ASUs not listed above were evaluated and determined to either be not applicable, already adopted and disclosed or not material upon adoption.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0" w:hanging="454"/>
        <w:spacing w:after="0"/>
        <w:tabs>
          <w:tab w:leader="none" w:pos="480" w:val="left"/>
        </w:tabs>
        <w:numPr>
          <w:ilvl w:val="0"/>
          <w:numId w:val="3"/>
        </w:numPr>
        <w:rPr>
          <w:rFonts w:ascii="Arial" w:cs="Arial" w:eastAsia="Arial" w:hAnsi="Arial"/>
          <w:sz w:val="18"/>
          <w:szCs w:val="18"/>
          <w:b w:val="1"/>
          <w:bCs w:val="1"/>
          <w:color w:val="00386C"/>
        </w:rPr>
      </w:pPr>
      <w:r>
        <w:rPr>
          <w:rFonts w:ascii="Arial" w:cs="Arial" w:eastAsia="Arial" w:hAnsi="Arial"/>
          <w:sz w:val="18"/>
          <w:szCs w:val="18"/>
          <w:b w:val="1"/>
          <w:bCs w:val="1"/>
          <w:color w:val="00386C"/>
        </w:rPr>
        <w:t>Natural Gas and Oil Property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2331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Eagle Ford Divestitures</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2023, we divested our Eagle Ford assets through three separate transactions (“the Eagle Ford divestiture transactions”). In each of these transactions, we received a portion of the purchase price upon closing, subject to customary post-closing adjustments, with the remainder of the purchase price recorded as deferred consideration and treated as a non-interest-bearing note to be paid in installments in up to the following four years following the close of the transaction. The deferred consideration is recorded at fair value with an imputed rate of interest as a Level 2 input, and approximately $97 million and $114 million of the deferred consideration is reflected within other current assets and approximately $52 million and $91 million of the deferred consideration is reflected within other long-term assets on the condensed consolidated balance sheets as of March 31, 2026 and December 31, 2025, respectively. These installment payments are recorded as receipts of deferred consideration in our condensed consolidated statements of cash flows.</w:t>
      </w:r>
    </w:p>
    <w:p>
      <w:pPr>
        <w:spacing w:after="0" w:line="50" w:lineRule="exact"/>
        <w:rPr>
          <w:sz w:val="20"/>
          <w:szCs w:val="20"/>
          <w:color w:val="auto"/>
        </w:rPr>
      </w:pPr>
    </w:p>
    <w:p>
      <w:pPr>
        <w:ind w:left="440" w:hanging="414"/>
        <w:spacing w:after="0"/>
        <w:tabs>
          <w:tab w:leader="none" w:pos="440" w:val="left"/>
        </w:tabs>
        <w:numPr>
          <w:ilvl w:val="0"/>
          <w:numId w:val="4"/>
        </w:numPr>
        <w:rPr>
          <w:rFonts w:ascii="Arial" w:cs="Arial" w:eastAsia="Arial" w:hAnsi="Arial"/>
          <w:sz w:val="18"/>
          <w:szCs w:val="18"/>
          <w:b w:val="1"/>
          <w:bCs w:val="1"/>
          <w:color w:val="00386C"/>
        </w:rPr>
      </w:pPr>
      <w:r>
        <w:rPr>
          <w:rFonts w:ascii="Arial" w:cs="Arial" w:eastAsia="Arial" w:hAnsi="Arial"/>
          <w:sz w:val="18"/>
          <w:szCs w:val="18"/>
          <w:b w:val="1"/>
          <w:bCs w:val="1"/>
          <w:color w:val="00386C"/>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1105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Basic earnings (loss) per common share is computed by dividing net income (loss) by the weighted average number of shares of common stock outstanding during the period. Diluted earnings (loss) per common share is calculated in the same manner but includes the impact of potentially dilutive securities utilizing the treasury stock method. Potentially dilutive securities consists of issuable shares related to warrants, unvested restricted stock units (“RSUs”), and unvested performance share units (“PSUs”).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reconciliations between basic and diluted earnings (loss) per share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Pr>
          <w:p>
            <w:pPr>
              <w:spacing w:after="0"/>
              <w:rPr>
                <w:sz w:val="20"/>
                <w:szCs w:val="20"/>
                <w:color w:val="auto"/>
              </w:rPr>
            </w:pPr>
          </w:p>
        </w:tc>
        <w:tc>
          <w:tcPr>
            <w:tcW w:w="36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82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r>
      <w:tr>
        <w:trPr>
          <w:trHeight w:val="209"/>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Numerator</w:t>
            </w:r>
          </w:p>
        </w:tc>
        <w:tc>
          <w:tcPr>
            <w:tcW w:w="136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spacing w:after="0"/>
              <w:rPr>
                <w:sz w:val="18"/>
                <w:szCs w:val="18"/>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 basic and diluted</w:t>
            </w:r>
          </w:p>
        </w:tc>
        <w:tc>
          <w:tcPr>
            <w:tcW w:w="13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0"/>
        </w:trPr>
        <w:tc>
          <w:tcPr>
            <w:tcW w:w="6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1"/>
        </w:trPr>
        <w:tc>
          <w:tcPr>
            <w:tcW w:w="67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30"/>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Denominator (in thousands)</w:t>
            </w:r>
          </w:p>
        </w:tc>
        <w:tc>
          <w:tcPr>
            <w:tcW w:w="136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239,900</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234,434</w:t>
            </w:r>
          </w:p>
        </w:tc>
      </w:tr>
      <w:tr>
        <w:trPr>
          <w:trHeight w:val="229"/>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 of potentially dilutive securities</w:t>
            </w:r>
          </w:p>
        </w:tc>
        <w:tc>
          <w:tcPr>
            <w:tcW w:w="136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6740" w:type="dxa"/>
            <w:vAlign w:val="bottom"/>
          </w:tcPr>
          <w:p>
            <w:pPr>
              <w:ind w:left="240"/>
              <w:spacing w:after="0"/>
              <w:rPr>
                <w:sz w:val="20"/>
                <w:szCs w:val="20"/>
                <w:color w:val="auto"/>
              </w:rPr>
            </w:pPr>
            <w:r>
              <w:rPr>
                <w:rFonts w:ascii="Arial" w:cs="Arial" w:eastAsia="Arial" w:hAnsi="Arial"/>
                <w:sz w:val="18"/>
                <w:szCs w:val="18"/>
                <w:color w:val="auto"/>
              </w:rPr>
              <w:t>Warrants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Restricted stock units</w:t>
            </w:r>
          </w:p>
        </w:tc>
        <w:tc>
          <w:tcPr>
            <w:tcW w:w="136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40"/>
              <w:spacing w:after="0"/>
              <w:rPr>
                <w:sz w:val="20"/>
                <w:szCs w:val="20"/>
                <w:color w:val="auto"/>
              </w:rPr>
            </w:pPr>
            <w:r>
              <w:rPr>
                <w:rFonts w:ascii="Arial" w:cs="Arial" w:eastAsia="Arial" w:hAnsi="Arial"/>
                <w:sz w:val="18"/>
                <w:szCs w:val="18"/>
                <w:color w:val="auto"/>
              </w:rPr>
              <w:t>Performance share units</w:t>
            </w:r>
          </w:p>
        </w:tc>
        <w:tc>
          <w:tcPr>
            <w:tcW w:w="1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360" w:type="dxa"/>
            <w:vAlign w:val="bottom"/>
            <w:tcBorders>
              <w:top w:val="single" w:sz="8" w:color="auto"/>
              <w:bottom w:val="single" w:sz="8" w:color="auto"/>
            </w:tcBorders>
            <w:shd w:val="clear" w:color="auto" w:fill="DBDBDB"/>
          </w:tcPr>
          <w:p>
            <w:pPr>
              <w:spacing w:after="0"/>
              <w:rPr>
                <w:sz w:val="21"/>
                <w:szCs w:val="21"/>
                <w:color w:val="auto"/>
              </w:rPr>
            </w:pP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240,759</w:t>
            </w:r>
          </w:p>
        </w:tc>
        <w:tc>
          <w:tcPr>
            <w:tcW w:w="140" w:type="dxa"/>
            <w:vAlign w:val="bottom"/>
            <w:tcBorders>
              <w:top w:val="single" w:sz="8" w:color="DBDBDB"/>
              <w:bottom w:val="single" w:sz="8" w:color="DBDBDB"/>
            </w:tcBorders>
            <w:shd w:val="clear" w:color="auto" w:fill="DBDBDB"/>
          </w:tcPr>
          <w:p>
            <w:pPr>
              <w:spacing w:after="0"/>
              <w:rPr>
                <w:sz w:val="21"/>
                <w:szCs w:val="21"/>
                <w:color w:val="auto"/>
              </w:rPr>
            </w:pPr>
          </w:p>
        </w:tc>
        <w:tc>
          <w:tcPr>
            <w:tcW w:w="1360" w:type="dxa"/>
            <w:vAlign w:val="bottom"/>
            <w:tcBorders>
              <w:top w:val="single" w:sz="8" w:color="auto"/>
              <w:bottom w:val="single" w:sz="8" w:color="auto"/>
            </w:tcBorders>
            <w:shd w:val="clear" w:color="auto" w:fill="DBDBDB"/>
          </w:tcPr>
          <w:p>
            <w:pPr>
              <w:spacing w:after="0"/>
              <w:rPr>
                <w:sz w:val="21"/>
                <w:szCs w:val="21"/>
                <w:color w:val="auto"/>
              </w:rPr>
            </w:pP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234,434</w:t>
            </w:r>
          </w:p>
        </w:tc>
      </w:tr>
      <w:tr>
        <w:trPr>
          <w:trHeight w:val="20"/>
        </w:trPr>
        <w:tc>
          <w:tcPr>
            <w:tcW w:w="674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41"/>
        </w:trPr>
        <w:tc>
          <w:tcPr>
            <w:tcW w:w="67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0"/>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136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Basic</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9"/>
                <w:szCs w:val="19"/>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DBDBDB"/>
          </w:tcPr>
          <w:p>
            <w:pPr>
              <w:jc w:val="right"/>
              <w:ind w:right="1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w:t>
            </w:r>
          </w:p>
        </w:tc>
      </w:tr>
    </w:tbl>
    <w:p>
      <w:pPr>
        <w:spacing w:after="0" w:line="3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During the Current Quarter and Prior Quarter, the diluted earnings (loss) per share calculation excludes the effect of 10,837 and 308,646 reserved shares of common stock and 0 and 582,109 reserved Class C Warrants related to the settlement of General Unsecured Claims associated with the Chapter 11 Cases, as all necessary conditions had not been met for such shares to be considered dilutive shares during the Current Quarter and Prior Quarter, respectively. On February 9, 2026, the Warrants, including the Class C Warrants, expired. For additional information on the Warrants, see </w:t>
      </w:r>
      <w:r>
        <w:rPr>
          <w:rFonts w:ascii="Arial" w:cs="Arial" w:eastAsia="Arial" w:hAnsi="Arial"/>
          <w:sz w:val="18"/>
          <w:szCs w:val="18"/>
          <w:u w:val="single" w:color="auto"/>
          <w:color w:val="0000FF"/>
        </w:rPr>
        <w:t>Note 9</w:t>
      </w:r>
      <w:r>
        <w:rPr>
          <w:rFonts w:ascii="Arial" w:cs="Arial" w:eastAsia="Arial" w:hAnsi="Arial"/>
          <w:sz w:val="18"/>
          <w:szCs w:val="18"/>
          <w:color w:val="auto"/>
        </w:rPr>
        <w:t>. Additionally, the diluted loss per share calculation during the Prior Quarter excludes the antidilutive effect of 5,634,917 Warrants, 413,816 RSUs and 154,868 PSUs.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80" w:hanging="354"/>
        <w:spacing w:after="0"/>
        <w:tabs>
          <w:tab w:leader="none" w:pos="380" w:val="left"/>
        </w:tabs>
        <w:numPr>
          <w:ilvl w:val="0"/>
          <w:numId w:val="5"/>
        </w:numPr>
        <w:rPr>
          <w:rFonts w:ascii="Arial" w:cs="Arial" w:eastAsia="Arial" w:hAnsi="Arial"/>
          <w:sz w:val="18"/>
          <w:szCs w:val="18"/>
          <w:b w:val="1"/>
          <w:bCs w:val="1"/>
          <w:color w:val="00386C"/>
        </w:rPr>
      </w:pPr>
      <w:r>
        <w:rPr>
          <w:rFonts w:ascii="Arial" w:cs="Arial" w:eastAsia="Arial" w:hAnsi="Arial"/>
          <w:sz w:val="18"/>
          <w:szCs w:val="18"/>
          <w:b w:val="1"/>
          <w:bCs w:val="1"/>
          <w:color w:val="00386C"/>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3429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long-term debt consisted of the following as of March 31, 2026 and December 31, 2025:</w:t>
      </w:r>
    </w:p>
    <w:p>
      <w:pPr>
        <w:spacing w:after="0" w:line="131" w:lineRule="exact"/>
        <w:rPr>
          <w:sz w:val="20"/>
          <w:szCs w:val="20"/>
          <w:color w:val="auto"/>
        </w:rPr>
      </w:pPr>
    </w:p>
    <w:tbl>
      <w:tblPr>
        <w:tblLayout w:type="fixed"/>
        <w:tblInd w:w="220" w:type="dxa"/>
        <w:tblCellMar>
          <w:top w:w="0" w:type="dxa"/>
          <w:left w:w="0" w:type="dxa"/>
          <w:bottom w:w="0" w:type="dxa"/>
          <w:right w:w="0" w:type="dxa"/>
        </w:tblCellMar>
      </w:tblPr>
      <w:tr>
        <w:trPr>
          <w:trHeight w:val="235"/>
        </w:trPr>
        <w:tc>
          <w:tcPr>
            <w:tcW w:w="4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80" w:type="dxa"/>
            <w:vAlign w:val="bottom"/>
            <w:gridSpan w:val="5"/>
          </w:tcPr>
          <w:p>
            <w:pPr>
              <w:ind w:left="440"/>
              <w:spacing w:after="0"/>
              <w:rPr>
                <w:sz w:val="20"/>
                <w:szCs w:val="20"/>
                <w:color w:val="auto"/>
              </w:rPr>
            </w:pPr>
            <w:r>
              <w:rPr>
                <w:rFonts w:ascii="Arial" w:cs="Arial" w:eastAsia="Arial" w:hAnsi="Arial"/>
                <w:sz w:val="18"/>
                <w:szCs w:val="18"/>
                <w:b w:val="1"/>
                <w:bCs w:val="1"/>
                <w:color w:val="auto"/>
              </w:rPr>
              <w:t>March 31, 2026</w:t>
            </w:r>
          </w:p>
        </w:tc>
        <w:tc>
          <w:tcPr>
            <w:tcW w:w="460" w:type="dxa"/>
            <w:vAlign w:val="bottom"/>
          </w:tcPr>
          <w:p>
            <w:pPr>
              <w:spacing w:after="0"/>
              <w:rPr>
                <w:sz w:val="20"/>
                <w:szCs w:val="20"/>
                <w:color w:val="auto"/>
              </w:rPr>
            </w:pPr>
          </w:p>
        </w:tc>
        <w:tc>
          <w:tcPr>
            <w:tcW w:w="28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4220" w:type="dxa"/>
            <w:vAlign w:val="bottom"/>
          </w:tcPr>
          <w:p>
            <w:pPr>
              <w:spacing w:after="0"/>
              <w:rPr>
                <w:sz w:val="19"/>
                <w:szCs w:val="19"/>
                <w:color w:val="auto"/>
              </w:rPr>
            </w:pPr>
          </w:p>
        </w:tc>
        <w:tc>
          <w:tcPr>
            <w:tcW w:w="17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Carrying Amount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c>
          <w:tcPr>
            <w:tcW w:w="280" w:type="dxa"/>
            <w:vAlign w:val="bottom"/>
          </w:tcPr>
          <w:p>
            <w:pPr>
              <w:spacing w:after="0"/>
              <w:rPr>
                <w:sz w:val="19"/>
                <w:szCs w:val="19"/>
                <w:color w:val="auto"/>
              </w:rPr>
            </w:pPr>
          </w:p>
        </w:tc>
        <w:tc>
          <w:tcPr>
            <w:tcW w:w="1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Carrying Amount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r>
      <w:tr>
        <w:trPr>
          <w:trHeight w:val="223"/>
        </w:trPr>
        <w:tc>
          <w:tcPr>
            <w:tcW w:w="422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8"/>
                <w:szCs w:val="18"/>
                <w:color w:val="auto"/>
              </w:rPr>
              <w:t>Credit Facility</w:t>
            </w:r>
          </w:p>
        </w:tc>
        <w:tc>
          <w:tcPr>
            <w:tcW w:w="5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5.375% senior notes due 2029</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29"/>
        </w:trPr>
        <w:tc>
          <w:tcPr>
            <w:tcW w:w="4220" w:type="dxa"/>
            <w:vAlign w:val="bottom"/>
            <w:shd w:val="clear" w:color="auto" w:fill="DBDBDB"/>
          </w:tcPr>
          <w:p>
            <w:pPr>
              <w:spacing w:after="0"/>
              <w:rPr>
                <w:sz w:val="20"/>
                <w:szCs w:val="20"/>
                <w:color w:val="auto"/>
              </w:rPr>
            </w:pPr>
            <w:r>
              <w:rPr>
                <w:rFonts w:ascii="Arial" w:cs="Arial" w:eastAsia="Arial" w:hAnsi="Arial"/>
                <w:sz w:val="18"/>
                <w:szCs w:val="18"/>
                <w:color w:val="auto"/>
              </w:rPr>
              <w:t>5.875% senior notes due 2029</w:t>
            </w:r>
          </w:p>
        </w:tc>
        <w:tc>
          <w:tcPr>
            <w:tcW w:w="5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4220" w:type="dxa"/>
            <w:vAlign w:val="bottom"/>
          </w:tcPr>
          <w:p>
            <w:pPr>
              <w:spacing w:after="0" w:line="230" w:lineRule="exact"/>
              <w:rPr>
                <w:sz w:val="20"/>
                <w:szCs w:val="20"/>
                <w:color w:val="auto"/>
              </w:rPr>
            </w:pPr>
            <w:r>
              <w:rPr>
                <w:rFonts w:ascii="Arial" w:cs="Arial" w:eastAsia="Arial" w:hAnsi="Arial"/>
                <w:sz w:val="18"/>
                <w:szCs w:val="18"/>
                <w:color w:val="auto"/>
              </w:rPr>
              <w:t>6.75% senior notes due 2029</w:t>
            </w:r>
            <w:r>
              <w:rPr>
                <w:rFonts w:ascii="Arial" w:cs="Arial" w:eastAsia="Arial" w:hAnsi="Arial"/>
                <w:sz w:val="23"/>
                <w:szCs w:val="23"/>
                <w:color w:val="auto"/>
                <w:vertAlign w:val="superscript"/>
              </w:rPr>
              <w:t>(b)</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30"/>
        </w:trPr>
        <w:tc>
          <w:tcPr>
            <w:tcW w:w="4220" w:type="dxa"/>
            <w:vAlign w:val="bottom"/>
            <w:shd w:val="clear" w:color="auto" w:fill="DBDBDB"/>
          </w:tcPr>
          <w:p>
            <w:pPr>
              <w:spacing w:after="0"/>
              <w:rPr>
                <w:sz w:val="20"/>
                <w:szCs w:val="20"/>
                <w:color w:val="auto"/>
              </w:rPr>
            </w:pPr>
            <w:r>
              <w:rPr>
                <w:rFonts w:ascii="Arial" w:cs="Arial" w:eastAsia="Arial" w:hAnsi="Arial"/>
                <w:sz w:val="18"/>
                <w:szCs w:val="18"/>
                <w:color w:val="auto"/>
              </w:rPr>
              <w:t>5.375% senior notes due 2030</w:t>
            </w:r>
          </w:p>
        </w:tc>
        <w:tc>
          <w:tcPr>
            <w:tcW w:w="5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1,211</w:t>
            </w:r>
          </w:p>
        </w:tc>
        <w:tc>
          <w:tcPr>
            <w:tcW w:w="2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1,218</w:t>
            </w: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4.75% senior notes due 2032</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230"/>
        </w:trPr>
        <w:tc>
          <w:tcPr>
            <w:tcW w:w="4220" w:type="dxa"/>
            <w:vAlign w:val="bottom"/>
            <w:shd w:val="clear" w:color="auto" w:fill="DBDBDB"/>
          </w:tcPr>
          <w:p>
            <w:pPr>
              <w:spacing w:after="0"/>
              <w:rPr>
                <w:sz w:val="20"/>
                <w:szCs w:val="20"/>
                <w:color w:val="auto"/>
              </w:rPr>
            </w:pPr>
            <w:r>
              <w:rPr>
                <w:rFonts w:ascii="Arial" w:cs="Arial" w:eastAsia="Arial" w:hAnsi="Arial"/>
                <w:sz w:val="18"/>
                <w:szCs w:val="18"/>
                <w:color w:val="auto"/>
              </w:rPr>
              <w:t>5.70% senior notes due 2035</w:t>
            </w:r>
          </w:p>
        </w:tc>
        <w:tc>
          <w:tcPr>
            <w:tcW w:w="5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761</w:t>
            </w:r>
          </w:p>
        </w:tc>
        <w:tc>
          <w:tcPr>
            <w:tcW w:w="2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w:t>
            </w: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Discounts on senior notes, net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20" w:type="dxa"/>
            <w:vAlign w:val="bottom"/>
            <w:shd w:val="clear" w:color="auto" w:fill="DBDBDB"/>
          </w:tcPr>
          <w:p>
            <w:pPr>
              <w:spacing w:after="0"/>
              <w:rPr>
                <w:sz w:val="20"/>
                <w:szCs w:val="20"/>
                <w:color w:val="auto"/>
              </w:rPr>
            </w:pPr>
            <w:r>
              <w:rPr>
                <w:rFonts w:ascii="Arial" w:cs="Arial" w:eastAsia="Arial" w:hAnsi="Arial"/>
                <w:sz w:val="18"/>
                <w:szCs w:val="18"/>
                <w:color w:val="auto"/>
              </w:rPr>
              <w:t>Debt issuance costs</w:t>
            </w:r>
          </w:p>
        </w:tc>
        <w:tc>
          <w:tcPr>
            <w:tcW w:w="5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Total debt, net</w:t>
            </w: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2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280" w:type="dxa"/>
            <w:vAlign w:val="bottom"/>
            <w:tcBorders>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2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5,063</w:t>
            </w:r>
          </w:p>
        </w:tc>
      </w:tr>
      <w:tr>
        <w:trPr>
          <w:trHeight w:val="223"/>
        </w:trPr>
        <w:tc>
          <w:tcPr>
            <w:tcW w:w="4220" w:type="dxa"/>
            <w:vAlign w:val="bottom"/>
            <w:shd w:val="clear" w:color="auto" w:fill="DBDBDB"/>
          </w:tcPr>
          <w:p>
            <w:pPr>
              <w:spacing w:after="0"/>
              <w:rPr>
                <w:sz w:val="20"/>
                <w:szCs w:val="20"/>
                <w:color w:val="auto"/>
              </w:rPr>
            </w:pPr>
            <w:r>
              <w:rPr>
                <w:rFonts w:ascii="Arial" w:cs="Arial" w:eastAsia="Arial" w:hAnsi="Arial"/>
                <w:sz w:val="18"/>
                <w:szCs w:val="18"/>
                <w:color w:val="auto"/>
              </w:rPr>
              <w:t>Less current maturities of long-term debt, net</w:t>
            </w:r>
          </w:p>
        </w:tc>
        <w:tc>
          <w:tcPr>
            <w:tcW w:w="5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(848)</w:t>
            </w:r>
          </w:p>
        </w:tc>
        <w:tc>
          <w:tcPr>
            <w:tcW w:w="28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ind w:left="220"/>
              <w:spacing w:after="0"/>
              <w:rPr>
                <w:sz w:val="20"/>
                <w:szCs w:val="20"/>
                <w:color w:val="auto"/>
              </w:rPr>
            </w:pPr>
            <w:r>
              <w:rPr>
                <w:rFonts w:ascii="Arial" w:cs="Arial" w:eastAsia="Arial" w:hAnsi="Arial"/>
                <w:sz w:val="18"/>
                <w:szCs w:val="18"/>
                <w:color w:val="auto"/>
              </w:rPr>
              <w:t>Total long-term debt, net</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28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w:t>
            </w:r>
          </w:p>
        </w:tc>
      </w:tr>
      <w:tr>
        <w:trPr>
          <w:trHeight w:val="21"/>
        </w:trPr>
        <w:tc>
          <w:tcPr>
            <w:tcW w:w="4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90" w:lineRule="exact"/>
        <w:rPr>
          <w:sz w:val="20"/>
          <w:szCs w:val="20"/>
          <w:color w:val="auto"/>
        </w:rPr>
      </w:pPr>
    </w:p>
    <w:p>
      <w:pPr>
        <w:jc w:val="both"/>
        <w:ind w:left="420" w:hanging="412"/>
        <w:spacing w:after="0" w:line="268"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value of borrowings under our Credit Facility approximates fair value as the interest rates are based on prevailing market rates; therefore, they are a Level 1 fair value measurement. For all other debt, a market approach, based upon quotes from major financial institutions, which are Level 2 inputs, is used to measure the fair value.</w:t>
      </w:r>
    </w:p>
    <w:p>
      <w:pPr>
        <w:spacing w:after="0" w:line="49" w:lineRule="exact"/>
        <w:rPr>
          <w:rFonts w:ascii="Arial" w:cs="Arial" w:eastAsia="Arial" w:hAnsi="Arial"/>
          <w:sz w:val="18"/>
          <w:szCs w:val="18"/>
          <w:color w:val="auto"/>
        </w:rPr>
      </w:pPr>
    </w:p>
    <w:p>
      <w:pPr>
        <w:ind w:left="420" w:hanging="412"/>
        <w:spacing w:after="0" w:line="287"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March 31, 2026, we exercised our right to call the 6.75% Senior Notes due 2029. As this exercise was irrevocable, the carrying value of these notes was reclassified to current maturities of long-term debt, net, as of March 31, 2026.</w:t>
      </w:r>
    </w:p>
    <w:p>
      <w:pPr>
        <w:spacing w:after="0" w:line="1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Credit Facility</w:t>
      </w:r>
      <w:r>
        <w:rPr>
          <w:rFonts w:ascii="Arial" w:cs="Arial" w:eastAsia="Arial" w:hAnsi="Arial"/>
          <w:sz w:val="18"/>
          <w:szCs w:val="18"/>
          <w:color w:val="auto"/>
        </w:rPr>
        <w:t>. On September 30, 2025, the Company entered into an Amended and Restated Credit Agreement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that, as amended, has a maturity date of September 30, 2030 (the “Credit Facility”), with the lenders and issuing banks party thereto from time to time (the “Lenders”), and JPMorgan Chase Bank, N.A., as administrative agent. The maturity date for the Credit Facility has two one-year extension options available, each subject to the Lenders’ consent. The Credit Facility provides for aggregate commitments of $3.5 billion, with incremental capacity for additional commitments in an amount up to $1.0 billion, subject to the receipt of commitments thereto and certain customary conditions. Under the Credit Facility, the sublimit available for the issuance of letters of credit is $1.0 billion and the sublimit available for swingline loans is $100 million. As of March 31, 2026, we had approximately $3.5 billion available for borrowings under the Credit Facility.</w:t>
      </w:r>
    </w:p>
    <w:p>
      <w:pPr>
        <w:spacing w:after="0" w:line="198"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The Credit Agreement contains restrictive covenants that, subject to exceptions customary to investment-grade credit facilities, limit Expand Energy and its subsidiaries’ ability to, among other things: (i) incur priority indebtedness, (ii) enter into mergers; (iii) make or declare dividends; (iv) incur liens; (v) sell all or substantially all of their assets; and (vi) engage in certain transactions with affiliates. The Credit Agreement requires our compliance with an indebtedness to capitalization ratio, which is the ratio of the Company’s total indebtedness to the sum of total indebtedness plus stockholders’ equity (the “Debt to Capitalization Ratio”), not to exceed 65%, tested at the end of each quarter. As of March 31, 2026, we were in compliance with the Debt to Capitalization Ratio.</w:t>
      </w:r>
    </w:p>
    <w:p>
      <w:pPr>
        <w:spacing w:after="0" w:line="192"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Borrowings under the Credit Agreement may be alternate base rate loans or term SOFR loans, at our election. Interest is payable quarterly for alternate base rate loans and at the end of the applicable interest period for term SOFR loans. Term SOFR loans bear interest at term SOFR plus an applicable rate ranging from 112.5 to 200 basis points per annum, depending on the Company’s unsecured debt ratings. Alternate base rate loans bear interest at a rate per annum equal to the greatest of: (i) the prime rate; (ii) the federal funds effective rate plus 50 basis points;</w:t>
      </w:r>
    </w:p>
    <w:p>
      <w:pPr>
        <w:spacing w:after="0" w:line="200" w:lineRule="exact"/>
        <w:rPr>
          <w:sz w:val="20"/>
          <w:szCs w:val="20"/>
          <w:color w:val="auto"/>
        </w:rPr>
      </w:pPr>
    </w:p>
    <w:p>
      <w:pPr>
        <w:spacing w:after="0" w:line="36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and (iii) the term SOFR rate for a one-month interest period plus 100 basis points, plus an applicable margin ranging from 12.5 to 100 basis points per annum, depending on the Company’s unsecured debt ratings. Expand Energy also pays a commitment fee on unused commitment amounts under the Credit Facility ranging from 12.5 to 32.5 basis points per annum, depending on the Company’s unsecured debt ratings.</w:t>
      </w:r>
    </w:p>
    <w:p>
      <w:pPr>
        <w:spacing w:after="0" w:line="20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Credit Facility is subject to customary events of default, remedies, and cure periods for investment-grade credit facilities of this nature.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no secured debt as of March 31, 2026.</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Senior Notes Repayment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Prior Quarter, the $389 million aggregate principal of 4.95% Senior Notes due 2025 (the “2025 Notes”) was repaid and terminated with cash on hand and borrowings on the Company’s reserve-based credit facility entered into on December 9, 2022, which was subsequently terminated in connection with the entry into the Credit Facility. The borrowings on the prior credit facility were subsequently repaid during the Prior Quarter. Additionally, we redeemed the remaining $47 million aggregate principal of the 5.50% Senior Notes due 2026 (the “2026 Notes”) with cash on hand.</w:t>
      </w:r>
    </w:p>
    <w:p>
      <w:pPr>
        <w:spacing w:after="0" w:line="1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April 15, 2026, we redeemed the $847 million aggregate principal of 6.75% Senior Notes due 2029 for approximately $875 million, which included accrued interest of $28 million. Additionally, on April 17, 2026, we redeemed the $440 million aggregate principal of 5.875% Senior Notes due 2029 for approximately $446 million, which included accrued interest of $6 million. We utilized cash on hand for the redemption of the 6.75% Senior Notes due 2029 and the 5.875% Senior Notes due 2029.</w:t>
      </w:r>
    </w:p>
    <w:p>
      <w:pPr>
        <w:spacing w:after="0" w:line="284" w:lineRule="exact"/>
        <w:rPr>
          <w:sz w:val="20"/>
          <w:szCs w:val="20"/>
          <w:color w:val="auto"/>
        </w:rPr>
      </w:pPr>
    </w:p>
    <w:p>
      <w:pPr>
        <w:ind w:left="460" w:hanging="434"/>
        <w:spacing w:after="0"/>
        <w:tabs>
          <w:tab w:leader="none" w:pos="460" w:val="left"/>
        </w:tabs>
        <w:numPr>
          <w:ilvl w:val="0"/>
          <w:numId w:val="7"/>
        </w:numPr>
        <w:rPr>
          <w:rFonts w:ascii="Arial" w:cs="Arial" w:eastAsia="Arial" w:hAnsi="Arial"/>
          <w:sz w:val="18"/>
          <w:szCs w:val="18"/>
          <w:b w:val="1"/>
          <w:bCs w:val="1"/>
          <w:color w:val="00386C"/>
        </w:rPr>
      </w:pPr>
      <w:r>
        <w:rPr>
          <w:rFonts w:ascii="Arial" w:cs="Arial" w:eastAsia="Arial" w:hAnsi="Arial"/>
          <w:sz w:val="18"/>
          <w:szCs w:val="18"/>
          <w:b w:val="1"/>
          <w:bCs w:val="1"/>
          <w:color w:val="00386C"/>
        </w:rPr>
        <w:t>Contingencies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851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Operations and Litigation and Regulatory Proceedings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are involved in, and expect to continue to be involved in, various lawsuits and disputes incidental to our business operations, including commercial disputes, personal injury claims, royalty claims, property damage claims and contract actions. We are also party to the consolidated Chapter 11 Cases pending for the Debtors in the Bankruptcy Court.</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total accrued liability in respect of litigation and regulatory proceedings is determined on a case-by-case basis and represents an estimate of probable losses after considering, among other factors, the progress of each case or proceeding, our experience and the experience of others in similar cases or proceedings, and the opinions and views of legal counsel. Significant judgment is required in making these estimates. While it is not possible at this time to estimate the amount of any additional loss, or range of loss that is reasonably possible, based on the nature of the claims, management believes that current litigation, claims and proceedings, individually or in aggregate and after taking into account insurance, are not likely to have a material adverse impact on our financial position, results of operations or cash flows. Many of these matters are in early stages and are all subject to inherent uncertainties. Therefore, management’s view may change in the future. If an unfavorable final outcome were to occur, there exists the possibility of our final liabilities being materially different.</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majority of Chesapeake’s pre-petition legal proceedings were settled during the Chapter 11 Cases or will be resolved in connection with the claims reconciliation process before the Bankruptcy Court, together with actions seeking to collect pre-petition indebtedness or to exercise control over the property of Chesapeake’s bankruptcy estates. Any allowed claim related to such litigation will be treated in accordance with the Plan. The Plan in the Chapter 11 Cases, which became effective on February 9, 2021, provided for the treatment of claims against Chesapeake’s bankruptcy estates, including pre-petition liabilities that had not been satisfied or addressed during the Chapter 11 Cases. Many of these proceedings were in early stages as of the Petition Date, and many of them sought damages and penalties, the amount of which is indeterminate. Any legal proceeding pending against Southwestern and assumed by us in connection with the Southwestern Merger is not subject to discharge or resolution as part of the Chapter 11 Cases.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Contingencies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Gathering, Processing and Transportation Agreements</w:t>
      </w:r>
    </w:p>
    <w:p>
      <w:pPr>
        <w:spacing w:after="0" w:line="169"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have contractual commitments with midstream service companies and pipeline carriers for future gathering, processing and transportation of natural gas, oil and NGL to move certain of our production to market. Working interest owners and royalty interest owners, where appropriate, will be responsible for their proportionate share of these costs. Generally, commitments related to gathering, processing and transportation agreements are not recorded as obligations in the accompanying condensed consolidated balance sheets, however, as part of the Southwestern Merger, we assumed gathering, processing and transportation contracts, certain of which were deemed to be above or below current market rates. We recognized assets and liabilities for the difference in the contractual and market rates of these contracts, as of the date of the Southwestern Merger.</w:t>
      </w:r>
    </w:p>
    <w:p>
      <w:pPr>
        <w:sectPr>
          <w:pgSz w:w="11900" w:h="16838" w:orient="portrait"/>
          <w:cols w:equalWidth="0" w:num="1">
            <w:col w:w="11240"/>
          </w:cols>
          <w:pgMar w:left="320" w:top="122" w:right="339" w:bottom="0" w:gutter="0" w:footer="0" w:header="0"/>
        </w:sectPr>
      </w:pPr>
    </w:p>
    <w:bookmarkStart w:id="12" w:name="page13"/>
    <w:bookmarkEnd w:id="12"/>
    <w:p>
      <w:pPr>
        <w:jc w:val="both"/>
        <w:ind w:firstLine="405"/>
        <w:spacing w:after="0" w:line="260" w:lineRule="auto"/>
        <w:rPr>
          <w:sz w:val="20"/>
          <w:szCs w:val="20"/>
          <w:color w:val="auto"/>
        </w:rPr>
      </w:pPr>
      <w:r>
        <w:rPr>
          <w:rFonts w:ascii="Arial" w:cs="Arial" w:eastAsia="Arial" w:hAnsi="Arial"/>
          <w:sz w:val="18"/>
          <w:szCs w:val="18"/>
          <w:color w:val="auto"/>
        </w:rPr>
        <w:t>The aggregate undiscounted commitments under our gathering, processing and transportation agreements, excluding any reimbursement from working interest and royalty interest owners, credits for third-party volumes or future costs under cost-of-service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40" w:type="dxa"/>
            <w:vAlign w:val="bottom"/>
            <w:gridSpan w:val="2"/>
          </w:tcPr>
          <w:p>
            <w:pPr>
              <w:spacing w:after="0"/>
              <w:rPr>
                <w:sz w:val="20"/>
                <w:szCs w:val="20"/>
                <w:color w:val="auto"/>
              </w:rPr>
            </w:pPr>
            <w:r>
              <w:rPr>
                <w:rFonts w:ascii="Arial" w:cs="Arial" w:eastAsia="Arial" w:hAnsi="Arial"/>
                <w:sz w:val="18"/>
                <w:szCs w:val="18"/>
                <w:color w:val="auto"/>
              </w:rPr>
              <w:t>agreements, are presented below:</w:t>
            </w: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29"/>
        </w:trPr>
        <w:tc>
          <w:tcPr>
            <w:tcW w:w="120" w:type="dxa"/>
            <w:vAlign w:val="bottom"/>
          </w:tcPr>
          <w:p>
            <w:pPr>
              <w:spacing w:after="0"/>
              <w:rPr>
                <w:sz w:val="24"/>
                <w:szCs w:val="24"/>
                <w:color w:val="auto"/>
              </w:rPr>
            </w:pPr>
          </w:p>
        </w:tc>
        <w:tc>
          <w:tcPr>
            <w:tcW w:w="8920" w:type="dxa"/>
            <w:vAlign w:val="bottom"/>
            <w:tcBorders>
              <w:bottom w:val="single" w:sz="8" w:color="DBDBDB"/>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March 31, 2026</w:t>
            </w:r>
          </w:p>
        </w:tc>
      </w:tr>
      <w:tr>
        <w:trPr>
          <w:trHeight w:val="223"/>
        </w:trPr>
        <w:tc>
          <w:tcPr>
            <w:tcW w:w="120" w:type="dxa"/>
            <w:vAlign w:val="bottom"/>
          </w:tcPr>
          <w:p>
            <w:pPr>
              <w:spacing w:after="0"/>
              <w:rPr>
                <w:sz w:val="19"/>
                <w:szCs w:val="19"/>
                <w:color w:val="auto"/>
              </w:rPr>
            </w:pPr>
          </w:p>
        </w:tc>
        <w:tc>
          <w:tcPr>
            <w:tcW w:w="8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Remainder of 2026</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1,124</w:t>
            </w:r>
          </w:p>
        </w:tc>
      </w:tr>
      <w:tr>
        <w:trPr>
          <w:trHeight w:val="229"/>
        </w:trPr>
        <w:tc>
          <w:tcPr>
            <w:tcW w:w="120" w:type="dxa"/>
            <w:vAlign w:val="bottom"/>
          </w:tcPr>
          <w:p>
            <w:pPr>
              <w:spacing w:after="0"/>
              <w:rPr>
                <w:sz w:val="19"/>
                <w:szCs w:val="19"/>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29"/>
        </w:trPr>
        <w:tc>
          <w:tcPr>
            <w:tcW w:w="120" w:type="dxa"/>
            <w:vAlign w:val="bottom"/>
          </w:tcPr>
          <w:p>
            <w:pPr>
              <w:spacing w:after="0"/>
              <w:rPr>
                <w:sz w:val="19"/>
                <w:szCs w:val="19"/>
                <w:color w:val="auto"/>
              </w:rPr>
            </w:pPr>
          </w:p>
        </w:tc>
        <w:tc>
          <w:tcPr>
            <w:tcW w:w="8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1,294</w:t>
            </w:r>
          </w:p>
        </w:tc>
      </w:tr>
      <w:tr>
        <w:trPr>
          <w:trHeight w:val="230"/>
        </w:trPr>
        <w:tc>
          <w:tcPr>
            <w:tcW w:w="120" w:type="dxa"/>
            <w:vAlign w:val="bottom"/>
          </w:tcPr>
          <w:p>
            <w:pPr>
              <w:spacing w:after="0"/>
              <w:rPr>
                <w:sz w:val="19"/>
                <w:szCs w:val="19"/>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2029</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29"/>
        </w:trPr>
        <w:tc>
          <w:tcPr>
            <w:tcW w:w="120" w:type="dxa"/>
            <w:vAlign w:val="bottom"/>
          </w:tcPr>
          <w:p>
            <w:pPr>
              <w:spacing w:after="0"/>
              <w:rPr>
                <w:sz w:val="19"/>
                <w:szCs w:val="19"/>
                <w:color w:val="auto"/>
              </w:rPr>
            </w:pPr>
          </w:p>
        </w:tc>
        <w:tc>
          <w:tcPr>
            <w:tcW w:w="8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2030</w:t>
            </w:r>
          </w:p>
        </w:tc>
        <w:tc>
          <w:tcPr>
            <w:tcW w:w="2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898</w:t>
            </w:r>
          </w:p>
        </w:tc>
      </w:tr>
      <w:tr>
        <w:trPr>
          <w:trHeight w:val="230"/>
        </w:trPr>
        <w:tc>
          <w:tcPr>
            <w:tcW w:w="120" w:type="dxa"/>
            <w:vAlign w:val="bottom"/>
          </w:tcPr>
          <w:p>
            <w:pPr>
              <w:spacing w:after="0"/>
              <w:rPr>
                <w:sz w:val="19"/>
                <w:szCs w:val="19"/>
                <w:color w:val="auto"/>
              </w:rPr>
            </w:pPr>
          </w:p>
        </w:tc>
        <w:tc>
          <w:tcPr>
            <w:tcW w:w="89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r>
      <w:tr>
        <w:trPr>
          <w:trHeight w:val="248"/>
        </w:trPr>
        <w:tc>
          <w:tcPr>
            <w:tcW w:w="120" w:type="dxa"/>
            <w:vAlign w:val="bottom"/>
          </w:tcPr>
          <w:p>
            <w:pPr>
              <w:spacing w:after="0"/>
              <w:rPr>
                <w:sz w:val="21"/>
                <w:szCs w:val="21"/>
                <w:color w:val="auto"/>
              </w:rPr>
            </w:pPr>
          </w:p>
        </w:tc>
        <w:tc>
          <w:tcPr>
            <w:tcW w:w="89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9,177</w:t>
            </w:r>
          </w:p>
        </w:tc>
      </w:tr>
      <w:tr>
        <w:trPr>
          <w:trHeight w:val="20"/>
        </w:trPr>
        <w:tc>
          <w:tcPr>
            <w:tcW w:w="120" w:type="dxa"/>
            <w:vAlign w:val="bottom"/>
          </w:tcPr>
          <w:p>
            <w:pPr>
              <w:spacing w:after="0" w:line="20" w:lineRule="exact"/>
              <w:rPr>
                <w:sz w:val="1"/>
                <w:szCs w:val="1"/>
                <w:color w:val="auto"/>
              </w:rPr>
            </w:pPr>
          </w:p>
        </w:tc>
        <w:tc>
          <w:tcPr>
            <w:tcW w:w="89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addition, we have long-term agreements for certain natural gas gathering and related services within specified acreage dedication areas in exchange for cost-of-service based fees redetermined annually, or tiered fees based on volumes delivered relative to scheduled volumes. Future gathering fees may vary with the applicable agreement.</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Commitments</w:t>
      </w:r>
    </w:p>
    <w:p>
      <w:pPr>
        <w:spacing w:after="0" w:line="15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part of our normal course of business, we enter into various agreements providing, or otherwise arranging for, financial or performance assurances to third parties on behalf of our wholly owned guarantor subsidiaries. These agreements may include future payment obligations or commitments regarding operational performance that effectively guarantee our subsidiaries’ future performance.</w:t>
      </w:r>
    </w:p>
    <w:p>
      <w:pPr>
        <w:spacing w:after="0" w:line="1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connection with acquisitions and divestitures, our purchase and sale agreements generally provide indemnification to the counterparty for liabilities incurred as a result of a breach of a representation or warranty by the indemnifying party and/or other specified matters. These indemnifications generally have a discrete term and are intended to protect the parties against risks that are difficult to predict or cannot be quantified at the time of entering into or consummating a particular transaction. For divestitures of natural gas and oil properties, our purchase and sale agreements may require the return of a portion of the proceeds we receive as a result of uncured title or environmental defects.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96"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While executing our strategic priorities, we have incurred certain cash charges, including contract termination charges, financing extinguishment costs and charges for unused natural gas transportation and gathering capacity.</w:t>
      </w:r>
    </w:p>
    <w:p>
      <w:pPr>
        <w:spacing w:after="0" w:line="261" w:lineRule="exact"/>
        <w:rPr>
          <w:sz w:val="20"/>
          <w:szCs w:val="20"/>
          <w:color w:val="auto"/>
        </w:rPr>
      </w:pPr>
    </w:p>
    <w:p>
      <w:pPr>
        <w:ind w:left="460" w:hanging="434"/>
        <w:spacing w:after="0"/>
        <w:tabs>
          <w:tab w:leader="none" w:pos="460" w:val="left"/>
        </w:tabs>
        <w:numPr>
          <w:ilvl w:val="0"/>
          <w:numId w:val="8"/>
        </w:numPr>
        <w:rPr>
          <w:rFonts w:ascii="Arial" w:cs="Arial" w:eastAsia="Arial" w:hAnsi="Arial"/>
          <w:sz w:val="18"/>
          <w:szCs w:val="18"/>
          <w:b w:val="1"/>
          <w:bCs w:val="1"/>
          <w:color w:val="00386C"/>
        </w:rPr>
      </w:pPr>
      <w:r>
        <w:rPr>
          <w:rFonts w:ascii="Arial" w:cs="Arial" w:eastAsia="Arial" w:hAnsi="Arial"/>
          <w:sz w:val="18"/>
          <w:szCs w:val="18"/>
          <w:b w:val="1"/>
          <w:bCs w:val="1"/>
          <w:color w:val="00386C"/>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3455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current liabilities as of March 31, 2026 and December 31, 2025 are detailed below:</w:t>
      </w:r>
    </w:p>
    <w:p>
      <w:pPr>
        <w:spacing w:after="0" w:line="131"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6160" w:type="dxa"/>
            <w:vAlign w:val="bottom"/>
            <w:tcBorders>
              <w:bottom w:val="single" w:sz="8" w:color="DBDBDB"/>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2026</w:t>
            </w: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160" w:type="dxa"/>
            <w:vAlign w:val="bottom"/>
            <w:shd w:val="clear" w:color="auto" w:fill="DBDBDB"/>
          </w:tcPr>
          <w:p>
            <w:pPr>
              <w:spacing w:after="0"/>
              <w:rPr>
                <w:sz w:val="20"/>
                <w:szCs w:val="20"/>
                <w:color w:val="auto"/>
              </w:rPr>
            </w:pPr>
            <w:r>
              <w:rPr>
                <w:rFonts w:ascii="Arial" w:cs="Arial" w:eastAsia="Arial" w:hAnsi="Arial"/>
                <w:sz w:val="18"/>
                <w:szCs w:val="18"/>
                <w:color w:val="auto"/>
              </w:rPr>
              <w:t>Revenues and royalties due to others</w:t>
            </w:r>
          </w:p>
        </w:tc>
        <w:tc>
          <w:tcPr>
            <w:tcW w:w="1880" w:type="dxa"/>
            <w:vAlign w:val="bottom"/>
            <w:shd w:val="clear" w:color="auto" w:fill="DBDBDB"/>
          </w:tcPr>
          <w:p>
            <w:pPr>
              <w:jc w:val="right"/>
              <w:ind w:right="16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1,156</w:t>
            </w:r>
          </w:p>
        </w:tc>
        <w:tc>
          <w:tcPr>
            <w:tcW w:w="28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972</w:t>
            </w: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Accrued drilling and production costs</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6160" w:type="dxa"/>
            <w:vAlign w:val="bottom"/>
            <w:shd w:val="clear" w:color="auto" w:fill="DBDBDB"/>
          </w:tcPr>
          <w:p>
            <w:pPr>
              <w:spacing w:after="0"/>
              <w:rPr>
                <w:sz w:val="20"/>
                <w:szCs w:val="20"/>
                <w:color w:val="auto"/>
              </w:rPr>
            </w:pPr>
            <w:r>
              <w:rPr>
                <w:rFonts w:ascii="Arial" w:cs="Arial" w:eastAsia="Arial" w:hAnsi="Arial"/>
                <w:sz w:val="18"/>
                <w:szCs w:val="18"/>
                <w:color w:val="auto"/>
              </w:rPr>
              <w:t>Contract liabilities</w:t>
            </w:r>
          </w:p>
        </w:tc>
        <w:tc>
          <w:tcPr>
            <w:tcW w:w="188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160" w:type="dxa"/>
            <w:vAlign w:val="bottom"/>
            <w:shd w:val="clear" w:color="auto" w:fill="DBDBDB"/>
          </w:tcPr>
          <w:p>
            <w:pPr>
              <w:spacing w:after="0"/>
              <w:rPr>
                <w:sz w:val="20"/>
                <w:szCs w:val="20"/>
                <w:color w:val="auto"/>
              </w:rPr>
            </w:pPr>
            <w:r>
              <w:rPr>
                <w:rFonts w:ascii="Arial" w:cs="Arial" w:eastAsia="Arial" w:hAnsi="Arial"/>
                <w:sz w:val="18"/>
                <w:szCs w:val="18"/>
                <w:color w:val="auto"/>
              </w:rPr>
              <w:t>Taxes payable</w:t>
            </w:r>
          </w:p>
        </w:tc>
        <w:tc>
          <w:tcPr>
            <w:tcW w:w="188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Operating leases</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160" w:type="dxa"/>
            <w:vAlign w:val="bottom"/>
            <w:shd w:val="clear" w:color="auto" w:fill="DBDBDB"/>
          </w:tcPr>
          <w:p>
            <w:pPr>
              <w:spacing w:after="0"/>
              <w:rPr>
                <w:sz w:val="20"/>
                <w:szCs w:val="20"/>
                <w:color w:val="auto"/>
              </w:rPr>
            </w:pPr>
            <w:r>
              <w:rPr>
                <w:rFonts w:ascii="Arial" w:cs="Arial" w:eastAsia="Arial" w:hAnsi="Arial"/>
                <w:sz w:val="18"/>
                <w:szCs w:val="18"/>
                <w:color w:val="auto"/>
              </w:rPr>
              <w:t>Joint interest prepayments received</w:t>
            </w:r>
          </w:p>
        </w:tc>
        <w:tc>
          <w:tcPr>
            <w:tcW w:w="188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16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48"/>
        </w:trPr>
        <w:tc>
          <w:tcPr>
            <w:tcW w:w="61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Total other current liabilities</w:t>
            </w:r>
          </w:p>
        </w:tc>
        <w:tc>
          <w:tcPr>
            <w:tcW w:w="1880" w:type="dxa"/>
            <w:vAlign w:val="bottom"/>
            <w:tcBorders>
              <w:bottom w:val="single" w:sz="8" w:color="auto"/>
            </w:tcBorders>
            <w:shd w:val="clear" w:color="auto" w:fill="DBDBDB"/>
          </w:tcPr>
          <w:p>
            <w:pPr>
              <w:jc w:val="right"/>
              <w:ind w:right="16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2,135</w:t>
            </w:r>
          </w:p>
        </w:tc>
        <w:tc>
          <w:tcPr>
            <w:tcW w:w="28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2,045</w:t>
            </w:r>
          </w:p>
        </w:tc>
      </w:tr>
      <w:tr>
        <w:trPr>
          <w:trHeight w:val="20"/>
        </w:trPr>
        <w:tc>
          <w:tcPr>
            <w:tcW w:w="6160" w:type="dxa"/>
            <w:vAlign w:val="bottom"/>
            <w:tcBorders>
              <w:top w:val="single" w:sz="8" w:color="DBDBDB"/>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380" w:hanging="354"/>
        <w:spacing w:after="0"/>
        <w:tabs>
          <w:tab w:leader="none" w:pos="380" w:val="left"/>
        </w:tabs>
        <w:numPr>
          <w:ilvl w:val="0"/>
          <w:numId w:val="9"/>
        </w:numPr>
        <w:rPr>
          <w:rFonts w:ascii="Arial" w:cs="Arial" w:eastAsia="Arial" w:hAnsi="Arial"/>
          <w:sz w:val="18"/>
          <w:szCs w:val="18"/>
          <w:b w:val="1"/>
          <w:bCs w:val="1"/>
          <w:color w:val="00386C"/>
        </w:rPr>
      </w:pPr>
      <w:r>
        <w:rPr>
          <w:rFonts w:ascii="Arial" w:cs="Arial" w:eastAsia="Arial" w:hAnsi="Arial"/>
          <w:sz w:val="18"/>
          <w:szCs w:val="18"/>
          <w:b w:val="1"/>
          <w:bCs w:val="1"/>
          <w:color w:val="00386C"/>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show revenue disaggregated by operating area and product type: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 2026</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Natural Gas</w:t>
            </w:r>
          </w:p>
        </w:tc>
        <w:tc>
          <w:tcPr>
            <w:tcW w:w="380" w:type="dxa"/>
            <w:vAlign w:val="bottom"/>
          </w:tcPr>
          <w:p>
            <w:pPr>
              <w:spacing w:after="0"/>
              <w:rPr>
                <w:sz w:val="19"/>
                <w:szCs w:val="19"/>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Oil</w:t>
            </w:r>
          </w:p>
        </w:tc>
        <w:tc>
          <w:tcPr>
            <w:tcW w:w="36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NGL</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1,245</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30"/>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0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642</w:t>
            </w: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w:t>
            </w: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48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48"/>
        </w:trPr>
        <w:tc>
          <w:tcPr>
            <w:tcW w:w="44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1,212</w:t>
            </w:r>
          </w:p>
        </w:tc>
      </w:tr>
      <w:tr>
        <w:trPr>
          <w:trHeight w:val="20"/>
        </w:trPr>
        <w:tc>
          <w:tcPr>
            <w:tcW w:w="44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 2025</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Natural Gas</w:t>
            </w:r>
          </w:p>
        </w:tc>
        <w:tc>
          <w:tcPr>
            <w:tcW w:w="380" w:type="dxa"/>
            <w:vAlign w:val="bottom"/>
          </w:tcPr>
          <w:p>
            <w:pPr>
              <w:spacing w:after="0"/>
              <w:rPr>
                <w:sz w:val="19"/>
                <w:szCs w:val="19"/>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Oil</w:t>
            </w:r>
          </w:p>
        </w:tc>
        <w:tc>
          <w:tcPr>
            <w:tcW w:w="36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NGL</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0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579</w:t>
            </w: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48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48"/>
        </w:trPr>
        <w:tc>
          <w:tcPr>
            <w:tcW w:w="44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910</w:t>
            </w:r>
          </w:p>
        </w:tc>
      </w:tr>
      <w:tr>
        <w:trPr>
          <w:trHeight w:val="20"/>
        </w:trPr>
        <w:tc>
          <w:tcPr>
            <w:tcW w:w="44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accounts receivable are primarily from purchasers of natural gas, oil and NGL and from exploration and production companies that own interests in properties we operate. This industry concentration could affect our overall exposure to credit risk, either positively or negatively, because our purchasers and joint working interest owners may be similarly affected by changes in economic, industry or other conditions. We monitor the creditworthiness of all our counterparties, and we generally require letters of credit or parent guarantees for receivables from parties deemed to have sub-standard credit, unless the credit risk can otherwise be mitigated. We utilize an allowance method in accounting for bad debt based on historical trends in addition to specifically identifying receivables that we believe may be uncollectible.</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as of March 31, 2026 and December 31, 2025 are detailed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Pr>
          <w:p>
            <w:pPr>
              <w:spacing w:after="0"/>
              <w:rPr>
                <w:sz w:val="20"/>
                <w:szCs w:val="20"/>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7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Natural gas, oil and NGL sales</w:t>
            </w:r>
          </w:p>
        </w:tc>
        <w:tc>
          <w:tcPr>
            <w:tcW w:w="28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1,363</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Joint interest</w:t>
            </w: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7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67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accounts receivable, net</w:t>
            </w:r>
          </w:p>
        </w:tc>
        <w:tc>
          <w:tcPr>
            <w:tcW w:w="28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2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1,599</w:t>
            </w:r>
          </w:p>
        </w:tc>
      </w:tr>
      <w:tr>
        <w:trPr>
          <w:trHeight w:val="20"/>
        </w:trPr>
        <w:tc>
          <w:tcPr>
            <w:tcW w:w="67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00386C"/>
        </w:rPr>
        <w:t>8.</w:t>
        <w:tab/>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805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34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8"/>
          <w:szCs w:val="18"/>
          <w:color w:val="auto"/>
        </w:rPr>
        <w:t>The table below presents a comparison of the Current Quarter and Prior Quarter’s income tax expense (benefit) and actual year-to-date effective tax rates.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r>
      <w:tr>
        <w:trPr>
          <w:trHeight w:val="223"/>
        </w:trPr>
        <w:tc>
          <w:tcPr>
            <w:tcW w:w="5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r>
      <w:tr>
        <w:trPr>
          <w:trHeight w:val="162"/>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5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tax expense (benefit)</w:t>
            </w:r>
          </w:p>
        </w:tc>
        <w:tc>
          <w:tcPr>
            <w:tcW w:w="4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10.3 %</w:t>
            </w:r>
          </w:p>
        </w:tc>
      </w:tr>
      <w:tr>
        <w:trPr>
          <w:trHeight w:val="230"/>
        </w:trPr>
        <w:tc>
          <w:tcPr>
            <w:tcW w:w="55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Deferred tax expense (benefit)</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11.6 %</w:t>
            </w:r>
          </w:p>
        </w:tc>
      </w:tr>
      <w:tr>
        <w:trPr>
          <w:trHeight w:val="223"/>
        </w:trPr>
        <w:tc>
          <w:tcPr>
            <w:tcW w:w="55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Income tax expense (benefit)</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22.1 %</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21.9 %</w:t>
            </w:r>
          </w:p>
        </w:tc>
      </w:tr>
    </w:tbl>
    <w:p>
      <w:pPr>
        <w:spacing w:after="0" w:line="3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An estimated annual effective tax rate (“EAETR”) is used in recording our interim year-to-date income tax provision. The EAETR is determined based on analysis of year-to-date and projected financial results of our operations. Our EAETR during the Current Quarter was 22.3%, compared to 21.8% in the Prior Quarter. The actual year-to-date effective tax rate and EAETR can differ as a result of certain discrete items, which are recorded in the period. Common examples of such items include, but are not limited to, certain equity-based compensation, true-ups resulting from differences between tax returns filed and estimated accruals, and tax effects of enacted laws.</w:t>
      </w:r>
    </w:p>
    <w:p>
      <w:pPr>
        <w:spacing w:after="0" w:line="20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a result of projecting federal and state income taxes, a portion of our EAETR represents the estimated provision for current taxes. Due to the book income in the Current Quarter, a current tax expense of $11 million was recorded. Due to the book loss in the Prior Quarter, a current tax benefit of $33 million was recorded.</w:t>
      </w:r>
    </w:p>
    <w:p>
      <w:pPr>
        <w:spacing w:after="0" w:line="19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As of December 31, 2025, we were in a net deferred tax asset position and we anticipate being in a net deferred tax liability position as of December 31, 2026. Based on all available positive and negative evidence, including projections of future taxable income, we believe it is more likely than not that some of our deferred tax assets will not be realized. As such, a partial valuation allowance was recorded against our net deferred tax asset position for federal and state purposes as of March 31, 2026 and December 31, 2025.</w:t>
      </w:r>
    </w:p>
    <w:p>
      <w:pPr>
        <w:spacing w:after="0" w:line="12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July 4, 2025, the current Presidential Administration signed into law the One Big Beautiful Bill Act (the “OBBBA”). This bill restores 100% bonus depreciation for property acquired and placed into service after January 19, 2025, restores the immediate expensing of research expenditures, and provides for parity between the treatment of intangible drilling costs and depreciation for purposes of the CAMT. The enactment of the OBBBA and</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9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its provisions contributed to a reduction in the Company’s expected current tax expense with an offsetting increase to the Company’s expected deferred tax expense.</w:t>
      </w:r>
    </w:p>
    <w:p>
      <w:pPr>
        <w:spacing w:after="0" w:line="18" w:lineRule="exact"/>
        <w:rPr>
          <w:sz w:val="20"/>
          <w:szCs w:val="20"/>
          <w:color w:val="auto"/>
        </w:rPr>
      </w:pPr>
    </w:p>
    <w:p>
      <w:pPr>
        <w:ind w:left="380" w:hanging="354"/>
        <w:spacing w:after="0"/>
        <w:tabs>
          <w:tab w:leader="none" w:pos="380" w:val="left"/>
        </w:tabs>
        <w:numPr>
          <w:ilvl w:val="0"/>
          <w:numId w:val="10"/>
        </w:numPr>
        <w:rPr>
          <w:rFonts w:ascii="Arial" w:cs="Arial" w:eastAsia="Arial" w:hAnsi="Arial"/>
          <w:sz w:val="18"/>
          <w:szCs w:val="18"/>
          <w:b w:val="1"/>
          <w:bCs w:val="1"/>
          <w:color w:val="00386C"/>
        </w:rPr>
      </w:pPr>
      <w:r>
        <w:rPr>
          <w:rFonts w:ascii="Arial" w:cs="Arial" w:eastAsia="Arial" w:hAnsi="Arial"/>
          <w:sz w:val="18"/>
          <w:szCs w:val="18"/>
          <w:b w:val="1"/>
          <w:bCs w:val="1"/>
          <w:color w:val="00386C"/>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4368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During the Current Quarter and Prior Quarter we made dividend payments of $138 million ($0.575 per share) and $138 million ($0.575 per share), respectively.</w:t>
      </w:r>
    </w:p>
    <w:p>
      <w:pPr>
        <w:spacing w:after="0" w:line="18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April 28, 2026, we declared a base quarterly dividend payable of $0.575 per share, which will be paid on June 4, 2026 to stockholders of record at the close of business on May 14, 2026.</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 Repurchases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October 22, 2024, our Board of Directors authorized repurchases of up to $1.0 billion, in aggregate, of the Company’s common stock and/or warrants under a share repurchase program. During the Current Quarter, we repurchased 0.6 million shares for an aggregate price of $66 million. We did not make any share repurchases during the Prior Quarter. The shares of common stock repurchased during the Current Quarter were retired and recorded as a reduction to common stock and retained earnings.</w:t>
      </w:r>
    </w:p>
    <w:p>
      <w:pPr>
        <w:spacing w:after="0" w:line="12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Subsequent to the Current Quarter, we have repurchased approximately 0.9 million shares for an aggregate price of $84 million through April 24, 2026.</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Warrants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of December 31, 2025, there were 15,705 Class A Warrants, 48,801 Class B Warrants and 1,244,008 Class C Warrants outstanding. On February 9, 2026, all of the outstanding Warrants that had not been previously exercised expired. As a result of these Warrant exercises, we issued 1,122,179 common shares and no longer have any outstanding Warrants.</w:t>
      </w:r>
    </w:p>
    <w:p>
      <w:pPr>
        <w:spacing w:after="0" w:line="279" w:lineRule="exact"/>
        <w:rPr>
          <w:sz w:val="20"/>
          <w:szCs w:val="20"/>
          <w:color w:val="auto"/>
        </w:rPr>
      </w:pPr>
    </w:p>
    <w:p>
      <w:pPr>
        <w:ind w:left="460" w:hanging="434"/>
        <w:spacing w:after="0"/>
        <w:tabs>
          <w:tab w:leader="none" w:pos="460" w:val="left"/>
        </w:tabs>
        <w:numPr>
          <w:ilvl w:val="0"/>
          <w:numId w:val="11"/>
        </w:numPr>
        <w:rPr>
          <w:rFonts w:ascii="Arial" w:cs="Arial" w:eastAsia="Arial" w:hAnsi="Arial"/>
          <w:sz w:val="18"/>
          <w:szCs w:val="18"/>
          <w:b w:val="1"/>
          <w:bCs w:val="1"/>
          <w:color w:val="00386C"/>
        </w:rPr>
      </w:pPr>
      <w:r>
        <w:rPr>
          <w:rFonts w:ascii="Arial" w:cs="Arial" w:eastAsia="Arial" w:hAnsi="Arial"/>
          <w:sz w:val="18"/>
          <w:szCs w:val="18"/>
          <w:b w:val="1"/>
          <w:bCs w:val="1"/>
          <w:color w:val="00386C"/>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560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long-term incentive plan, as amended and adopted by our Board of Directors (the “LTIP”), provides for the grant of RSUs, restricted stock awards, stock options, stock appreciation rights, performance awards and other stock awards to the Company’s employees and non-employee directors and has a share reserve equal to 6,800,000 shares of common stock.</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During the Current Quarter, we granted RSUs to employees and non-employee directors under the LTIP, which</w:t>
      </w:r>
      <w:r>
        <w:rPr>
          <w:rFonts w:ascii="Arial" w:cs="Arial" w:eastAsia="Arial" w:hAnsi="Arial"/>
          <w:sz w:val="18"/>
          <w:szCs w:val="18"/>
          <w:i w:val="1"/>
          <w:iCs w:val="1"/>
          <w:color w:val="auto"/>
        </w:rPr>
        <w:t xml:space="preserve"> </w:t>
      </w:r>
      <w:r>
        <w:rPr>
          <w:rFonts w:ascii="Arial" w:cs="Arial" w:eastAsia="Arial" w:hAnsi="Arial"/>
          <w:sz w:val="18"/>
          <w:szCs w:val="18"/>
          <w:color w:val="auto"/>
        </w:rPr>
        <w:t>will vest over a three-year period and one-year period, respectively. The fair value of RSUs is based on the closing sales price of our common stock on the date of grant, and compensation expense is recognized ratably over the requisite service period. A summary of the changes in unvested RSUs is presented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9"/>
              </w:rPr>
              <w:t>Unvested Restricted</w:t>
            </w:r>
          </w:p>
        </w:tc>
        <w:tc>
          <w:tcPr>
            <w:tcW w:w="220" w:type="dxa"/>
            <w:vAlign w:val="bottom"/>
          </w:tcPr>
          <w:p>
            <w:pPr>
              <w:spacing w:after="0"/>
              <w:rPr>
                <w:sz w:val="18"/>
                <w:szCs w:val="18"/>
                <w:color w:val="auto"/>
              </w:rPr>
            </w:pPr>
          </w:p>
        </w:tc>
        <w:tc>
          <w:tcPr>
            <w:tcW w:w="2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 Average Grant</w:t>
            </w:r>
          </w:p>
        </w:tc>
      </w:tr>
      <w:tr>
        <w:trPr>
          <w:trHeight w:val="243"/>
        </w:trPr>
        <w:tc>
          <w:tcPr>
            <w:tcW w:w="6420" w:type="dxa"/>
            <w:vAlign w:val="bottom"/>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Stock Units</w:t>
            </w:r>
          </w:p>
        </w:tc>
        <w:tc>
          <w:tcPr>
            <w:tcW w:w="220" w:type="dxa"/>
            <w:vAlign w:val="bottom"/>
          </w:tcPr>
          <w:p>
            <w:pPr>
              <w:spacing w:after="0"/>
              <w:rPr>
                <w:sz w:val="21"/>
                <w:szCs w:val="21"/>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Date Fair Value Per Share</w:t>
            </w:r>
          </w:p>
        </w:tc>
      </w:tr>
      <w:tr>
        <w:trPr>
          <w:trHeight w:val="223"/>
        </w:trPr>
        <w:tc>
          <w:tcPr>
            <w:tcW w:w="64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December 31, 2025</w:t>
            </w:r>
          </w:p>
        </w:tc>
        <w:tc>
          <w:tcPr>
            <w:tcW w:w="2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1120" w:type="dxa"/>
            <w:vAlign w:val="bottom"/>
            <w:gridSpan w:val="2"/>
            <w:shd w:val="clear" w:color="auto" w:fill="DBDBDB"/>
          </w:tcPr>
          <w:p>
            <w:pPr>
              <w:jc w:val="right"/>
              <w:ind w:right="7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94.61</w:t>
            </w:r>
          </w:p>
        </w:tc>
      </w:tr>
      <w:tr>
        <w:trPr>
          <w:trHeight w:val="230"/>
        </w:trPr>
        <w:tc>
          <w:tcPr>
            <w:tcW w:w="6420" w:type="dxa"/>
            <w:vAlign w:val="bottom"/>
          </w:tcPr>
          <w:p>
            <w:pPr>
              <w:ind w:left="240"/>
              <w:spacing w:after="0"/>
              <w:rPr>
                <w:sz w:val="20"/>
                <w:szCs w:val="20"/>
                <w:color w:val="auto"/>
              </w:rPr>
            </w:pPr>
            <w:r>
              <w:rPr>
                <w:rFonts w:ascii="Arial" w:cs="Arial" w:eastAsia="Arial" w:hAnsi="Arial"/>
                <w:sz w:val="18"/>
                <w:szCs w:val="18"/>
                <w:color w:val="auto"/>
              </w:rPr>
              <w:t>Granted</w:t>
            </w:r>
          </w:p>
        </w:tc>
        <w:tc>
          <w:tcPr>
            <w:tcW w:w="2300" w:type="dxa"/>
            <w:vAlign w:val="bottom"/>
          </w:tcPr>
          <w:p>
            <w:pPr>
              <w:jc w:val="right"/>
              <w:spacing w:after="0"/>
              <w:rPr>
                <w:sz w:val="20"/>
                <w:szCs w:val="20"/>
                <w:color w:val="auto"/>
              </w:rPr>
            </w:pPr>
            <w:r>
              <w:rPr>
                <w:rFonts w:ascii="Arial" w:cs="Arial" w:eastAsia="Arial" w:hAnsi="Arial"/>
                <w:sz w:val="18"/>
                <w:szCs w:val="18"/>
                <w:color w:val="auto"/>
              </w:rPr>
              <w:t>520</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106.90</w:t>
            </w:r>
          </w:p>
        </w:tc>
      </w:tr>
      <w:tr>
        <w:trPr>
          <w:trHeight w:val="230"/>
        </w:trPr>
        <w:tc>
          <w:tcPr>
            <w:tcW w:w="64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(369)</w:t>
            </w:r>
          </w:p>
        </w:tc>
        <w:tc>
          <w:tcPr>
            <w:tcW w:w="1120" w:type="dxa"/>
            <w:vAlign w:val="bottom"/>
            <w:gridSpan w:val="2"/>
            <w:shd w:val="clear" w:color="auto" w:fill="DBDBDB"/>
          </w:tcPr>
          <w:p>
            <w:pPr>
              <w:jc w:val="right"/>
              <w:ind w:right="7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88.23</w:t>
            </w:r>
          </w:p>
        </w:tc>
      </w:tr>
      <w:tr>
        <w:trPr>
          <w:trHeight w:val="229"/>
        </w:trPr>
        <w:tc>
          <w:tcPr>
            <w:tcW w:w="64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120" w:type="dxa"/>
            <w:vAlign w:val="bottom"/>
            <w:tcBorders>
              <w:bottom w:val="single" w:sz="8" w:color="DBDBDB"/>
            </w:tcBorders>
            <w:gridSpan w:val="2"/>
          </w:tcPr>
          <w:p>
            <w:pPr>
              <w:jc w:val="right"/>
              <w:ind w:right="7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101.76</w:t>
            </w:r>
          </w:p>
        </w:tc>
      </w:tr>
      <w:tr>
        <w:trPr>
          <w:trHeight w:val="248"/>
        </w:trPr>
        <w:tc>
          <w:tcPr>
            <w:tcW w:w="6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Unvested as of March 31, 2026</w:t>
            </w:r>
          </w:p>
        </w:tc>
        <w:tc>
          <w:tcPr>
            <w:tcW w:w="2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1,064</w:t>
            </w:r>
          </w:p>
        </w:tc>
        <w:tc>
          <w:tcPr>
            <w:tcW w:w="1120" w:type="dxa"/>
            <w:vAlign w:val="bottom"/>
            <w:tcBorders>
              <w:bottom w:val="single" w:sz="8" w:color="DBDBDB"/>
            </w:tcBorders>
            <w:gridSpan w:val="2"/>
            <w:shd w:val="clear" w:color="auto" w:fill="DBDBDB"/>
          </w:tcPr>
          <w:p>
            <w:pPr>
              <w:jc w:val="right"/>
              <w:ind w:right="7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102.54</w:t>
            </w:r>
          </w:p>
        </w:tc>
      </w:tr>
      <w:tr>
        <w:trPr>
          <w:trHeight w:val="20"/>
        </w:trPr>
        <w:tc>
          <w:tcPr>
            <w:tcW w:w="6420" w:type="dxa"/>
            <w:vAlign w:val="bottom"/>
            <w:tcBorders>
              <w:top w:val="single" w:sz="8" w:color="DBDBDB"/>
            </w:tcBorders>
          </w:tcPr>
          <w:p>
            <w:pPr>
              <w:spacing w:after="0" w:line="20" w:lineRule="exact"/>
              <w:rPr>
                <w:sz w:val="1"/>
                <w:szCs w:val="1"/>
                <w:color w:val="auto"/>
              </w:rPr>
            </w:pPr>
          </w:p>
        </w:tc>
        <w:tc>
          <w:tcPr>
            <w:tcW w:w="23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tcBorders>
          </w:tcPr>
          <w:p>
            <w:pPr>
              <w:spacing w:after="0" w:line="20" w:lineRule="exact"/>
              <w:rPr>
                <w:sz w:val="1"/>
                <w:szCs w:val="1"/>
                <w:color w:val="auto"/>
              </w:rPr>
            </w:pPr>
          </w:p>
        </w:tc>
      </w:tr>
    </w:tbl>
    <w:p>
      <w:pPr>
        <w:spacing w:after="0" w:line="7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aggregate intrinsic value of RSUs that vested during the Current Quarter was approximately $42 million based on the stock price at the time of vesting.</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2026, there was approximately $99 million of total unrecognized compensation expense related to unvested RSUs.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expense is expected to be recognized over a weighted average period of approximately 2.4 years.</w:t>
      </w:r>
    </w:p>
    <w:p>
      <w:pPr>
        <w:spacing w:after="0" w:line="1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During the Current Quarter, we granted PSUs to senior management and certain employees under the LTIP,</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generally vest over a three-year period and will be settled in shares. The performance criteria include total shareholder return (“TSR”) and relative TSR (“rTSR”) and could result in a total payout between 0% - 200% of the target units. The fair value of the PSUs was measured on the grant date using a Monte Carlo simulation, and compensation expense is recognized ratably over the requisite service period because these awards depend on a combination of service and market criteria.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20" w:type="dxa"/>
            <w:vAlign w:val="bottom"/>
            <w:gridSpan w:val="6"/>
          </w:tcPr>
          <w:p>
            <w:pPr>
              <w:ind w:left="420"/>
              <w:spacing w:after="0"/>
              <w:rPr>
                <w:sz w:val="20"/>
                <w:szCs w:val="20"/>
                <w:color w:val="auto"/>
              </w:rPr>
            </w:pPr>
            <w:r>
              <w:rPr>
                <w:rFonts w:ascii="Arial" w:cs="Arial" w:eastAsia="Arial" w:hAnsi="Arial"/>
                <w:sz w:val="18"/>
                <w:szCs w:val="18"/>
                <w:color w:val="auto"/>
              </w:rPr>
              <w:t>The following table presents the assumptions used in the valuation of the PSUs granted during the Current Quarter.</w:t>
            </w:r>
          </w:p>
        </w:tc>
        <w:tc>
          <w:tcPr>
            <w:tcW w:w="1020" w:type="dxa"/>
            <w:vAlign w:val="bottom"/>
          </w:tcPr>
          <w:p>
            <w:pPr>
              <w:spacing w:after="0"/>
              <w:rPr>
                <w:sz w:val="20"/>
                <w:szCs w:val="20"/>
                <w:color w:val="auto"/>
              </w:rPr>
            </w:pPr>
          </w:p>
        </w:tc>
      </w:tr>
      <w:tr>
        <w:trPr>
          <w:trHeight w:val="414"/>
        </w:trPr>
        <w:tc>
          <w:tcPr>
            <w:tcW w:w="8200" w:type="dxa"/>
            <w:vAlign w:val="bottom"/>
            <w:gridSpan w:val="3"/>
          </w:tcPr>
          <w:p>
            <w:pPr>
              <w:ind w:left="20"/>
              <w:spacing w:after="0"/>
              <w:rPr>
                <w:sz w:val="20"/>
                <w:szCs w:val="20"/>
                <w:color w:val="auto"/>
              </w:rPr>
            </w:pPr>
            <w:r>
              <w:rPr>
                <w:rFonts w:ascii="Arial" w:cs="Arial" w:eastAsia="Arial" w:hAnsi="Arial"/>
                <w:sz w:val="18"/>
                <w:szCs w:val="18"/>
                <w:b w:val="1"/>
                <w:bCs w:val="1"/>
                <w:color w:val="auto"/>
              </w:rPr>
              <w:t>Assumption</w:t>
            </w:r>
          </w:p>
        </w:tc>
        <w:tc>
          <w:tcPr>
            <w:tcW w:w="202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w w:val="96"/>
              </w:rPr>
              <w:t>TSR, rTSR</w:t>
            </w:r>
          </w:p>
        </w:tc>
        <w:tc>
          <w:tcPr>
            <w:tcW w:w="1020" w:type="dxa"/>
            <w:vAlign w:val="bottom"/>
          </w:tcPr>
          <w:p>
            <w:pPr>
              <w:spacing w:after="0"/>
              <w:rPr>
                <w:sz w:val="24"/>
                <w:szCs w:val="24"/>
                <w:color w:val="auto"/>
              </w:rPr>
            </w:pPr>
          </w:p>
        </w:tc>
      </w:tr>
      <w:tr>
        <w:trPr>
          <w:trHeight w:val="223"/>
        </w:trPr>
        <w:tc>
          <w:tcPr>
            <w:tcW w:w="706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1140" w:type="dxa"/>
            <w:vAlign w:val="bottom"/>
            <w:tcBorders>
              <w:top w:val="single" w:sz="8" w:color="auto"/>
            </w:tcBorders>
            <w:shd w:val="clear" w:color="auto" w:fill="DBDBDB"/>
          </w:tcPr>
          <w:p>
            <w:pPr>
              <w:spacing w:after="0"/>
              <w:rPr>
                <w:sz w:val="19"/>
                <w:szCs w:val="19"/>
                <w:color w:val="auto"/>
              </w:rPr>
            </w:pPr>
          </w:p>
        </w:tc>
        <w:tc>
          <w:tcPr>
            <w:tcW w:w="520" w:type="dxa"/>
            <w:vAlign w:val="bottom"/>
            <w:tcBorders>
              <w:top w:val="single" w:sz="8" w:color="auto"/>
            </w:tcBorders>
            <w:shd w:val="clear" w:color="auto" w:fill="DBDBDB"/>
          </w:tcPr>
          <w:p>
            <w:pPr>
              <w:spacing w:after="0"/>
              <w:rPr>
                <w:sz w:val="19"/>
                <w:szCs w:val="19"/>
                <w:color w:val="auto"/>
              </w:rPr>
            </w:pPr>
          </w:p>
        </w:tc>
        <w:tc>
          <w:tcPr>
            <w:tcW w:w="15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3.74 %</w:t>
            </w:r>
          </w:p>
        </w:tc>
        <w:tc>
          <w:tcPr>
            <w:tcW w:w="1020" w:type="dxa"/>
            <w:vAlign w:val="bottom"/>
          </w:tcPr>
          <w:p>
            <w:pPr>
              <w:spacing w:after="0"/>
              <w:rPr>
                <w:sz w:val="19"/>
                <w:szCs w:val="19"/>
                <w:color w:val="auto"/>
              </w:rPr>
            </w:pPr>
          </w:p>
        </w:tc>
      </w:tr>
      <w:tr>
        <w:trPr>
          <w:trHeight w:val="239"/>
        </w:trPr>
        <w:tc>
          <w:tcPr>
            <w:tcW w:w="8200" w:type="dxa"/>
            <w:vAlign w:val="bottom"/>
            <w:gridSpan w:val="3"/>
          </w:tcPr>
          <w:p>
            <w:pPr>
              <w:ind w:left="20"/>
              <w:spacing w:after="0"/>
              <w:rPr>
                <w:sz w:val="20"/>
                <w:szCs w:val="20"/>
                <w:color w:val="auto"/>
              </w:rPr>
            </w:pPr>
            <w:r>
              <w:rPr>
                <w:rFonts w:ascii="Arial" w:cs="Arial" w:eastAsia="Arial" w:hAnsi="Arial"/>
                <w:sz w:val="18"/>
                <w:szCs w:val="18"/>
                <w:color w:val="auto"/>
              </w:rPr>
              <w:t>Volatility</w:t>
            </w:r>
          </w:p>
        </w:tc>
        <w:tc>
          <w:tcPr>
            <w:tcW w:w="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28.50 %</w:t>
            </w:r>
          </w:p>
        </w:tc>
        <w:tc>
          <w:tcPr>
            <w:tcW w:w="1020" w:type="dxa"/>
            <w:vAlign w:val="bottom"/>
          </w:tcPr>
          <w:p>
            <w:pPr>
              <w:spacing w:after="0"/>
              <w:rPr>
                <w:sz w:val="20"/>
                <w:szCs w:val="20"/>
                <w:color w:val="auto"/>
              </w:rPr>
            </w:pPr>
          </w:p>
        </w:tc>
      </w:tr>
      <w:tr>
        <w:trPr>
          <w:trHeight w:val="548"/>
        </w:trPr>
        <w:tc>
          <w:tcPr>
            <w:tcW w:w="8200" w:type="dxa"/>
            <w:vAlign w:val="bottom"/>
            <w:gridSpan w:val="3"/>
          </w:tcPr>
          <w:p>
            <w:pPr>
              <w:ind w:left="420"/>
              <w:spacing w:after="0"/>
              <w:rPr>
                <w:sz w:val="20"/>
                <w:szCs w:val="20"/>
                <w:color w:val="auto"/>
              </w:rPr>
            </w:pPr>
            <w:r>
              <w:rPr>
                <w:rFonts w:ascii="Arial" w:cs="Arial" w:eastAsia="Arial" w:hAnsi="Arial"/>
                <w:sz w:val="18"/>
                <w:szCs w:val="18"/>
                <w:color w:val="auto"/>
              </w:rPr>
              <w:t>A summary of the changes in unvested PSUs is presented below:</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6420" w:type="dxa"/>
            <w:vAlign w:val="bottom"/>
          </w:tcPr>
          <w:p>
            <w:pPr>
              <w:spacing w:after="0"/>
              <w:rPr>
                <w:sz w:val="24"/>
                <w:szCs w:val="24"/>
                <w:color w:val="auto"/>
              </w:rPr>
            </w:pPr>
          </w:p>
        </w:tc>
        <w:tc>
          <w:tcPr>
            <w:tcW w:w="2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Unvested Performance</w:t>
            </w:r>
          </w:p>
        </w:tc>
        <w:tc>
          <w:tcPr>
            <w:tcW w:w="220" w:type="dxa"/>
            <w:vAlign w:val="bottom"/>
          </w:tcPr>
          <w:p>
            <w:pPr>
              <w:spacing w:after="0"/>
              <w:rPr>
                <w:sz w:val="24"/>
                <w:szCs w:val="24"/>
                <w:color w:val="auto"/>
              </w:rPr>
            </w:pPr>
          </w:p>
        </w:tc>
        <w:tc>
          <w:tcPr>
            <w:tcW w:w="2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 Average Grant</w:t>
            </w:r>
          </w:p>
        </w:tc>
      </w:tr>
      <w:tr>
        <w:trPr>
          <w:trHeight w:val="235"/>
        </w:trPr>
        <w:tc>
          <w:tcPr>
            <w:tcW w:w="64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Share Units</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Date Fair Value Per Share</w:t>
            </w:r>
          </w:p>
        </w:tc>
      </w:tr>
      <w:tr>
        <w:trPr>
          <w:trHeight w:val="223"/>
        </w:trPr>
        <w:tc>
          <w:tcPr>
            <w:tcW w:w="6420" w:type="dxa"/>
            <w:vAlign w:val="bottom"/>
          </w:tcPr>
          <w:p>
            <w:pPr>
              <w:spacing w:after="0"/>
              <w:rPr>
                <w:sz w:val="19"/>
                <w:szCs w:val="19"/>
                <w:color w:val="auto"/>
              </w:rPr>
            </w:pPr>
          </w:p>
        </w:tc>
        <w:tc>
          <w:tcPr>
            <w:tcW w:w="178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9"/>
              </w:rPr>
              <w:t>(in thousands)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Unvested as of December 31, 2025</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464</w:t>
            </w:r>
          </w:p>
        </w:tc>
        <w:tc>
          <w:tcPr>
            <w:tcW w:w="1500" w:type="dxa"/>
            <w:vAlign w:val="bottom"/>
            <w:gridSpan w:val="2"/>
            <w:shd w:val="clear" w:color="auto" w:fill="DBDBDB"/>
          </w:tcPr>
          <w:p>
            <w:pPr>
              <w:jc w:val="right"/>
              <w:ind w:right="10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106.14</w:t>
            </w:r>
          </w:p>
        </w:tc>
      </w:tr>
      <w:tr>
        <w:trPr>
          <w:trHeight w:val="229"/>
        </w:trPr>
        <w:tc>
          <w:tcPr>
            <w:tcW w:w="8200" w:type="dxa"/>
            <w:vAlign w:val="bottom"/>
            <w:gridSpan w:val="3"/>
          </w:tcPr>
          <w:p>
            <w:pPr>
              <w:ind w:left="24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5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80.45</w:t>
            </w:r>
          </w:p>
        </w:tc>
      </w:tr>
      <w:tr>
        <w:trPr>
          <w:trHeight w:val="230"/>
        </w:trPr>
        <w:tc>
          <w:tcPr>
            <w:tcW w:w="820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1500" w:type="dxa"/>
            <w:vAlign w:val="bottom"/>
            <w:gridSpan w:val="2"/>
            <w:shd w:val="clear" w:color="auto" w:fill="DBDBDB"/>
          </w:tcPr>
          <w:p>
            <w:pPr>
              <w:jc w:val="right"/>
              <w:ind w:right="10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80.53</w:t>
            </w:r>
          </w:p>
        </w:tc>
      </w:tr>
      <w:tr>
        <w:trPr>
          <w:trHeight w:val="229"/>
        </w:trPr>
        <w:tc>
          <w:tcPr>
            <w:tcW w:w="64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500" w:type="dxa"/>
            <w:vAlign w:val="bottom"/>
            <w:tcBorders>
              <w:bottom w:val="single" w:sz="8" w:color="DBDBDB"/>
            </w:tcBorders>
            <w:gridSpan w:val="2"/>
          </w:tcPr>
          <w:p>
            <w:pPr>
              <w:jc w:val="right"/>
              <w:ind w:right="10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125.64</w:t>
            </w:r>
          </w:p>
        </w:tc>
      </w:tr>
      <w:tr>
        <w:trPr>
          <w:trHeight w:val="243"/>
        </w:trPr>
        <w:tc>
          <w:tcPr>
            <w:tcW w:w="82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Unvested as of March 31, 2026</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407</w:t>
            </w:r>
          </w:p>
        </w:tc>
        <w:tc>
          <w:tcPr>
            <w:tcW w:w="1500" w:type="dxa"/>
            <w:vAlign w:val="bottom"/>
            <w:gridSpan w:val="2"/>
            <w:shd w:val="clear" w:color="auto" w:fill="DBDBDB"/>
          </w:tcPr>
          <w:p>
            <w:pPr>
              <w:jc w:val="right"/>
              <w:ind w:right="10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105.95</w:t>
            </w:r>
          </w:p>
        </w:tc>
      </w:tr>
      <w:tr>
        <w:trPr>
          <w:trHeight w:val="20"/>
        </w:trPr>
        <w:tc>
          <w:tcPr>
            <w:tcW w:w="642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aggregate intrinsic value of PSUs that vested during the Current Quarter was approximately $11 million based on the stock price at the time of vesting.</w:t>
      </w:r>
    </w:p>
    <w:p>
      <w:pPr>
        <w:spacing w:after="0" w:line="9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As of March 31, 2026, there was approximately $24 million of total unrecognized compensation expense related to unvested PSUs. The expense is expected to be recognized over a weighted average period of approximately 2.22 years.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RSU and PSU Compensation.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recognized the following compensation costs, net of actual forfeitures, related to RSUs and PSUs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DBDBDB"/>
            </w:tcBorders>
          </w:tcPr>
          <w:p>
            <w:pPr>
              <w:spacing w:after="0"/>
              <w:rPr>
                <w:sz w:val="19"/>
                <w:szCs w:val="19"/>
                <w:color w:val="auto"/>
              </w:rPr>
            </w:pPr>
          </w:p>
        </w:tc>
        <w:tc>
          <w:tcPr>
            <w:tcW w:w="2320" w:type="dxa"/>
            <w:vAlign w:val="bottom"/>
            <w:tcBorders>
              <w:bottom w:val="single" w:sz="8" w:color="DBDBDB"/>
            </w:tcBorders>
          </w:tcPr>
          <w:p>
            <w:pPr>
              <w:spacing w:after="0"/>
              <w:rPr>
                <w:sz w:val="19"/>
                <w:szCs w:val="19"/>
                <w:color w:val="auto"/>
              </w:rPr>
            </w:pP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 expenses</w:t>
            </w:r>
          </w:p>
        </w:tc>
        <w:tc>
          <w:tcPr>
            <w:tcW w:w="2320" w:type="dxa"/>
            <w:vAlign w:val="bottom"/>
            <w:shd w:val="clear" w:color="auto" w:fill="DBDBDB"/>
          </w:tcPr>
          <w:p>
            <w:pPr>
              <w:spacing w:after="0"/>
              <w:rPr>
                <w:sz w:val="19"/>
                <w:szCs w:val="19"/>
                <w:color w:val="auto"/>
              </w:rPr>
            </w:pPr>
          </w:p>
        </w:tc>
        <w:tc>
          <w:tcPr>
            <w:tcW w:w="1600" w:type="dxa"/>
            <w:vAlign w:val="bottom"/>
            <w:shd w:val="clear" w:color="auto" w:fill="DBDBDB"/>
          </w:tcPr>
          <w:p>
            <w:pPr>
              <w:jc w:val="right"/>
              <w:ind w:right="14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DBDBDB"/>
          </w:tcPr>
          <w:p>
            <w:pPr>
              <w:spacing w:after="0"/>
              <w:rPr>
                <w:sz w:val="19"/>
                <w:szCs w:val="19"/>
                <w:color w:val="auto"/>
              </w:rPr>
            </w:pPr>
          </w:p>
        </w:tc>
        <w:tc>
          <w:tcPr>
            <w:tcW w:w="1600" w:type="dxa"/>
            <w:vAlign w:val="bottom"/>
            <w:shd w:val="clear" w:color="auto" w:fill="DBDBDB"/>
          </w:tcPr>
          <w:p>
            <w:pPr>
              <w:jc w:val="right"/>
              <w:ind w:right="13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Natural gas and oil properties</w:t>
            </w:r>
          </w:p>
        </w:tc>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Production expense</w:t>
            </w:r>
          </w:p>
        </w:tc>
        <w:tc>
          <w:tcPr>
            <w:tcW w:w="232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Separation and other termination costs</w:t>
            </w:r>
          </w:p>
        </w:tc>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expense</w:t>
            </w:r>
          </w:p>
        </w:tc>
        <w:tc>
          <w:tcPr>
            <w:tcW w:w="232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72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Other operating expense, net</w:t>
            </w:r>
          </w:p>
        </w:tc>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42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RSU and PSU compensation</w:t>
            </w:r>
          </w:p>
        </w:tc>
        <w:tc>
          <w:tcPr>
            <w:tcW w:w="2320" w:type="dxa"/>
            <w:vAlign w:val="bottom"/>
            <w:tcBorders>
              <w:top w:val="single" w:sz="8" w:color="DBDBDB"/>
              <w:bottom w:val="single" w:sz="8" w:color="DBDBDB"/>
            </w:tcBorders>
            <w:shd w:val="clear" w:color="auto" w:fill="DBDBDB"/>
          </w:tcPr>
          <w:p>
            <w:pPr>
              <w:spacing w:after="0"/>
              <w:rPr>
                <w:sz w:val="21"/>
                <w:szCs w:val="21"/>
                <w:color w:val="auto"/>
              </w:rPr>
            </w:pPr>
          </w:p>
        </w:tc>
        <w:tc>
          <w:tcPr>
            <w:tcW w:w="1600" w:type="dxa"/>
            <w:vAlign w:val="bottom"/>
            <w:tcBorders>
              <w:top w:val="single" w:sz="8" w:color="auto"/>
              <w:bottom w:val="single" w:sz="8" w:color="auto"/>
            </w:tcBorders>
            <w:shd w:val="clear" w:color="auto" w:fill="DBDBDB"/>
          </w:tcPr>
          <w:p>
            <w:pPr>
              <w:jc w:val="right"/>
              <w:ind w:right="14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DBDBDB"/>
              <w:bottom w:val="single" w:sz="8" w:color="DBDBDB"/>
            </w:tcBorders>
            <w:shd w:val="clear" w:color="auto" w:fill="DBDBDB"/>
          </w:tcPr>
          <w:p>
            <w:pPr>
              <w:spacing w:after="0"/>
              <w:rPr>
                <w:sz w:val="21"/>
                <w:szCs w:val="21"/>
                <w:color w:val="auto"/>
              </w:rPr>
            </w:pPr>
          </w:p>
        </w:tc>
        <w:tc>
          <w:tcPr>
            <w:tcW w:w="1600" w:type="dxa"/>
            <w:vAlign w:val="bottom"/>
            <w:tcBorders>
              <w:top w:val="single" w:sz="8" w:color="auto"/>
              <w:bottom w:val="single" w:sz="8" w:color="auto"/>
            </w:tcBorders>
            <w:shd w:val="clear" w:color="auto" w:fill="DBDBDB"/>
          </w:tcPr>
          <w:p>
            <w:pPr>
              <w:jc w:val="right"/>
              <w:ind w:right="13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4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Related income tax benefit</w:t>
            </w:r>
          </w:p>
        </w:tc>
        <w:tc>
          <w:tcPr>
            <w:tcW w:w="232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2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tcPr>
          <w:p>
            <w:pPr>
              <w:jc w:val="right"/>
              <w:ind w:right="14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600" w:type="dxa"/>
            <w:vAlign w:val="bottom"/>
          </w:tcPr>
          <w:p>
            <w:pPr>
              <w:jc w:val="right"/>
              <w:ind w:right="13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899"/>
        </w:trPr>
        <w:tc>
          <w:tcPr>
            <w:tcW w:w="4420" w:type="dxa"/>
            <w:vAlign w:val="bottom"/>
          </w:tcPr>
          <w:p>
            <w:pPr>
              <w:spacing w:after="0"/>
              <w:rPr>
                <w:sz w:val="24"/>
                <w:szCs w:val="24"/>
                <w:color w:val="auto"/>
              </w:rPr>
            </w:pPr>
          </w:p>
        </w:tc>
        <w:tc>
          <w:tcPr>
            <w:tcW w:w="2320" w:type="dxa"/>
            <w:vAlign w:val="bottom"/>
          </w:tcPr>
          <w:p>
            <w:pPr>
              <w:jc w:val="right"/>
              <w:ind w:right="730"/>
              <w:spacing w:after="0"/>
              <w:rPr>
                <w:sz w:val="20"/>
                <w:szCs w:val="20"/>
                <w:color w:val="auto"/>
              </w:rPr>
            </w:pPr>
            <w:r>
              <w:rPr>
                <w:rFonts w:ascii="Arial" w:cs="Arial" w:eastAsia="Arial" w:hAnsi="Arial"/>
                <w:sz w:val="18"/>
                <w:szCs w:val="18"/>
                <w:color w:val="auto"/>
              </w:rPr>
              <w:t>16</w:t>
            </w: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0" w:hanging="454"/>
        <w:spacing w:after="0"/>
        <w:tabs>
          <w:tab w:leader="none" w:pos="480" w:val="left"/>
        </w:tabs>
        <w:numPr>
          <w:ilvl w:val="0"/>
          <w:numId w:val="12"/>
        </w:numPr>
        <w:rPr>
          <w:rFonts w:ascii="Arial" w:cs="Arial" w:eastAsia="Arial" w:hAnsi="Arial"/>
          <w:sz w:val="18"/>
          <w:szCs w:val="18"/>
          <w:b w:val="1"/>
          <w:bCs w:val="1"/>
          <w:color w:val="00386C"/>
        </w:rPr>
      </w:pPr>
      <w:r>
        <w:rPr>
          <w:rFonts w:ascii="Arial" w:cs="Arial" w:eastAsia="Arial" w:hAnsi="Arial"/>
          <w:sz w:val="18"/>
          <w:szCs w:val="18"/>
          <w:b w:val="1"/>
          <w:bCs w:val="1"/>
          <w:color w:val="00386C"/>
        </w:rPr>
        <w:t>Derivative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8427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use derivative instruments to reduce our exposure to fluctuations in future commodity prices and to protect our expected operating cash flow against significant market movements or volatility. These commodity contract derivative financial instruments primarily includes financial price instruments, collars, call options and basis protection instruments. All of our commodity contract derivative instruments are net settled based on the difference between the fixed-price payment and the floating-price payment, resulting in a net amount due to or from the counterparty. Additionally, we enter into exchange traded derivative instruments with brokers or the clearing houses of certain exchanges. We have elected not to designate any of our derivative instruments for hedge accounting treatment.</w:t>
      </w:r>
    </w:p>
    <w:p>
      <w:pPr>
        <w:spacing w:after="0" w:line="20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estimated fair values of our natural gas, oil and NGL derivative instrument assets (liabilities) as of March 31, 2026 and December 31, 2025 are provided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March 31, 2026</w:t>
            </w:r>
          </w:p>
        </w:tc>
        <w:tc>
          <w:tcPr>
            <w:tcW w:w="18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19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9"/>
              </w:rPr>
              <w:t>Notional</w:t>
            </w:r>
          </w:p>
        </w:tc>
        <w:tc>
          <w:tcPr>
            <w:tcW w:w="24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Fair Value</w:t>
            </w:r>
          </w:p>
        </w:tc>
        <w:tc>
          <w:tcPr>
            <w:tcW w:w="19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9"/>
              </w:rPr>
              <w:t>Notional</w:t>
            </w:r>
          </w:p>
        </w:tc>
        <w:tc>
          <w:tcPr>
            <w:tcW w:w="240" w:type="dxa"/>
            <w:vAlign w:val="bottom"/>
          </w:tcPr>
          <w:p>
            <w:pPr>
              <w:spacing w:after="0"/>
              <w:rPr>
                <w:sz w:val="14"/>
                <w:szCs w:val="14"/>
                <w:color w:val="auto"/>
              </w:rPr>
            </w:pPr>
          </w:p>
        </w:tc>
        <w:tc>
          <w:tcPr>
            <w:tcW w:w="13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1900" w:type="dxa"/>
            <w:vAlign w:val="bottom"/>
            <w:gridSpan w:val="2"/>
          </w:tcPr>
          <w:p>
            <w:pPr>
              <w:jc w:val="center"/>
              <w:ind w:right="320"/>
              <w:spacing w:after="0" w:line="243" w:lineRule="exact"/>
              <w:rPr>
                <w:sz w:val="20"/>
                <w:szCs w:val="20"/>
                <w:color w:val="auto"/>
              </w:rPr>
            </w:pPr>
            <w:r>
              <w:rPr>
                <w:rFonts w:ascii="Arial" w:cs="Arial" w:eastAsia="Arial" w:hAnsi="Arial"/>
                <w:sz w:val="18"/>
                <w:szCs w:val="18"/>
                <w:b w:val="1"/>
                <w:bCs w:val="1"/>
                <w:color w:val="auto"/>
                <w:w w:val="93"/>
              </w:rPr>
              <w:t>Volume</w:t>
            </w:r>
            <w:r>
              <w:rPr>
                <w:rFonts w:ascii="Arial" w:cs="Arial" w:eastAsia="Arial" w:hAnsi="Arial"/>
                <w:sz w:val="23"/>
                <w:szCs w:val="23"/>
                <w:b w:val="1"/>
                <w:bCs w:val="1"/>
                <w:color w:val="auto"/>
                <w:w w:val="93"/>
                <w:vertAlign w:val="superscript"/>
              </w:rPr>
              <w:t>(a)</w:t>
            </w:r>
          </w:p>
        </w:tc>
        <w:tc>
          <w:tcPr>
            <w:tcW w:w="24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1900" w:type="dxa"/>
            <w:vAlign w:val="bottom"/>
            <w:gridSpan w:val="2"/>
          </w:tcPr>
          <w:p>
            <w:pPr>
              <w:jc w:val="center"/>
              <w:ind w:right="340"/>
              <w:spacing w:after="0" w:line="243" w:lineRule="exact"/>
              <w:rPr>
                <w:sz w:val="20"/>
                <w:szCs w:val="20"/>
                <w:color w:val="auto"/>
              </w:rPr>
            </w:pPr>
            <w:r>
              <w:rPr>
                <w:rFonts w:ascii="Arial" w:cs="Arial" w:eastAsia="Arial" w:hAnsi="Arial"/>
                <w:sz w:val="18"/>
                <w:szCs w:val="18"/>
                <w:b w:val="1"/>
                <w:bCs w:val="1"/>
                <w:color w:val="auto"/>
                <w:w w:val="90"/>
              </w:rPr>
              <w:t>Volume</w:t>
            </w:r>
            <w:r>
              <w:rPr>
                <w:rFonts w:ascii="Arial" w:cs="Arial" w:eastAsia="Arial" w:hAnsi="Arial"/>
                <w:sz w:val="23"/>
                <w:szCs w:val="23"/>
                <w:b w:val="1"/>
                <w:bCs w:val="1"/>
                <w:color w:val="auto"/>
                <w:w w:val="90"/>
                <w:vertAlign w:val="superscript"/>
              </w:rPr>
              <w:t>(a)</w:t>
            </w:r>
          </w:p>
        </w:tc>
        <w:tc>
          <w:tcPr>
            <w:tcW w:w="2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Natural gas (Bcf):</w:t>
            </w:r>
          </w:p>
        </w:tc>
        <w:tc>
          <w:tcPr>
            <w:tcW w:w="1560" w:type="dxa"/>
            <w:vAlign w:val="bottom"/>
            <w:tcBorders>
              <w:top w:val="single" w:sz="8" w:color="auto"/>
            </w:tcBorders>
            <w:shd w:val="clear" w:color="auto" w:fill="DBDBDB"/>
          </w:tcPr>
          <w:p>
            <w:pPr>
              <w:spacing w:after="0"/>
              <w:rPr>
                <w:sz w:val="18"/>
                <w:szCs w:val="18"/>
                <w:color w:val="auto"/>
              </w:rPr>
            </w:pPr>
          </w:p>
        </w:tc>
        <w:tc>
          <w:tcPr>
            <w:tcW w:w="34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340" w:type="dxa"/>
            <w:vAlign w:val="bottom"/>
            <w:tcBorders>
              <w:top w:val="single" w:sz="8" w:color="auto"/>
            </w:tcBorders>
            <w:shd w:val="clear" w:color="auto" w:fill="DBDBDB"/>
          </w:tcPr>
          <w:p>
            <w:pPr>
              <w:spacing w:after="0"/>
              <w:rPr>
                <w:sz w:val="18"/>
                <w:szCs w:val="18"/>
                <w:color w:val="auto"/>
              </w:rPr>
            </w:pPr>
          </w:p>
        </w:tc>
        <w:tc>
          <w:tcPr>
            <w:tcW w:w="180" w:type="dxa"/>
            <w:vAlign w:val="bottom"/>
            <w:tcBorders>
              <w:top w:val="single" w:sz="8" w:color="DBDBDB"/>
            </w:tcBorders>
            <w:shd w:val="clear" w:color="auto" w:fill="DBDBDB"/>
          </w:tcPr>
          <w:p>
            <w:pPr>
              <w:spacing w:after="0"/>
              <w:rPr>
                <w:sz w:val="18"/>
                <w:szCs w:val="18"/>
                <w:color w:val="auto"/>
              </w:rPr>
            </w:pPr>
          </w:p>
        </w:tc>
        <w:tc>
          <w:tcPr>
            <w:tcW w:w="1560" w:type="dxa"/>
            <w:vAlign w:val="bottom"/>
            <w:tcBorders>
              <w:top w:val="single" w:sz="8" w:color="auto"/>
            </w:tcBorders>
            <w:shd w:val="clear" w:color="auto" w:fill="DBDBDB"/>
          </w:tcPr>
          <w:p>
            <w:pPr>
              <w:spacing w:after="0"/>
              <w:rPr>
                <w:sz w:val="18"/>
                <w:szCs w:val="18"/>
                <w:color w:val="auto"/>
              </w:rPr>
            </w:pPr>
          </w:p>
        </w:tc>
        <w:tc>
          <w:tcPr>
            <w:tcW w:w="34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34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Fixed-price instruments</w:t>
            </w:r>
          </w:p>
        </w:tc>
        <w:tc>
          <w:tcPr>
            <w:tcW w:w="1560" w:type="dxa"/>
            <w:vAlign w:val="bottom"/>
          </w:tcPr>
          <w:p>
            <w:pPr>
              <w:jc w:val="right"/>
              <w:spacing w:after="0"/>
              <w:rPr>
                <w:sz w:val="20"/>
                <w:szCs w:val="20"/>
                <w:color w:val="auto"/>
              </w:rPr>
            </w:pPr>
            <w:r>
              <w:rPr>
                <w:rFonts w:ascii="Arial" w:cs="Arial" w:eastAsia="Arial" w:hAnsi="Arial"/>
                <w:sz w:val="18"/>
                <w:szCs w:val="18"/>
                <w:color w:val="auto"/>
              </w:rPr>
              <w:t>869</w:t>
            </w:r>
          </w:p>
        </w:tc>
        <w:tc>
          <w:tcPr>
            <w:tcW w:w="3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756</w:t>
            </w:r>
          </w:p>
        </w:tc>
        <w:tc>
          <w:tcPr>
            <w:tcW w:w="3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Two-way collars</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1,143</w:t>
            </w: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Three-way collars</w:t>
            </w:r>
          </w:p>
        </w:tc>
        <w:tc>
          <w:tcPr>
            <w:tcW w:w="1560" w:type="dxa"/>
            <w:vAlign w:val="bottom"/>
          </w:tcPr>
          <w:p>
            <w:pPr>
              <w:jc w:val="right"/>
              <w:spacing w:after="0"/>
              <w:rPr>
                <w:sz w:val="20"/>
                <w:szCs w:val="20"/>
                <w:color w:val="auto"/>
              </w:rPr>
            </w:pPr>
            <w:r>
              <w:rPr>
                <w:rFonts w:ascii="Arial" w:cs="Arial" w:eastAsia="Arial" w:hAnsi="Arial"/>
                <w:sz w:val="18"/>
                <w:szCs w:val="18"/>
                <w:color w:val="auto"/>
              </w:rPr>
              <w:t>680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Call options (sold)</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Basis protection instruments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1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natural gas</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2,723</w:t>
            </w:r>
          </w:p>
        </w:tc>
        <w:tc>
          <w:tcPr>
            <w:tcW w:w="3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2,484</w:t>
            </w:r>
          </w:p>
        </w:tc>
        <w:tc>
          <w:tcPr>
            <w:tcW w:w="3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Oil (MMBbls):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Two-way collars</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BDBDB"/>
          </w:tcPr>
          <w:p>
            <w:pPr>
              <w:spacing w:after="0"/>
              <w:rPr>
                <w:sz w:val="19"/>
                <w:szCs w:val="19"/>
                <w:color w:val="auto"/>
              </w:rPr>
            </w:pPr>
          </w:p>
        </w:tc>
        <w:tc>
          <w:tcPr>
            <w:tcW w:w="1900" w:type="dxa"/>
            <w:vAlign w:val="bottom"/>
            <w:gridSpan w:val="2"/>
            <w:shd w:val="clear" w:color="auto" w:fill="DBDBDB"/>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Three-way collars</w:t>
            </w:r>
          </w:p>
        </w:tc>
        <w:tc>
          <w:tcPr>
            <w:tcW w:w="1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100" w:type="dxa"/>
            <w:vAlign w:val="bottom"/>
            <w:tcBorders>
              <w:top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oil</w:t>
            </w:r>
          </w:p>
        </w:tc>
        <w:tc>
          <w:tcPr>
            <w:tcW w:w="1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DBDBDB"/>
            </w:tcBorders>
            <w:shd w:val="clear" w:color="auto" w:fill="DBDBDB"/>
          </w:tcPr>
          <w:p>
            <w:pPr>
              <w:spacing w:after="0"/>
              <w:rPr>
                <w:sz w:val="19"/>
                <w:szCs w:val="19"/>
                <w:color w:val="auto"/>
              </w:rPr>
            </w:pPr>
          </w:p>
        </w:tc>
        <w:tc>
          <w:tcPr>
            <w:tcW w:w="1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NGLs (MMBbls):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Fixed-price instruments</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DBDBDB"/>
          </w:tcPr>
          <w:p>
            <w:pPr>
              <w:spacing w:after="0"/>
              <w:rPr>
                <w:sz w:val="19"/>
                <w:szCs w:val="19"/>
                <w:color w:val="auto"/>
              </w:rPr>
            </w:pPr>
          </w:p>
        </w:tc>
        <w:tc>
          <w:tcPr>
            <w:tcW w:w="1900" w:type="dxa"/>
            <w:vAlign w:val="bottom"/>
            <w:gridSpan w:val="2"/>
            <w:shd w:val="clear" w:color="auto" w:fill="DBDBDB"/>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NGL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DBDBDB"/>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estimated fair value</w:t>
            </w:r>
          </w:p>
        </w:tc>
        <w:tc>
          <w:tcPr>
            <w:tcW w:w="156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4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Notional volumes are presented net of short and long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34"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 presents the fair value and location of each classification of derivative instrument included in the condensed consolidated balance sheets as of March 31, 2026 and December 31, 2025 on a gross basis and after same-counterparty netting: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Amounts Netted in the</w:t>
            </w:r>
          </w:p>
        </w:tc>
        <w:tc>
          <w:tcPr>
            <w:tcW w:w="218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Net Fair Value Presented</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Condensed</w:t>
            </w:r>
          </w:p>
        </w:tc>
        <w:tc>
          <w:tcPr>
            <w:tcW w:w="12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in the Condensed</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Gross Fair Value</w:t>
            </w:r>
            <w:r>
              <w:rPr>
                <w:rFonts w:ascii="Arial" w:cs="Arial" w:eastAsia="Arial" w:hAnsi="Arial"/>
                <w:sz w:val="23"/>
                <w:szCs w:val="23"/>
                <w:b w:val="1"/>
                <w:bCs w:val="1"/>
                <w:color w:val="auto"/>
                <w:vertAlign w:val="superscript"/>
              </w:rPr>
              <w:t>(a)</w:t>
            </w:r>
          </w:p>
        </w:tc>
        <w:tc>
          <w:tcPr>
            <w:tcW w:w="120" w:type="dxa"/>
            <w:vAlign w:val="bottom"/>
          </w:tcPr>
          <w:p>
            <w:pPr>
              <w:spacing w:after="0"/>
              <w:rPr>
                <w:sz w:val="15"/>
                <w:szCs w:val="15"/>
                <w:color w:val="auto"/>
              </w:rPr>
            </w:pPr>
          </w:p>
        </w:tc>
        <w:tc>
          <w:tcPr>
            <w:tcW w:w="2280" w:type="dxa"/>
            <w:vAlign w:val="bottom"/>
            <w:gridSpan w:val="2"/>
          </w:tcPr>
          <w:p>
            <w:pPr>
              <w:jc w:val="center"/>
              <w:ind w:right="320"/>
              <w:spacing w:after="0" w:line="183" w:lineRule="exact"/>
              <w:rPr>
                <w:sz w:val="20"/>
                <w:szCs w:val="20"/>
                <w:color w:val="auto"/>
              </w:rPr>
            </w:pPr>
            <w:r>
              <w:rPr>
                <w:rFonts w:ascii="Arial" w:cs="Arial" w:eastAsia="Arial" w:hAnsi="Arial"/>
                <w:sz w:val="18"/>
                <w:szCs w:val="18"/>
                <w:b w:val="1"/>
                <w:bCs w:val="1"/>
                <w:color w:val="auto"/>
                <w:w w:val="99"/>
              </w:rPr>
              <w:t>Consolidated Balance</w:t>
            </w:r>
          </w:p>
        </w:tc>
        <w:tc>
          <w:tcPr>
            <w:tcW w:w="120" w:type="dxa"/>
            <w:vAlign w:val="bottom"/>
          </w:tcPr>
          <w:p>
            <w:pPr>
              <w:spacing w:after="0"/>
              <w:rPr>
                <w:sz w:val="15"/>
                <w:szCs w:val="15"/>
                <w:color w:val="auto"/>
              </w:rPr>
            </w:pPr>
          </w:p>
        </w:tc>
        <w:tc>
          <w:tcPr>
            <w:tcW w:w="2060" w:type="dxa"/>
            <w:vAlign w:val="bottom"/>
          </w:tcPr>
          <w:p>
            <w:pPr>
              <w:jc w:val="center"/>
              <w:ind w:right="50"/>
              <w:spacing w:after="0" w:line="183" w:lineRule="exact"/>
              <w:rPr>
                <w:sz w:val="20"/>
                <w:szCs w:val="20"/>
                <w:color w:val="auto"/>
              </w:rPr>
            </w:pPr>
            <w:r>
              <w:rPr>
                <w:rFonts w:ascii="Arial" w:cs="Arial" w:eastAsia="Arial" w:hAnsi="Arial"/>
                <w:sz w:val="18"/>
                <w:szCs w:val="18"/>
                <w:b w:val="1"/>
                <w:bCs w:val="1"/>
                <w:color w:val="auto"/>
                <w:w w:val="99"/>
              </w:rPr>
              <w:t>Consolidated Balance</w:t>
            </w:r>
          </w:p>
        </w:tc>
        <w:tc>
          <w:tcPr>
            <w:tcW w:w="0" w:type="dxa"/>
            <w:vAlign w:val="bottom"/>
          </w:tcPr>
          <w:p>
            <w:pPr>
              <w:spacing w:after="0"/>
              <w:rPr>
                <w:sz w:val="1"/>
                <w:szCs w:val="1"/>
                <w:color w:val="auto"/>
              </w:rPr>
            </w:pPr>
          </w:p>
        </w:tc>
      </w:tr>
      <w:tr>
        <w:trPr>
          <w:trHeight w:val="235"/>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Sheets</w:t>
            </w:r>
          </w:p>
        </w:tc>
        <w:tc>
          <w:tcPr>
            <w:tcW w:w="120" w:type="dxa"/>
            <w:vAlign w:val="bottom"/>
          </w:tcPr>
          <w:p>
            <w:pPr>
              <w:spacing w:after="0"/>
              <w:rPr>
                <w:sz w:val="20"/>
                <w:szCs w:val="20"/>
                <w:color w:val="auto"/>
              </w:rPr>
            </w:pPr>
          </w:p>
        </w:tc>
        <w:tc>
          <w:tcPr>
            <w:tcW w:w="20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Sheets</w:t>
            </w:r>
          </w:p>
        </w:tc>
        <w:tc>
          <w:tcPr>
            <w:tcW w:w="0" w:type="dxa"/>
            <w:vAlign w:val="bottom"/>
          </w:tcPr>
          <w:p>
            <w:pPr>
              <w:spacing w:after="0"/>
              <w:rPr>
                <w:sz w:val="1"/>
                <w:szCs w:val="1"/>
                <w:color w:val="auto"/>
              </w:rPr>
            </w:pPr>
          </w:p>
        </w:tc>
      </w:tr>
      <w:tr>
        <w:trPr>
          <w:trHeight w:val="209"/>
        </w:trPr>
        <w:tc>
          <w:tcPr>
            <w:tcW w:w="4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 of March 31, 2026</w:t>
            </w:r>
          </w:p>
        </w:tc>
        <w:tc>
          <w:tcPr>
            <w:tcW w:w="220" w:type="dxa"/>
            <w:vAlign w:val="bottom"/>
            <w:tcBorders>
              <w:top w:val="single" w:sz="8" w:color="auto"/>
            </w:tcBorders>
            <w:shd w:val="clear" w:color="auto" w:fill="DBDBDB"/>
          </w:tcPr>
          <w:p>
            <w:pPr>
              <w:spacing w:after="0"/>
              <w:rPr>
                <w:sz w:val="18"/>
                <w:szCs w:val="18"/>
                <w:color w:val="auto"/>
              </w:rPr>
            </w:pPr>
          </w:p>
        </w:tc>
        <w:tc>
          <w:tcPr>
            <w:tcW w:w="196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208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206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asset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Long-term derivative asset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liability</w:t>
            </w:r>
          </w:p>
        </w:tc>
        <w:tc>
          <w:tcPr>
            <w:tcW w:w="2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Long-term derivative liability</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DBDBDB"/>
            </w:tcBorders>
            <w:shd w:val="clear" w:color="auto" w:fill="DBDBDB"/>
          </w:tcPr>
          <w:p>
            <w:pPr>
              <w:jc w:val="center"/>
              <w:ind w:right="1990"/>
              <w:spacing w:after="0"/>
              <w:rPr>
                <w:sz w:val="20"/>
                <w:szCs w:val="20"/>
                <w:color w:val="auto"/>
              </w:rPr>
            </w:pPr>
            <w:r>
              <w:rPr>
                <w:rFonts w:ascii="Arial" w:cs="Arial" w:eastAsia="Arial" w:hAnsi="Arial"/>
                <w:sz w:val="18"/>
                <w:szCs w:val="18"/>
                <w:color w:val="auto"/>
                <w:w w:val="97"/>
              </w:rPr>
              <w:t>Total derivatives</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jc w:val="center"/>
              <w:ind w:right="2030"/>
              <w:spacing w:after="0"/>
              <w:rPr>
                <w:sz w:val="20"/>
                <w:szCs w:val="20"/>
                <w:color w:val="auto"/>
              </w:rPr>
            </w:pPr>
            <w:r>
              <w:rPr>
                <w:rFonts w:ascii="Arial" w:cs="Arial" w:eastAsia="Arial" w:hAnsi="Arial"/>
                <w:sz w:val="18"/>
                <w:szCs w:val="18"/>
                <w:b w:val="1"/>
                <w:bCs w:val="1"/>
                <w:color w:val="auto"/>
                <w:w w:val="99"/>
              </w:rPr>
              <w:t>As of December 31, 2025</w:t>
            </w:r>
          </w:p>
        </w:tc>
        <w:tc>
          <w:tcPr>
            <w:tcW w:w="220" w:type="dxa"/>
            <w:vAlign w:val="bottom"/>
            <w:shd w:val="clear" w:color="auto" w:fill="DBDBDB"/>
          </w:tcPr>
          <w:p>
            <w:pPr>
              <w:spacing w:after="0"/>
              <w:rPr>
                <w:sz w:val="19"/>
                <w:szCs w:val="19"/>
                <w:color w:val="auto"/>
              </w:rPr>
            </w:pPr>
          </w:p>
        </w:tc>
        <w:tc>
          <w:tcPr>
            <w:tcW w:w="196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asset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Long-term derivative asset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liability</w:t>
            </w:r>
          </w:p>
        </w:tc>
        <w:tc>
          <w:tcPr>
            <w:tcW w:w="2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Long-term derivative liability</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DBDBDB"/>
            </w:tcBorders>
            <w:shd w:val="clear" w:color="auto" w:fill="DBDBDB"/>
          </w:tcPr>
          <w:p>
            <w:pPr>
              <w:jc w:val="center"/>
              <w:ind w:right="1990"/>
              <w:spacing w:after="0"/>
              <w:rPr>
                <w:sz w:val="20"/>
                <w:szCs w:val="20"/>
                <w:color w:val="auto"/>
              </w:rPr>
            </w:pPr>
            <w:r>
              <w:rPr>
                <w:rFonts w:ascii="Arial" w:cs="Arial" w:eastAsia="Arial" w:hAnsi="Arial"/>
                <w:sz w:val="18"/>
                <w:szCs w:val="18"/>
                <w:color w:val="auto"/>
                <w:w w:val="97"/>
              </w:rPr>
              <w:t>Total derivatives</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50" w:lineRule="exact"/>
        <w:rPr>
          <w:sz w:val="20"/>
          <w:szCs w:val="20"/>
          <w:color w:val="auto"/>
        </w:rPr>
      </w:pPr>
    </w:p>
    <w:p>
      <w:pPr>
        <w:ind w:left="420" w:hanging="412"/>
        <w:spacing w:after="0" w:line="287" w:lineRule="auto"/>
        <w:tabs>
          <w:tab w:leader="none" w:pos="4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financial assets (liabilities) are measured at fair value on a recurring basis utilizing significant other observable inputs; see further discussion on fair value measurements below.</w:t>
      </w:r>
    </w:p>
    <w:p>
      <w:pPr>
        <w:spacing w:after="0" w:line="100"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1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our commodity derivatives is based on third-party pricing models, which utilize inputs that are either readily available in the public market, such as natural gas, oil and NGL forward curves and discount rates, or can be corroborated from active markets or broker quotes, and, as such, are classified as Level 2. These values are compared to the values given by our counterparties for reasonableness. Derivatives are also subject to the risk that either party to a contract will be unable to meet its obligations. We factor non-performance risk into the valuation of our derivatives using current published credit default swap rates. To date, this has not had a material impact on the values of our derivatives.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Risk Considerations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derivative instruments expose us to our counterparties’ credit risk. To mitigate this risk, we only enter into commodity contracts derivatives with counterparties that are highly rated or deemed by us to have acceptable credit strength and deemed by management to be competent and competitive market-makers, and we attempt to limit our exposure to non-performance by any single counterparty. As of March 31, 2026, our commodity contracts derivative instruments were spread among 21 counterparties.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Hedging Arrangements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Certain of our hedging arrangements are with counterparties that are also Lenders (or affiliates of Lenders) under our Credit Facility. We do not expect to post cash or letters of credit to secure our obligations under these hedging arrangements while we have our investment grade ratings. The obligations under these contracts must be secured by cash or letters of credit to the extent that any mark-to-market amounts exceed defined thresholds. As of March 31, 2026, we did not have any cash or letters of credit posted as collateral for our commodity derivatives. We maintain accounts with brokers or the clearing houses of certain exchanges to facilitate financial derivative transactions. Based on the value of the positions in these accounts and associated margin requirements, we may</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 required to deposit cash into these accounts. As of March 31, 2026, the cash held within these broker margin accounts was $17 million, and is included within other current assets within our condensed consolidated balance sheets.</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12.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17780</wp:posOffset>
            </wp:positionV>
            <wp:extent cx="762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auto"/>
        </w:rPr>
        <w:t xml:space="preserve">Momentum Sustainable Ventures LLC. </w:t>
      </w:r>
      <w:r>
        <w:rPr>
          <w:rFonts w:ascii="Arial" w:cs="Arial" w:eastAsia="Arial" w:hAnsi="Arial"/>
          <w:sz w:val="18"/>
          <w:szCs w:val="18"/>
          <w:color w:val="auto"/>
        </w:rPr>
        <w:t>During the fourth quarter of 2022, the Company entered into an agreement with Momentum</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Sustainable Ventures LLC (“Momentum”) to build a new natural gas gathering pipeline and carbon capture project, which gathers and treats natural gas produced in the Haynesville Shale for delivery to Gulf Coast markets, including LNG export, the New Generation Gas Gathering LLC (“NG3”) operated pipeline (the “NG3 pipeline”). The NG3 pipeline was placed in service and began gathering operations on October 1, 2025. Under a CO2 services agreement with ExxonMobil Low Carbon Solutions Onshore Storage, LLC (“Exxon”), NG3 began delivering CO2 to Exxon for capture and sequestration in February 2026. We have a 35% interest in the joint venture entity and classify our investment with Momentum in the NG3 pipeline as a related party.</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accounted for this investment as an equity method investment, and its carrying value, which is reflected within other long-term assets on the condensed consolidated balance sheets, was $301 million and $313 million as of March 31, 2026 and December 31, 2025, respectively. We recognize our proportionate share of income (loss) related to our investment with Momentum in other income, net within our condensed consolidated statements of operations. Our proportionate share of income (loss) related to our investment with Momentum is recognized on a three-month lag. During the Current Quarter and Prior Quarter, our proportionate share of income (loss) related to our investment in the NG3 pipeline did not have a material impact to our financial statements. We periodically review our investment with Momentum to determine if a loss in value, which is other than a temporary decline, has occurred. If an other than temporary decline has occurred, we recognize an impairment on our investment. Through March 31, 2026, we have not recognized any impairments related to our investment with Momentum.</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NG3 pipeline provides to us certain gathering, processing and transportation services. We have a gathering agreement in which approximately 900 MMcf per day, on average, of natural gas are to be gathered and processed by the NG3 pipeline over the course of the next 12 years. During the Current Quarter, approximately $18 million of our gathering, processing and transportation expenses were related to services provided by the NG3 pipeline, and is reflected within our consolidated statements of operations. Additionally, approximately $13 million and $12 million of our accounts payable balance as of March 31, 2026 and December 31, 2025, respectively, was related to gathering, processing and transportation services rendered to us by the NG3 pipeline.</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6"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hanging="454"/>
        <w:spacing w:after="0"/>
        <w:tabs>
          <w:tab w:leader="none" w:pos="480" w:val="left"/>
        </w:tabs>
        <w:numPr>
          <w:ilvl w:val="0"/>
          <w:numId w:val="14"/>
        </w:numPr>
        <w:rPr>
          <w:rFonts w:ascii="Arial" w:cs="Arial" w:eastAsia="Arial" w:hAnsi="Arial"/>
          <w:sz w:val="18"/>
          <w:szCs w:val="18"/>
          <w:b w:val="1"/>
          <w:bCs w:val="1"/>
          <w:color w:val="00386C"/>
        </w:rPr>
      </w:pPr>
      <w:r>
        <w:rPr>
          <w:rFonts w:ascii="Arial" w:cs="Arial" w:eastAsia="Arial" w:hAnsi="Arial"/>
          <w:sz w:val="18"/>
          <w:szCs w:val="18"/>
          <w:b w:val="1"/>
          <w:bCs w:val="1"/>
          <w:color w:val="00386C"/>
        </w:rPr>
        <w:t>Supplemental Cash Flow Information</w:t>
      </w:r>
    </w:p>
    <w:p>
      <w:pPr>
        <w:spacing w:after="0" w:line="279" w:lineRule="exact"/>
        <w:rPr>
          <w:rFonts w:ascii="Arial" w:cs="Arial" w:eastAsia="Arial" w:hAnsi="Arial"/>
          <w:sz w:val="18"/>
          <w:szCs w:val="18"/>
          <w:b w:val="1"/>
          <w:bCs w:val="1"/>
          <w:color w:val="00386C"/>
        </w:rPr>
      </w:pPr>
    </w:p>
    <w:p>
      <w:pPr>
        <w:ind w:left="460"/>
        <w:spacing w:after="0"/>
        <w:rPr>
          <w:rFonts w:ascii="Arial" w:cs="Arial" w:eastAsia="Arial" w:hAnsi="Arial"/>
          <w:sz w:val="18"/>
          <w:szCs w:val="18"/>
          <w:b w:val="1"/>
          <w:bCs w:val="1"/>
          <w:color w:val="00386C"/>
        </w:rPr>
      </w:pPr>
      <w:r>
        <w:rPr>
          <w:rFonts w:ascii="Arial" w:cs="Arial" w:eastAsia="Arial" w:hAnsi="Arial"/>
          <w:sz w:val="18"/>
          <w:szCs w:val="18"/>
          <w:color w:val="auto"/>
        </w:rPr>
        <w:t>Supplemental disclosures to the condensed consolidated statements of cash flows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-290195</wp:posOffset>
            </wp:positionV>
            <wp:extent cx="20485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60" w:type="dxa"/>
            <w:vAlign w:val="bottom"/>
          </w:tcPr>
          <w:p>
            <w:pPr>
              <w:spacing w:after="0"/>
              <w:rPr>
                <w:sz w:val="20"/>
                <w:szCs w:val="20"/>
                <w:color w:val="auto"/>
              </w:rPr>
            </w:pPr>
          </w:p>
        </w:tc>
        <w:tc>
          <w:tcPr>
            <w:tcW w:w="35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DBDBDB"/>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DBDBDB"/>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r>
      <w:tr>
        <w:trPr>
          <w:trHeight w:val="209"/>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13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9"/>
                <w:szCs w:val="19"/>
                <w:color w:val="auto"/>
              </w:rPr>
            </w:pP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7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138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Other current liabilities</w:t>
            </w:r>
          </w:p>
        </w:tc>
        <w:tc>
          <w:tcPr>
            <w:tcW w:w="138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70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17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w:t>
            </w:r>
          </w:p>
        </w:tc>
        <w:tc>
          <w:tcPr>
            <w:tcW w:w="240" w:type="dxa"/>
            <w:vAlign w:val="bottom"/>
          </w:tcPr>
          <w:p>
            <w:pPr>
              <w:spacing w:after="0"/>
              <w:rPr>
                <w:sz w:val="17"/>
                <w:szCs w:val="17"/>
                <w:color w:val="auto"/>
              </w:rPr>
            </w:pPr>
          </w:p>
        </w:tc>
        <w:tc>
          <w:tcPr>
            <w:tcW w:w="1380" w:type="dxa"/>
            <w:vAlign w:val="bottom"/>
            <w:tcBorders>
              <w:bottom w:val="single" w:sz="8" w:color="auto"/>
            </w:tcBorders>
          </w:tcPr>
          <w:p>
            <w:pPr>
              <w:jc w:val="right"/>
              <w:ind w:right="117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w:t>
            </w:r>
          </w:p>
        </w:tc>
      </w:tr>
      <w:tr>
        <w:trPr>
          <w:trHeight w:val="21"/>
        </w:trPr>
        <w:tc>
          <w:tcPr>
            <w:tcW w:w="7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28"/>
        </w:trPr>
        <w:tc>
          <w:tcPr>
            <w:tcW w:w="7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29"/>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38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Interest paid, net of capitalized interest</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 paid (refunds received), net</w:t>
            </w:r>
          </w:p>
        </w:tc>
        <w:tc>
          <w:tcPr>
            <w:tcW w:w="1380" w:type="dxa"/>
            <w:vAlign w:val="bottom"/>
            <w:shd w:val="clear" w:color="auto" w:fill="DBDBDB"/>
          </w:tcPr>
          <w:p>
            <w:pPr>
              <w:jc w:val="right"/>
              <w:ind w:right="11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1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162"/>
        </w:trPr>
        <w:tc>
          <w:tcPr>
            <w:tcW w:w="7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70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Supplemental disclosure of significant</w:t>
            </w:r>
          </w:p>
        </w:tc>
        <w:tc>
          <w:tcPr>
            <w:tcW w:w="138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r>
      <w:tr>
        <w:trPr>
          <w:trHeight w:val="243"/>
        </w:trPr>
        <w:tc>
          <w:tcPr>
            <w:tcW w:w="7060" w:type="dxa"/>
            <w:vAlign w:val="bottom"/>
            <w:shd w:val="clear" w:color="auto" w:fill="DBDBDB"/>
          </w:tcPr>
          <w:p>
            <w:pPr>
              <w:ind w:left="120"/>
              <w:spacing w:after="0"/>
              <w:rPr>
                <w:sz w:val="20"/>
                <w:szCs w:val="20"/>
                <w:color w:val="auto"/>
              </w:rPr>
            </w:pPr>
            <w:r>
              <w:rPr>
                <w:rFonts w:ascii="Arial" w:cs="Arial" w:eastAsia="Arial" w:hAnsi="Arial"/>
                <w:sz w:val="18"/>
                <w:szCs w:val="18"/>
                <w:b w:val="1"/>
                <w:bCs w:val="1"/>
                <w:color w:val="auto"/>
              </w:rPr>
              <w:t>non-cash investing and financing activities:</w:t>
            </w:r>
          </w:p>
        </w:tc>
        <w:tc>
          <w:tcPr>
            <w:tcW w:w="138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Change in accrued drilling and completion costs</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obligations recognized</w:t>
            </w:r>
          </w:p>
        </w:tc>
        <w:tc>
          <w:tcPr>
            <w:tcW w:w="1380" w:type="dxa"/>
            <w:vAlign w:val="bottom"/>
            <w:shd w:val="clear" w:color="auto" w:fill="DBDBDB"/>
          </w:tcPr>
          <w:p>
            <w:pPr>
              <w:jc w:val="right"/>
              <w:ind w:right="11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1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r>
    </w:tbl>
    <w:p>
      <w:pPr>
        <w:spacing w:after="0" w:line="30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00386C"/>
        </w:rPr>
        <w:t>14.</w:t>
      </w:r>
      <w:r>
        <w:rPr>
          <w:sz w:val="20"/>
          <w:szCs w:val="20"/>
          <w:color w:val="auto"/>
        </w:rPr>
        <w:tab/>
      </w:r>
      <w:r>
        <w:rPr>
          <w:rFonts w:ascii="Arial" w:cs="Arial" w:eastAsia="Arial" w:hAnsi="Arial"/>
          <w:sz w:val="17"/>
          <w:szCs w:val="17"/>
          <w:b w:val="1"/>
          <w:bCs w:val="1"/>
          <w:color w:val="00386C"/>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1830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Operating segments are defined as components of an enterprise that engage in activities from which it may earn revenues and incur expenses for which separate operational financial information is available and is regularly evaluated by the chief operating decision maker (“CODM”), who is our Chief Executive Officer, for the purpose of allocating an enterprise’s resources and assessing its operating performance. Our revenues are derived from the production, marketing and sale of natural gas, oil and NGL. Additional information on our revenues, including the disaggregation of our revenues, is found in </w:t>
      </w:r>
      <w:r>
        <w:rPr>
          <w:rFonts w:ascii="Arial" w:cs="Arial" w:eastAsia="Arial" w:hAnsi="Arial"/>
          <w:sz w:val="18"/>
          <w:szCs w:val="18"/>
          <w:u w:val="single" w:color="auto"/>
          <w:color w:val="0000FF"/>
        </w:rPr>
        <w:t>Note 7</w:t>
      </w:r>
      <w:r>
        <w:rPr>
          <w:rFonts w:ascii="Arial" w:cs="Arial" w:eastAsia="Arial" w:hAnsi="Arial"/>
          <w:sz w:val="18"/>
          <w:szCs w:val="18"/>
          <w:color w:val="auto"/>
        </w:rPr>
        <w:t>. As of March 31, 2026, we considered each of our operating areas as operating segments, however, we have aggregated those operating segments into one reportable segment due to the similar nature of the exploration and production business across Expand Energy and its consolidated subsidiaries and the fact that our marketing activities are ancillary to our operations.</w:t>
      </w:r>
    </w:p>
    <w:p>
      <w:pPr>
        <w:spacing w:after="0" w:line="1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CODM uses consolidated net income (loss), for purposes of allocating resources and in assessing Expand Energy’s operating performance, which also includes analyzing results to forecasted information. Additionally, our CODM is regularly provided information on production expense, gathering, processing and transportation expense, severance and ad valorem taxes and general and administrative expense, which are our significant segment expenses. Other segment items primarily consist of depreciation, depletion and amortization, marketing expense, interest expense and income tax expense (benefit). Our significant segment expenses and other segment items are derived from, and can be found within the condensed consolidated statements of operations.</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measure of segment assets is total assets as reported on our condensed consolidated balance sheets, and as of March 31, 2026 and as of December 31, 2025 our total assets were $29,521 million and $28,287 million, respectively. Additionally, in analyzing company performance, our CODM reviews capital expenditures. During the Current Quarter and Prior Quarter, our capital expenditures were $716 million and $662 million, respectively. During the Current Quarter and Prior Quarter we did not make any contributions to equity method investments. Our interest revenue during the Current Quarter and Prior Quarter was $8 million and $2 million, respectively.</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386C"/>
        </w:rPr>
        <w:t>ITEM 2.</w:t>
      </w:r>
      <w:r>
        <w:rPr>
          <w:sz w:val="20"/>
          <w:szCs w:val="20"/>
          <w:color w:val="auto"/>
        </w:rPr>
        <w:tab/>
      </w:r>
      <w:r>
        <w:rPr>
          <w:rFonts w:ascii="Arial" w:cs="Arial" w:eastAsia="Arial" w:hAnsi="Arial"/>
          <w:sz w:val="17"/>
          <w:szCs w:val="17"/>
          <w:b w:val="1"/>
          <w:bCs w:val="1"/>
          <w:i w:val="1"/>
          <w:iCs w:val="1"/>
          <w:color w:val="00386C"/>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17780</wp:posOffset>
            </wp:positionV>
            <wp:extent cx="4894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83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This Management’s Discussion and Analysis of Financial Condition and Results of Operations is intended to provide a reader of our financial statements with management’s perspective on our financial condition, liquidity, results of operations and certain other factors that may affect our future results. The following discussion should be read together with the condensed consolidated financial statements included in </w:t>
      </w:r>
      <w:r>
        <w:rPr>
          <w:rFonts w:ascii="Arial" w:cs="Arial" w:eastAsia="Arial" w:hAnsi="Arial"/>
          <w:sz w:val="18"/>
          <w:szCs w:val="18"/>
          <w:u w:val="single" w:color="auto"/>
          <w:color w:val="0000FF"/>
        </w:rPr>
        <w:t>Item 1 of Part I</w:t>
      </w:r>
      <w:r>
        <w:rPr>
          <w:rFonts w:ascii="Arial" w:cs="Arial" w:eastAsia="Arial" w:hAnsi="Arial"/>
          <w:sz w:val="18"/>
          <w:szCs w:val="18"/>
          <w:color w:val="auto"/>
        </w:rPr>
        <w:t xml:space="preserve"> of this report and the consolidated financial statements included in Item 8 of our </w:t>
      </w:r>
      <w:hyperlink r:id="rId24">
        <w:r>
          <w:rPr>
            <w:rFonts w:ascii="Arial" w:cs="Arial" w:eastAsia="Arial" w:hAnsi="Arial"/>
            <w:sz w:val="18"/>
            <w:szCs w:val="18"/>
            <w:u w:val="single" w:color="auto"/>
            <w:color w:val="0000FF"/>
          </w:rPr>
          <w:t>2025 Form 10-K</w:t>
        </w:r>
      </w:hyperlink>
      <w:r>
        <w:rPr>
          <w:rFonts w:ascii="Arial" w:cs="Arial" w:eastAsia="Arial" w:hAnsi="Arial"/>
          <w:sz w:val="18"/>
          <w:szCs w:val="18"/>
          <w:color w:val="auto"/>
        </w:rPr>
        <w:t>.</w:t>
      </w:r>
    </w:p>
    <w:p>
      <w:pPr>
        <w:spacing w:after="0" w:line="12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Expand Energy is the largest independent natural gas producer in the U.S., based on net daily production, and is focused on responsibly developing an abundant supply of natural gas, oil and NGL to expand energy access for all. Our operations are located in Louisiana and Texas in the Haynesville and Bossier Shales (“Haynesville”), in Pennsylvania in the Marcellus Shale (“Northeast Appalachia”) and in West Virginia and Ohio in the Marcellus and Utica Shales (“Southwest Appalachia”).</w:t>
      </w:r>
    </w:p>
    <w:p>
      <w:pPr>
        <w:spacing w:after="0" w:line="12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strategy is to create resilient shareholder value through the responsible development of our significant resource plays while continuing to be a leading provider of natural gas to growing markets. We continue to focus on improving margins through operating efficiencies, marketing and commercial efforts and financial discipline and improving our safety and sustainability performance. To accomplish these goals, we plan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invest in projects designed to reduce the environmental impact of our production activities.</w:t>
      </w:r>
    </w:p>
    <w:p>
      <w:pPr>
        <w:spacing w:after="0" w:line="12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Additionally, we aim to be conscientious in our efforts and how they will shape our approach to sustainability for the future and have established the following goals:</w:t>
      </w:r>
    </w:p>
    <w:p>
      <w:pPr>
        <w:spacing w:after="0" w:line="9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zero (Scope 1 and 2) greenhouse gas emissions by 2035.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100% responsibly sourced gas (RSG) certification across our portfolio.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5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Senior Notes Repayment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On April 15, 2026, the 6.75% Senior Notes due 2029 were repaid and terminated for approximately $875 million, including accrued interest. Additionally, on April 17, 2026, the 5.875% Senior Notes due 2029 were repaid and terminated for approximately $446 million, including accrued interest. These senior notes were repaid using cash on hand.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Returns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October 2024, our Board of Directors authorized the Company to repurchase up to $1.0 billion, in aggregate, of the Company’s common stock and/or warrants. In 2025, we prioritized paying the base dividend of $2.30 per share and $1.0 billion of annual net debt reduction, with 75% of the remaining free cash flow distributed, as market conditions warranted, through share repurchases and additional dividend payments. In 2026, the Company plans to continue to prioritize debt reduction and effectively returning cash to shareholders. During the Current Quarter, we repurchased 0.6 million shares for an aggregate price of $66 million. Additionally, following the end of the Current Quarter, we repurchased approximately 0.9 million shares for an aggregate price of $84 million through April 24, 2026.</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LNG Agreement</w:t>
      </w:r>
    </w:p>
    <w:p>
      <w:pPr>
        <w:spacing w:after="0" w:line="25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April 22, 2026, we executed a Sales and Purchase Agreement (“SPA”) for long-term liquefaction offtake with Delfin FLNG 1 LLC, subject to final investment decision. Under the SPA, we will purchase approximately 1.15 million tonnes of LNG per annum from Delfin FLNG 1 LLC at a Henry Hub price with a contract targeted start date in 2031. The previously announced SPAs with Delfin and Gunvor Group Ltd have been terminated.</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Economic and Market Conditions</w:t>
      </w:r>
    </w:p>
    <w:p>
      <w:pPr>
        <w:spacing w:after="0" w:line="2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Heightened geopolitical tensions and supply disruptions have amplified price volatility across global natural gas, oil, and NGL markets, posing renewed risks to economic growth. For example, in late February and early March 2026, military conflict involving the United States, Israel and Iran escalated in the Middle East, increasing geopolitical uncertainty in global energy markets. Concerns over disruptions to oil, natural gas and LNG production and shipping routes in the region may contribute to market price volatility for an undeterminable period of time.</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Domestically, a confluence of mild weather and robust production has negatively impacted natural gas prices in the near term. However, structural demand drivers, led by the commissioning of new LNG export capacity, accelerating industrial onshoring, and the rapid expansion of AI-powered data centers, are expected to tighten market conditions, reinforcing upward pressure on future supply requirements and increasing volatility in price. Our future estimated cash flow is partially protected from commodity price movements through our current hedge positions that provide a floor price on over 65% of our projected gas volumes through the end of 2026 with significant upside participation via costless collars and three-way collars. For the foreseeable future, we believe our operational flexibility, cost structure and liquidity position will enable us to successfully navigate continued price volatility.</w:t>
      </w:r>
    </w:p>
    <w:p>
      <w:pPr>
        <w:spacing w:after="0" w:line="210" w:lineRule="exact"/>
        <w:rPr>
          <w:sz w:val="20"/>
          <w:szCs w:val="20"/>
          <w:color w:val="auto"/>
        </w:rPr>
      </w:pPr>
    </w:p>
    <w:p>
      <w:pPr>
        <w:jc w:val="both"/>
        <w:ind w:firstLine="405"/>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We continue to monitor factors impacting commodity supply and demand situations, including tariffs on steel and oil related cost inputs such as diesel fuel, to assess their impact on our business, business partners and customers. For additional discussion regarding risk associated with price volatility and economic uncertainty, see Part I, Item 1A “Risk Factors” in our </w:t>
      </w:r>
      <w:hyperlink r:id="rId24">
        <w:r>
          <w:rPr>
            <w:rFonts w:ascii="Arial" w:cs="Arial" w:eastAsia="Arial" w:hAnsi="Arial"/>
            <w:sz w:val="18"/>
            <w:szCs w:val="18"/>
            <w:u w:val="single" w:color="auto"/>
            <w:color w:val="0000FF"/>
          </w:rPr>
          <w:t>2025 Form 10-K</w:t>
        </w:r>
      </w:hyperlink>
      <w:r>
        <w:rPr>
          <w:rFonts w:ascii="Arial" w:cs="Arial" w:eastAsia="Arial" w:hAnsi="Arial"/>
          <w:sz w:val="18"/>
          <w:szCs w:val="18"/>
          <w:color w:val="auto"/>
        </w:rPr>
        <w:t>.</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Management Changes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February 6, 2026, the Board of Directors of the Company appointed Michael Wichterich, Chairman of the Board, as Interim President and Chief Executive Officer, replacing Domenic J. Dell’Osso, Jr., effective immediately. In connection with his separation, Mr. Dell’Osso also resigned from the Board of Directors, effective immediately.</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April 6, 2026, the Board of Directors of the Company appointed Marcel Teunissen, as Executive Vice President and Chief Financial Officer, effective immediately.</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084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Liquidity Overview</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primary sources of capital resources and liquidity are internally generated cash flows from operations and borrowings under our Credit Facility, and our primary uses of cash are for the development of our natural gas and oil properties, acquisitions of additional natural gas and oil properties, repayments of debt and return of value to stockholders through dividends and equity repurchases. If needed, we also have the ability to issue equity or debt securities through public offerings or private placements. We believe our cash flow from operations, cash on hand and unused borrowing capacity under the Credit Facility, as discussed below, will provide sufficient liquidity during the next 12 months and the foreseeable future. As of March 31, 2026, we had $5.7 billion of liquidity available, including $2.2 billion of cash on hand and $3.5 billion of aggregate unused borrowing capacity available under the Credit Facility. As of March 31, 2026, we had no outstanding borrowings under our Credit Facility.</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Further, we may from time to time seek to retire, refinance or amend some or all of our outstanding debt or debt agreements through exchanges, open market purchases, privately negotiated transactions, tender offers or otherwise. Such transactions, if any, and the terms thereof, will depend on prevailing market conditions, our liquidity requirements, contractual restrictions and other factors. The amounts involved in such financing transactions may be material.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 of our debt obligations, including principal and carrying amounts of our senior notes.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Grade Ratings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have investment grade ratings with S&amp;P Global Ratings (“S&amp;P”), Fitch Ratings (“Fitch”) and Moody’s Ratings (“Moody’s”). S&amp;P has an issuer-level rating of ‘BBB-’ on our unsecured debt and an issuer credit rating of ‘BBB-’, with a stable outlook. Fitch has a credit rating of ‘BBB-’ on our revolver credit and a rating of ‘BBB-’ on our senior notes, with a stable outlook. Moody’s has a rating of Baa3 on our senior unsecured notes, with a stable outlook.</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April 28, 2026, we declared a base quarterly dividend payable of $0.575 per share, which will be paid on June 4, 2026 to stockholders of record at the close of business on May 14, 2026.</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declaration and payment of any future dividend, whether fixed or variable, will remain at the full discretion of the Board of Directors and will depend on the Company’s financial results, cash requirements, future prospects and other relevant factors. The Company’s ability to pay dividends to its stockholders is restricted by (i) Oklahoma corporate law, (ii) its Certificate of Incorporation, (iii) the terms and provisions of the Credit Agreement and (iv) the terms and provisions of the various indentures governing our senior notes.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 of our debt obligations.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Derivative and Hedging Activities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results of operations and cash flows are impacted by changes in market prices for natural gas, oil and NGL. We enter into various derivative instruments to mitigate a portion of our exposure to commodity price declines, but these transactions may also limit our cash flows in periods of rising commodity prices. Our natural gas, oil and NGL derivative activities, when combined with our sales of natural gas, oil and NGL, allow us to better predict the total revenue we expect to receive. See </w:t>
      </w:r>
      <w:r>
        <w:rPr>
          <w:rFonts w:ascii="Arial" w:cs="Arial" w:eastAsia="Arial" w:hAnsi="Arial"/>
          <w:sz w:val="18"/>
          <w:szCs w:val="18"/>
          <w:u w:val="single" w:color="auto"/>
          <w:color w:val="0000FF"/>
        </w:rPr>
        <w:t>Item 3.</w:t>
      </w:r>
      <w:r>
        <w:rPr>
          <w:rFonts w:ascii="Arial" w:cs="Arial" w:eastAsia="Arial" w:hAnsi="Arial"/>
          <w:sz w:val="18"/>
          <w:szCs w:val="18"/>
          <w:color w:val="auto"/>
        </w:rPr>
        <w:t xml:space="preserve"> Quantitative and Qualitative Disclosures About Market Risk included in Part I of this report for further discussion on the impact of commodity price risk on our financial position.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Shelf Registration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have a universal shelf registration statement on file with the SEC, as a “well-known seasoned issuer” as defined in Rule 405 under the Securities Act of 1933, as amended (the “Securities Act”), under which we have the ability to issue and sell an indeterminate amount of various types of debt and equity securities. The specific terms of</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securities to be sold will be described in supplemental filings with the SEC. There were no sales of such securities during the Current Quarter or Prior Quarter. Our current shelf registration statement will expire in November 2027.</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As of March 31, 2026, our material contractual obligations include repayment of senior notes, derivative obligations, asset retirement obligations, lease obligations, undrawn letters of credit and various other commitments we enter into in the ordinary course of business that could result in future cash obligations. In addition, we have contractual commitments with midstream companies and pipeline carriers for future gathering, processing and transportation of natural gas to move certain of our production to market. The estimated gross undiscounted future commitments under these agreements were approximately $9.2 billion as of March 31, 2026. As discussed above, we believe our existing sources of liquidity will be sufficient to fund our near and long-term contractual obligations. See </w:t>
      </w:r>
      <w:r>
        <w:rPr>
          <w:rFonts w:ascii="Arial" w:cs="Arial" w:eastAsia="Arial" w:hAnsi="Arial"/>
          <w:sz w:val="18"/>
          <w:szCs w:val="18"/>
          <w:u w:val="single" w:color="auto"/>
          <w:color w:val="0000FF"/>
        </w:rPr>
        <w:t>Notes 4</w:t>
      </w:r>
      <w:r>
        <w:rPr>
          <w:rFonts w:ascii="Arial" w:cs="Arial" w:eastAsia="Arial" w:hAnsi="Arial"/>
          <w:sz w:val="18"/>
          <w:szCs w:val="18"/>
          <w:color w:val="auto"/>
        </w:rPr>
        <w:t xml:space="preserve">, </w:t>
      </w:r>
      <w:r>
        <w:rPr>
          <w:rFonts w:ascii="Arial" w:cs="Arial" w:eastAsia="Arial" w:hAnsi="Arial"/>
          <w:sz w:val="18"/>
          <w:szCs w:val="18"/>
          <w:u w:val="single" w:color="auto"/>
          <w:color w:val="0000FF"/>
        </w:rPr>
        <w:t>5</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11</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On September 30, 2025, we entered into the Credit Agreement, which matures in September 2030. The Credit Facility provides for aggregate commitments of $3.5 billion, with a $1.0 billion sublimit available for the issuance of letters of credit and a $100 million sublimit available for swingline loans. Borrowings under the Credit Agreement may be alternate base rate loans or term SOFR loans, at the Company’s election. As of March 31, 2026, we had approximately $3.5 billion available for borrowings under the Credit Facility.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 ending December 31, 2026, we currently expect to complete and turn in line 205 to 235 gross wells utilizing approximately 11 to 12 rigs and plan to invest between approximately $2.75 – $2.95 billion in capital expenditures. We currently plan to fund our 2026 capital program through cash on hand, expected cash flow from our operations and borrowings under our Credit Facility. We may alter or change our plans with respect to our capital program and expected capital expenditures based on developments in our business, our financial position, our industry or any of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420"/>
              <w:spacing w:after="0"/>
              <w:rPr>
                <w:sz w:val="20"/>
                <w:szCs w:val="20"/>
                <w:color w:val="auto"/>
              </w:rPr>
            </w:pPr>
            <w:r>
              <w:rPr>
                <w:rFonts w:ascii="Arial" w:cs="Arial" w:eastAsia="Arial" w:hAnsi="Arial"/>
                <w:sz w:val="18"/>
                <w:szCs w:val="18"/>
                <w:i w:val="1"/>
                <w:iCs w:val="1"/>
                <w:color w:val="auto"/>
              </w:rPr>
              <w:t>Sources and (Uses) of Cash and Cash Equivalents</w:t>
            </w:r>
          </w:p>
        </w:tc>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78"/>
        </w:trPr>
        <w:tc>
          <w:tcPr>
            <w:tcW w:w="9520" w:type="dxa"/>
            <w:vAlign w:val="bottom"/>
            <w:gridSpan w:val="5"/>
          </w:tcPr>
          <w:p>
            <w:pPr>
              <w:ind w:left="420"/>
              <w:spacing w:after="0"/>
              <w:rPr>
                <w:sz w:val="20"/>
                <w:szCs w:val="20"/>
                <w:color w:val="auto"/>
              </w:rPr>
            </w:pPr>
            <w:r>
              <w:rPr>
                <w:rFonts w:ascii="Arial" w:cs="Arial" w:eastAsia="Arial" w:hAnsi="Arial"/>
                <w:sz w:val="18"/>
                <w:szCs w:val="18"/>
                <w:color w:val="auto"/>
              </w:rPr>
              <w:t>The following table presents the sources and uses of our cash and cash equivalents for the periods presented:</w:t>
            </w:r>
          </w:p>
        </w:tc>
        <w:tc>
          <w:tcPr>
            <w:tcW w:w="1720" w:type="dxa"/>
            <w:vAlign w:val="bottom"/>
          </w:tcPr>
          <w:p>
            <w:pPr>
              <w:spacing w:after="0"/>
              <w:rPr>
                <w:sz w:val="24"/>
                <w:szCs w:val="24"/>
                <w:color w:val="auto"/>
              </w:rPr>
            </w:pPr>
          </w:p>
        </w:tc>
      </w:tr>
      <w:tr>
        <w:trPr>
          <w:trHeight w:val="347"/>
        </w:trPr>
        <w:tc>
          <w:tcPr>
            <w:tcW w:w="63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30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DBDBDB"/>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2025</w:t>
            </w:r>
          </w:p>
        </w:tc>
      </w:tr>
      <w:tr>
        <w:trPr>
          <w:trHeight w:val="223"/>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provided by operating activities</w:t>
            </w:r>
          </w:p>
        </w:tc>
        <w:tc>
          <w:tcPr>
            <w:tcW w:w="56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4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1,096</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Proceeds from divestitures of property and equipment</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Receipts of deferred consideration</w:t>
            </w: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Proceeds from warrant exercise</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Distributions from investments</w:t>
            </w: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9"/>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acquisitions</w:t>
            </w: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Contributions to investments</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paid to purchase debt</w:t>
            </w:r>
          </w:p>
        </w:tc>
        <w:tc>
          <w:tcPr>
            <w:tcW w:w="56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Cash paid to repurchase and retire common stock</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paid for common stock dividends</w:t>
            </w:r>
          </w:p>
        </w:tc>
        <w:tc>
          <w:tcPr>
            <w:tcW w:w="560" w:type="dxa"/>
            <w:vAlign w:val="bottom"/>
            <w:tcBorders>
              <w:bottom w:val="single" w:sz="8" w:color="auto"/>
            </w:tcBorders>
            <w:shd w:val="clear" w:color="auto" w:fill="DBDBDB"/>
          </w:tcPr>
          <w:p>
            <w:pPr>
              <w:spacing w:after="0"/>
              <w:rPr>
                <w:sz w:val="19"/>
                <w:szCs w:val="19"/>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6300" w:type="dxa"/>
            <w:vAlign w:val="bottom"/>
          </w:tcPr>
          <w:p>
            <w:pPr>
              <w:ind w:left="140"/>
              <w:spacing w:after="0"/>
              <w:rPr>
                <w:sz w:val="20"/>
                <w:szCs w:val="20"/>
                <w:color w:val="auto"/>
              </w:rPr>
            </w:pPr>
            <w:r>
              <w:rPr>
                <w:rFonts w:ascii="Arial" w:cs="Arial" w:eastAsia="Arial" w:hAnsi="Arial"/>
                <w:sz w:val="18"/>
                <w:szCs w:val="18"/>
                <w:color w:val="auto"/>
              </w:rPr>
              <w:t>Net increase in cash, cash equivalents and restricted cash</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
        </w:trPr>
        <w:tc>
          <w:tcPr>
            <w:tcW w:w="6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Cash provided by operating activities was $2,402 million and $1,096 million during the Current Quarter and Prior Quarter, respectively. The increase during the Current Quarter is primarily due to higher prices for the natural gas we sold as well as increased sales volumes. Cash flows from operations are largely affected by the same factors that affect our net income (loss), excluding various non-cash items, such as depreciation, depletion and amortization, certain impairments, gains or losses on sales of assets, deferred income taxes and mark-to-market changes in our open derivative instruments. See further discussion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Divestitures of Property and Equipment</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Current Quarter, we sold a portion of our Oklahoma City campus as well as certain minor leasehold positions.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Receipts of Deferred Consideration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During both the Current Quarter and Prior Quarter, we received deferred consideration associated with our Eagle Ford divestiture transactions.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capital expenditures increased during the Current Quarter compared to the Prior Quarter, as a result of increased drilling and completion activity within our Haynesville and Northeast Appalachia operating areas as well as increased leasehold capital expenditure activity.</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to Purchase Debt</w:t>
      </w:r>
    </w:p>
    <w:p>
      <w:pPr>
        <w:spacing w:after="0" w:line="25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During the Prior Quarter, the $389 million aggregate principal of the 2025 Notes was repaid and terminated upon maturity with cash on hand and borrowings under the prior credit facility, of which the prior credit facility borrowings were subsequently repaid. Additionally, we redeemed the remaining $47 million aggregate principal of the 2026 Notes using cash on hand.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to Repurchase and Retire Common Stock</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During the Current Quarter, we repurchased 0.6 million shares for an aggregate price of $66 million. The shares of common stock repurchased during the Current Quarter were retired and recorded as a reduction to common stock and retained earnings.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for Common Stock Dividends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As part of our dividend program, we paid common stock dividends of $141 million and $142 million during the Current Quarter and Prior Quarter, respectively.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00" w:type="dxa"/>
            <w:vAlign w:val="bottom"/>
            <w:tcBorders>
              <w:bottom w:val="single" w:sz="8" w:color="33A3DC"/>
            </w:tcBorders>
          </w:tcPr>
          <w:p>
            <w:pPr>
              <w:ind w:left="20"/>
              <w:spacing w:after="0"/>
              <w:rPr>
                <w:sz w:val="20"/>
                <w:szCs w:val="20"/>
                <w:color w:val="auto"/>
              </w:rPr>
            </w:pPr>
            <w:r>
              <w:rPr>
                <w:rFonts w:ascii="Arial" w:cs="Arial" w:eastAsia="Arial" w:hAnsi="Arial"/>
                <w:sz w:val="18"/>
                <w:szCs w:val="18"/>
                <w:b w:val="1"/>
                <w:bCs w:val="1"/>
                <w:color w:val="00386C"/>
              </w:rPr>
              <w:t>Results of Operations</w:t>
            </w:r>
          </w:p>
        </w:tc>
        <w:tc>
          <w:tcPr>
            <w:tcW w:w="1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6280" w:type="dxa"/>
            <w:vAlign w:val="bottom"/>
            <w:gridSpan w:val="9"/>
          </w:tcPr>
          <w:p>
            <w:pPr>
              <w:ind w:left="420"/>
              <w:spacing w:after="0"/>
              <w:rPr>
                <w:sz w:val="20"/>
                <w:szCs w:val="20"/>
                <w:color w:val="auto"/>
              </w:rPr>
            </w:pPr>
            <w:r>
              <w:rPr>
                <w:rFonts w:ascii="Arial" w:cs="Arial" w:eastAsia="Arial" w:hAnsi="Arial"/>
                <w:sz w:val="18"/>
                <w:szCs w:val="18"/>
                <w:i w:val="1"/>
                <w:iCs w:val="1"/>
                <w:color w:val="auto"/>
              </w:rPr>
              <w:t>Natural Gas, Oil and NGL Production and Average Sales Prices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4"/>
          </w:tcPr>
          <w:p>
            <w:pPr>
              <w:jc w:val="right"/>
              <w:ind w:right="170"/>
              <w:spacing w:after="0"/>
              <w:rPr>
                <w:sz w:val="20"/>
                <w:szCs w:val="20"/>
                <w:color w:val="auto"/>
              </w:rPr>
            </w:pPr>
            <w:r>
              <w:rPr>
                <w:rFonts w:ascii="Arial" w:cs="Arial" w:eastAsia="Arial" w:hAnsi="Arial"/>
                <w:sz w:val="18"/>
                <w:szCs w:val="18"/>
                <w:b w:val="1"/>
                <w:bCs w:val="1"/>
                <w:color w:val="auto"/>
              </w:rPr>
              <w:t>Three Months Ended March 31, 2026</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Natural Gas</w:t>
            </w:r>
          </w:p>
        </w:tc>
        <w:tc>
          <w:tcPr>
            <w:tcW w:w="140" w:type="dxa"/>
            <w:vAlign w:val="bottom"/>
          </w:tcPr>
          <w:p>
            <w:pPr>
              <w:spacing w:after="0"/>
              <w:rPr>
                <w:sz w:val="19"/>
                <w:szCs w:val="19"/>
                <w:color w:val="auto"/>
              </w:rPr>
            </w:pPr>
          </w:p>
        </w:tc>
        <w:tc>
          <w:tcPr>
            <w:tcW w:w="116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Oil</w:t>
            </w: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NGL</w:t>
            </w: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8"/>
              </w:rPr>
              <w:t>MMcf per</w:t>
            </w:r>
          </w:p>
        </w:tc>
        <w:tc>
          <w:tcPr>
            <w:tcW w:w="120" w:type="dxa"/>
            <w:vAlign w:val="bottom"/>
          </w:tcPr>
          <w:p>
            <w:pPr>
              <w:spacing w:after="0"/>
              <w:rPr>
                <w:sz w:val="14"/>
                <w:szCs w:val="14"/>
                <w:color w:val="auto"/>
              </w:rPr>
            </w:pPr>
          </w:p>
        </w:tc>
        <w:tc>
          <w:tcPr>
            <w:tcW w:w="94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9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rPr>
              <w:t>MBbl per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6"/>
          </w:tcPr>
          <w:p>
            <w:pPr>
              <w:jc w:val="center"/>
              <w:ind w:right="280"/>
              <w:spacing w:after="0" w:line="169" w:lineRule="exact"/>
              <w:rPr>
                <w:sz w:val="20"/>
                <w:szCs w:val="20"/>
                <w:color w:val="auto"/>
              </w:rPr>
            </w:pPr>
            <w:r>
              <w:rPr>
                <w:rFonts w:ascii="Arial" w:cs="Arial" w:eastAsia="Arial" w:hAnsi="Arial"/>
                <w:sz w:val="18"/>
                <w:szCs w:val="18"/>
                <w:b w:val="1"/>
                <w:bCs w:val="1"/>
                <w:color w:val="auto"/>
                <w:w w:val="98"/>
              </w:rPr>
              <w:t>MBbl per</w:t>
            </w:r>
          </w:p>
        </w:tc>
        <w:tc>
          <w:tcPr>
            <w:tcW w:w="6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$/Bbl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MMcfe</w:t>
            </w:r>
          </w:p>
        </w:tc>
        <w:tc>
          <w:tcPr>
            <w:tcW w:w="1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day</w:t>
            </w:r>
          </w:p>
        </w:tc>
        <w:tc>
          <w:tcPr>
            <w:tcW w:w="120" w:type="dxa"/>
            <w:vAlign w:val="bottom"/>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day</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6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day</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4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3,148</w:t>
            </w: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3,148</w:t>
            </w:r>
          </w:p>
        </w:tc>
        <w:tc>
          <w:tcPr>
            <w:tcW w:w="1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center"/>
              <w:ind w:left="310"/>
              <w:spacing w:after="0"/>
              <w:rPr>
                <w:sz w:val="20"/>
                <w:szCs w:val="20"/>
                <w:color w:val="auto"/>
              </w:rPr>
            </w:pPr>
            <w:r>
              <w:rPr>
                <w:rFonts w:ascii="Arial" w:cs="Arial" w:eastAsia="Arial" w:hAnsi="Arial"/>
                <w:sz w:val="18"/>
                <w:szCs w:val="18"/>
                <w:color w:val="auto"/>
                <w:w w:val="96"/>
              </w:rPr>
              <w:t>4.40</w:t>
            </w:r>
          </w:p>
        </w:tc>
        <w:tc>
          <w:tcPr>
            <w:tcW w:w="2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Northeast Appalachia</w:t>
            </w:r>
          </w:p>
        </w:tc>
        <w:tc>
          <w:tcPr>
            <w:tcW w:w="900" w:type="dxa"/>
            <w:vAlign w:val="bottom"/>
          </w:tcPr>
          <w:p>
            <w:pPr>
              <w:jc w:val="right"/>
              <w:spacing w:after="0"/>
              <w:rPr>
                <w:sz w:val="20"/>
                <w:szCs w:val="20"/>
                <w:color w:val="auto"/>
              </w:rPr>
            </w:pPr>
            <w:r>
              <w:rPr>
                <w:rFonts w:ascii="Arial" w:cs="Arial" w:eastAsia="Arial" w:hAnsi="Arial"/>
                <w:sz w:val="18"/>
                <w:szCs w:val="18"/>
                <w:color w:val="auto"/>
              </w:rPr>
              <w:t>2,785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2,785</w:t>
            </w:r>
          </w:p>
        </w:tc>
        <w:tc>
          <w:tcPr>
            <w:tcW w:w="1000" w:type="dxa"/>
            <w:vAlign w:val="bottom"/>
            <w:gridSpan w:val="2"/>
          </w:tcPr>
          <w:p>
            <w:pPr>
              <w:jc w:val="center"/>
              <w:ind w:left="450"/>
              <w:spacing w:after="0"/>
              <w:rPr>
                <w:sz w:val="20"/>
                <w:szCs w:val="20"/>
                <w:color w:val="auto"/>
              </w:rPr>
            </w:pPr>
            <w:r>
              <w:rPr>
                <w:rFonts w:ascii="Arial" w:cs="Arial" w:eastAsia="Arial" w:hAnsi="Arial"/>
                <w:sz w:val="18"/>
                <w:szCs w:val="18"/>
                <w:color w:val="auto"/>
                <w:w w:val="96"/>
              </w:rPr>
              <w:t>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981</w:t>
            </w:r>
          </w:p>
        </w:tc>
        <w:tc>
          <w:tcPr>
            <w:tcW w:w="92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64.37</w:t>
            </w:r>
          </w:p>
        </w:tc>
        <w:tc>
          <w:tcPr>
            <w:tcW w:w="14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89"/>
              </w:rPr>
              <w:t>72</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25.49</w:t>
            </w:r>
          </w:p>
        </w:tc>
        <w:tc>
          <w:tcPr>
            <w:tcW w:w="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1,503</w:t>
            </w:r>
          </w:p>
        </w:tc>
        <w:tc>
          <w:tcPr>
            <w:tcW w:w="1000" w:type="dxa"/>
            <w:vAlign w:val="bottom"/>
            <w:gridSpan w:val="2"/>
            <w:shd w:val="clear" w:color="auto" w:fill="DBDBDB"/>
          </w:tcPr>
          <w:p>
            <w:pPr>
              <w:jc w:val="center"/>
              <w:ind w:left="450"/>
              <w:spacing w:after="0"/>
              <w:rPr>
                <w:sz w:val="20"/>
                <w:szCs w:val="20"/>
                <w:color w:val="auto"/>
              </w:rPr>
            </w:pPr>
            <w:r>
              <w:rPr>
                <w:rFonts w:ascii="Arial" w:cs="Arial" w:eastAsia="Arial" w:hAnsi="Arial"/>
                <w:sz w:val="18"/>
                <w:szCs w:val="18"/>
                <w:color w:val="auto"/>
                <w:w w:val="96"/>
              </w:rPr>
              <w:t>4.74</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64.37</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7,436</w:t>
            </w:r>
          </w:p>
        </w:tc>
        <w:tc>
          <w:tcPr>
            <w:tcW w:w="1000" w:type="dxa"/>
            <w:vAlign w:val="bottom"/>
            <w:gridSpan w:val="2"/>
          </w:tcPr>
          <w:p>
            <w:pPr>
              <w:jc w:val="center"/>
              <w:ind w:left="450"/>
              <w:spacing w:after="0"/>
              <w:rPr>
                <w:sz w:val="20"/>
                <w:szCs w:val="20"/>
                <w:color w:val="auto"/>
              </w:rPr>
            </w:pPr>
            <w:r>
              <w:rPr>
                <w:rFonts w:ascii="Arial" w:cs="Arial" w:eastAsia="Arial" w:hAnsi="Arial"/>
                <w:sz w:val="18"/>
                <w:szCs w:val="18"/>
                <w:color w:val="auto"/>
                <w:w w:val="96"/>
              </w:rPr>
              <w:t>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900" w:type="dxa"/>
            <w:vAlign w:val="bottom"/>
            <w:shd w:val="clear" w:color="auto" w:fill="DBDBDB"/>
          </w:tcPr>
          <w:p>
            <w:pPr>
              <w:spacing w:after="0"/>
              <w:rPr>
                <w:sz w:val="19"/>
                <w:szCs w:val="19"/>
                <w:color w:val="auto"/>
              </w:rPr>
            </w:pPr>
          </w:p>
        </w:tc>
        <w:tc>
          <w:tcPr>
            <w:tcW w:w="92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71.93</w:t>
            </w:r>
          </w:p>
        </w:tc>
        <w:tc>
          <w:tcPr>
            <w:tcW w:w="1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Average Realized Price (including</w:t>
            </w:r>
          </w:p>
        </w:tc>
        <w:tc>
          <w:tcPr>
            <w:tcW w:w="900" w:type="dxa"/>
            <w:vAlign w:val="bottom"/>
          </w:tcPr>
          <w:p>
            <w:pPr>
              <w:spacing w:after="0"/>
              <w:rPr>
                <w:sz w:val="15"/>
                <w:szCs w:val="15"/>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64.77</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25.49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2"/>
            <w:vMerge w:val="restart"/>
          </w:tcPr>
          <w:p>
            <w:pPr>
              <w:jc w:val="center"/>
              <w:ind w:left="450"/>
              <w:spacing w:after="0"/>
              <w:rPr>
                <w:sz w:val="20"/>
                <w:szCs w:val="20"/>
                <w:color w:val="auto"/>
              </w:rPr>
            </w:pPr>
            <w:r>
              <w:rPr>
                <w:rFonts w:ascii="Arial" w:cs="Arial" w:eastAsia="Arial" w:hAnsi="Arial"/>
                <w:sz w:val="18"/>
                <w:szCs w:val="18"/>
                <w:color w:val="auto"/>
                <w:w w:val="96"/>
              </w:rPr>
              <w:t>4.35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realized derivatives)</w:t>
            </w:r>
          </w:p>
        </w:tc>
        <w:tc>
          <w:tcPr>
            <w:tcW w:w="900" w:type="dxa"/>
            <w:vAlign w:val="bottom"/>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4"/>
          </w:tcPr>
          <w:p>
            <w:pPr>
              <w:jc w:val="right"/>
              <w:ind w:right="170"/>
              <w:spacing w:after="0"/>
              <w:rPr>
                <w:sz w:val="20"/>
                <w:szCs w:val="20"/>
                <w:color w:val="auto"/>
              </w:rPr>
            </w:pPr>
            <w:r>
              <w:rPr>
                <w:rFonts w:ascii="Arial" w:cs="Arial" w:eastAsia="Arial" w:hAnsi="Arial"/>
                <w:sz w:val="18"/>
                <w:szCs w:val="18"/>
                <w:b w:val="1"/>
                <w:bCs w:val="1"/>
                <w:color w:val="auto"/>
              </w:rPr>
              <w:t>Three Months Ended March 31, 2025</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Natural Gas</w:t>
            </w:r>
          </w:p>
        </w:tc>
        <w:tc>
          <w:tcPr>
            <w:tcW w:w="140" w:type="dxa"/>
            <w:vAlign w:val="bottom"/>
          </w:tcPr>
          <w:p>
            <w:pPr>
              <w:spacing w:after="0"/>
              <w:rPr>
                <w:sz w:val="19"/>
                <w:szCs w:val="19"/>
                <w:color w:val="auto"/>
              </w:rPr>
            </w:pPr>
          </w:p>
        </w:tc>
        <w:tc>
          <w:tcPr>
            <w:tcW w:w="116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Oil</w:t>
            </w: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NGL</w:t>
            </w: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8"/>
              </w:rPr>
              <w:t>MMcf per</w:t>
            </w:r>
          </w:p>
        </w:tc>
        <w:tc>
          <w:tcPr>
            <w:tcW w:w="120" w:type="dxa"/>
            <w:vAlign w:val="bottom"/>
          </w:tcPr>
          <w:p>
            <w:pPr>
              <w:spacing w:after="0"/>
              <w:rPr>
                <w:sz w:val="14"/>
                <w:szCs w:val="14"/>
                <w:color w:val="auto"/>
              </w:rPr>
            </w:pPr>
          </w:p>
        </w:tc>
        <w:tc>
          <w:tcPr>
            <w:tcW w:w="94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9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rPr>
              <w:t>MBbl per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6"/>
          </w:tcPr>
          <w:p>
            <w:pPr>
              <w:jc w:val="center"/>
              <w:ind w:right="280"/>
              <w:spacing w:after="0" w:line="169" w:lineRule="exact"/>
              <w:rPr>
                <w:sz w:val="20"/>
                <w:szCs w:val="20"/>
                <w:color w:val="auto"/>
              </w:rPr>
            </w:pPr>
            <w:r>
              <w:rPr>
                <w:rFonts w:ascii="Arial" w:cs="Arial" w:eastAsia="Arial" w:hAnsi="Arial"/>
                <w:sz w:val="18"/>
                <w:szCs w:val="18"/>
                <w:b w:val="1"/>
                <w:bCs w:val="1"/>
                <w:color w:val="auto"/>
                <w:w w:val="98"/>
              </w:rPr>
              <w:t>MBbl per</w:t>
            </w:r>
          </w:p>
        </w:tc>
        <w:tc>
          <w:tcPr>
            <w:tcW w:w="6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$/Bbl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MMcfe</w:t>
            </w:r>
          </w:p>
        </w:tc>
        <w:tc>
          <w:tcPr>
            <w:tcW w:w="1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day</w:t>
            </w:r>
          </w:p>
        </w:tc>
        <w:tc>
          <w:tcPr>
            <w:tcW w:w="120" w:type="dxa"/>
            <w:vAlign w:val="bottom"/>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day</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6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day</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4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2,617</w:t>
            </w: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2,617</w:t>
            </w:r>
          </w:p>
        </w:tc>
        <w:tc>
          <w:tcPr>
            <w:tcW w:w="1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center"/>
              <w:ind w:left="310"/>
              <w:spacing w:after="0"/>
              <w:rPr>
                <w:sz w:val="20"/>
                <w:szCs w:val="20"/>
                <w:color w:val="auto"/>
              </w:rPr>
            </w:pPr>
            <w:r>
              <w:rPr>
                <w:rFonts w:ascii="Arial" w:cs="Arial" w:eastAsia="Arial" w:hAnsi="Arial"/>
                <w:sz w:val="18"/>
                <w:szCs w:val="18"/>
                <w:color w:val="auto"/>
                <w:w w:val="96"/>
              </w:rPr>
              <w:t>3.48</w:t>
            </w:r>
          </w:p>
        </w:tc>
        <w:tc>
          <w:tcPr>
            <w:tcW w:w="2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Northeast Appalachia</w:t>
            </w:r>
          </w:p>
        </w:tc>
        <w:tc>
          <w:tcPr>
            <w:tcW w:w="900" w:type="dxa"/>
            <w:vAlign w:val="bottom"/>
          </w:tcPr>
          <w:p>
            <w:pPr>
              <w:jc w:val="right"/>
              <w:spacing w:after="0"/>
              <w:rPr>
                <w:sz w:val="20"/>
                <w:szCs w:val="20"/>
                <w:color w:val="auto"/>
              </w:rPr>
            </w:pPr>
            <w:r>
              <w:rPr>
                <w:rFonts w:ascii="Arial" w:cs="Arial" w:eastAsia="Arial" w:hAnsi="Arial"/>
                <w:sz w:val="18"/>
                <w:szCs w:val="18"/>
                <w:color w:val="auto"/>
              </w:rPr>
              <w:t>2,668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2,668</w:t>
            </w:r>
          </w:p>
        </w:tc>
        <w:tc>
          <w:tcPr>
            <w:tcW w:w="1000" w:type="dxa"/>
            <w:vAlign w:val="bottom"/>
            <w:gridSpan w:val="2"/>
          </w:tcPr>
          <w:p>
            <w:pPr>
              <w:jc w:val="center"/>
              <w:ind w:left="450"/>
              <w:spacing w:after="0"/>
              <w:rPr>
                <w:sz w:val="20"/>
                <w:szCs w:val="20"/>
                <w:color w:val="auto"/>
              </w:rPr>
            </w:pPr>
            <w:r>
              <w:rPr>
                <w:rFonts w:ascii="Arial" w:cs="Arial" w:eastAsia="Arial" w:hAnsi="Arial"/>
                <w:sz w:val="18"/>
                <w:szCs w:val="18"/>
                <w:color w:val="auto"/>
                <w:w w:val="96"/>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969</w:t>
            </w:r>
          </w:p>
        </w:tc>
        <w:tc>
          <w:tcPr>
            <w:tcW w:w="92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63.40</w:t>
            </w:r>
          </w:p>
        </w:tc>
        <w:tc>
          <w:tcPr>
            <w:tcW w:w="14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89"/>
              </w:rPr>
              <w:t>75</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30.54</w:t>
            </w:r>
          </w:p>
        </w:tc>
        <w:tc>
          <w:tcPr>
            <w:tcW w:w="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1,503</w:t>
            </w:r>
          </w:p>
        </w:tc>
        <w:tc>
          <w:tcPr>
            <w:tcW w:w="1000" w:type="dxa"/>
            <w:vAlign w:val="bottom"/>
            <w:gridSpan w:val="2"/>
            <w:shd w:val="clear" w:color="auto" w:fill="DBDBDB"/>
          </w:tcPr>
          <w:p>
            <w:pPr>
              <w:jc w:val="center"/>
              <w:ind w:left="450"/>
              <w:spacing w:after="0"/>
              <w:rPr>
                <w:sz w:val="20"/>
                <w:szCs w:val="20"/>
                <w:color w:val="auto"/>
              </w:rPr>
            </w:pPr>
            <w:r>
              <w:rPr>
                <w:rFonts w:ascii="Arial" w:cs="Arial" w:eastAsia="Arial" w:hAnsi="Arial"/>
                <w:sz w:val="18"/>
                <w:szCs w:val="18"/>
                <w:color w:val="auto"/>
                <w:w w:val="96"/>
              </w:rPr>
              <w:t>4.28</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63.40</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75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6,788</w:t>
            </w:r>
          </w:p>
        </w:tc>
        <w:tc>
          <w:tcPr>
            <w:tcW w:w="1000" w:type="dxa"/>
            <w:vAlign w:val="bottom"/>
            <w:gridSpan w:val="2"/>
          </w:tcPr>
          <w:p>
            <w:pPr>
              <w:jc w:val="center"/>
              <w:ind w:left="450"/>
              <w:spacing w:after="0"/>
              <w:rPr>
                <w:sz w:val="20"/>
                <w:szCs w:val="20"/>
                <w:color w:val="auto"/>
              </w:rPr>
            </w:pPr>
            <w:r>
              <w:rPr>
                <w:rFonts w:ascii="Arial" w:cs="Arial" w:eastAsia="Arial" w:hAnsi="Arial"/>
                <w:sz w:val="18"/>
                <w:szCs w:val="18"/>
                <w:color w:val="auto"/>
                <w:w w:val="96"/>
              </w:rPr>
              <w:t>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900" w:type="dxa"/>
            <w:vAlign w:val="bottom"/>
            <w:shd w:val="clear" w:color="auto" w:fill="DBDBDB"/>
          </w:tcPr>
          <w:p>
            <w:pPr>
              <w:spacing w:after="0"/>
              <w:rPr>
                <w:sz w:val="19"/>
                <w:szCs w:val="19"/>
                <w:color w:val="auto"/>
              </w:rPr>
            </w:pPr>
          </w:p>
        </w:tc>
        <w:tc>
          <w:tcPr>
            <w:tcW w:w="92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71.42</w:t>
            </w:r>
          </w:p>
        </w:tc>
        <w:tc>
          <w:tcPr>
            <w:tcW w:w="1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Average Realized Price (including</w:t>
            </w:r>
          </w:p>
        </w:tc>
        <w:tc>
          <w:tcPr>
            <w:tcW w:w="900" w:type="dxa"/>
            <w:vAlign w:val="bottom"/>
          </w:tcPr>
          <w:p>
            <w:pPr>
              <w:spacing w:after="0"/>
              <w:rPr>
                <w:sz w:val="15"/>
                <w:szCs w:val="15"/>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63.76</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29.35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2"/>
            <w:vMerge w:val="restart"/>
          </w:tcPr>
          <w:p>
            <w:pPr>
              <w:jc w:val="center"/>
              <w:ind w:left="450"/>
              <w:spacing w:after="0"/>
              <w:rPr>
                <w:sz w:val="20"/>
                <w:szCs w:val="20"/>
                <w:color w:val="auto"/>
              </w:rPr>
            </w:pPr>
            <w:r>
              <w:rPr>
                <w:rFonts w:ascii="Arial" w:cs="Arial" w:eastAsia="Arial" w:hAnsi="Arial"/>
                <w:sz w:val="18"/>
                <w:szCs w:val="18"/>
                <w:color w:val="auto"/>
                <w:w w:val="96"/>
              </w:rPr>
              <w:t>3.69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realized derivatives)</w:t>
            </w:r>
          </w:p>
        </w:tc>
        <w:tc>
          <w:tcPr>
            <w:tcW w:w="900" w:type="dxa"/>
            <w:vAlign w:val="bottom"/>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3420" w:type="dxa"/>
            <w:vAlign w:val="bottom"/>
            <w:gridSpan w:val="2"/>
          </w:tcPr>
          <w:p>
            <w:pPr>
              <w:ind w:left="420"/>
              <w:spacing w:after="0"/>
              <w:rPr>
                <w:sz w:val="20"/>
                <w:szCs w:val="20"/>
                <w:color w:val="auto"/>
              </w:rPr>
            </w:pPr>
            <w:r>
              <w:rPr>
                <w:rFonts w:ascii="Arial" w:cs="Arial" w:eastAsia="Arial" w:hAnsi="Arial"/>
                <w:sz w:val="18"/>
                <w:szCs w:val="18"/>
                <w:i w:val="1"/>
                <w:iCs w:val="1"/>
                <w:color w:val="auto"/>
              </w:rPr>
              <w:t>Natural Gas, Oil and NGL Sales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7"/>
          </w:tcPr>
          <w:p>
            <w:pPr>
              <w:ind w:left="20"/>
              <w:spacing w:after="0"/>
              <w:rPr>
                <w:sz w:val="20"/>
                <w:szCs w:val="20"/>
                <w:color w:val="auto"/>
              </w:rPr>
            </w:pPr>
            <w:r>
              <w:rPr>
                <w:rFonts w:ascii="Arial" w:cs="Arial" w:eastAsia="Arial" w:hAnsi="Arial"/>
                <w:sz w:val="18"/>
                <w:szCs w:val="18"/>
                <w:b w:val="1"/>
                <w:bCs w:val="1"/>
                <w:color w:val="auto"/>
              </w:rPr>
              <w:t>Three Months Ended March 31, 2026</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4"/>
          </w:tcPr>
          <w:p>
            <w:pPr>
              <w:ind w:left="26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b w:val="1"/>
                <w:bCs w:val="1"/>
                <w:color w:val="auto"/>
              </w:rPr>
              <w:t>Oil</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9"/>
              </w:rPr>
              <w:t>NGL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90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DBDBDB"/>
            </w:tcBorders>
            <w:gridSpan w:val="2"/>
            <w:shd w:val="clear" w:color="auto" w:fill="DBDBDB"/>
          </w:tcPr>
          <w:p>
            <w:pPr>
              <w:spacing w:after="0"/>
              <w:rPr>
                <w:sz w:val="19"/>
                <w:szCs w:val="19"/>
                <w:color w:val="auto"/>
              </w:rPr>
            </w:pPr>
          </w:p>
        </w:tc>
        <w:tc>
          <w:tcPr>
            <w:tcW w:w="540" w:type="dxa"/>
            <w:vAlign w:val="bottom"/>
            <w:tcBorders>
              <w:top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1,245</w:t>
            </w:r>
          </w:p>
        </w:tc>
        <w:tc>
          <w:tcPr>
            <w:tcW w:w="8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62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3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jc w:val="center"/>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1,245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Northeast Appalachia</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w w:val="99"/>
              </w:rPr>
              <w:t>166</w:t>
            </w:r>
          </w:p>
        </w:tc>
        <w:tc>
          <w:tcPr>
            <w:tcW w:w="60" w:type="dxa"/>
            <w:vAlign w:val="bottom"/>
            <w:tcBorders>
              <w:bottom w:val="single" w:sz="8" w:color="auto"/>
            </w:tcBorders>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gridSpan w:val="2"/>
            <w:shd w:val="clear" w:color="auto" w:fill="DBDBDB"/>
          </w:tcPr>
          <w:p>
            <w:pPr>
              <w:jc w:val="center"/>
              <w:ind w:left="450"/>
              <w:spacing w:after="0"/>
              <w:rPr>
                <w:sz w:val="20"/>
                <w:szCs w:val="20"/>
                <w:color w:val="auto"/>
              </w:rPr>
            </w:pPr>
            <w:r>
              <w:rPr>
                <w:rFonts w:ascii="Arial" w:cs="Arial" w:eastAsia="Arial" w:hAnsi="Arial"/>
                <w:sz w:val="18"/>
                <w:szCs w:val="18"/>
                <w:color w:val="auto"/>
                <w:w w:val="99"/>
              </w:rPr>
              <w:t>642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ind w:left="240"/>
              <w:spacing w:after="0"/>
              <w:rPr>
                <w:sz w:val="20"/>
                <w:szCs w:val="20"/>
                <w:color w:val="auto"/>
              </w:rPr>
            </w:pPr>
            <w:r>
              <w:rPr>
                <w:rFonts w:ascii="Arial" w:cs="Arial" w:eastAsia="Arial" w:hAnsi="Arial"/>
                <w:sz w:val="18"/>
                <w:szCs w:val="18"/>
                <w:color w:val="auto"/>
              </w:rPr>
              <w:t>Total natural gas, oil and NGL sales</w:t>
            </w:r>
          </w:p>
        </w:tc>
        <w:tc>
          <w:tcPr>
            <w:tcW w:w="9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166</w:t>
            </w:r>
          </w:p>
        </w:tc>
        <w:tc>
          <w:tcPr>
            <w:tcW w:w="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7"/>
          </w:tcPr>
          <w:p>
            <w:pPr>
              <w:ind w:left="20"/>
              <w:spacing w:after="0"/>
              <w:rPr>
                <w:sz w:val="20"/>
                <w:szCs w:val="20"/>
                <w:color w:val="auto"/>
              </w:rPr>
            </w:pPr>
            <w:r>
              <w:rPr>
                <w:rFonts w:ascii="Arial" w:cs="Arial" w:eastAsia="Arial" w:hAnsi="Arial"/>
                <w:sz w:val="18"/>
                <w:szCs w:val="18"/>
                <w:b w:val="1"/>
                <w:bCs w:val="1"/>
                <w:color w:val="auto"/>
              </w:rPr>
              <w:t>Three Months Ended March 31, 2025</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4"/>
          </w:tcPr>
          <w:p>
            <w:pPr>
              <w:ind w:left="26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b w:val="1"/>
                <w:bCs w:val="1"/>
                <w:color w:val="auto"/>
              </w:rPr>
              <w:t>Oil</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9"/>
              </w:rPr>
              <w:t>NGL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90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DBDBDB"/>
            </w:tcBorders>
            <w:gridSpan w:val="2"/>
            <w:shd w:val="clear" w:color="auto" w:fill="DBDBDB"/>
          </w:tcPr>
          <w:p>
            <w:pPr>
              <w:spacing w:after="0"/>
              <w:rPr>
                <w:sz w:val="19"/>
                <w:szCs w:val="19"/>
                <w:color w:val="auto"/>
              </w:rPr>
            </w:pPr>
          </w:p>
        </w:tc>
        <w:tc>
          <w:tcPr>
            <w:tcW w:w="540" w:type="dxa"/>
            <w:vAlign w:val="bottom"/>
            <w:tcBorders>
              <w:top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821</w:t>
            </w:r>
          </w:p>
        </w:tc>
        <w:tc>
          <w:tcPr>
            <w:tcW w:w="8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62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3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jc w:val="center"/>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shd w:val="clear" w:color="auto" w:fill="DBDBDB"/>
          </w:tcPr>
          <w:p>
            <w:pPr>
              <w:jc w:val="center"/>
              <w:ind w:left="450"/>
              <w:spacing w:after="0"/>
              <w:rPr>
                <w:sz w:val="20"/>
                <w:szCs w:val="20"/>
                <w:color w:val="auto"/>
              </w:rPr>
            </w:pPr>
            <w:r>
              <w:rPr>
                <w:rFonts w:ascii="Arial" w:cs="Arial" w:eastAsia="Arial" w:hAnsi="Arial"/>
                <w:sz w:val="18"/>
                <w:szCs w:val="18"/>
                <w:color w:val="auto"/>
                <w:w w:val="99"/>
              </w:rPr>
              <w:t>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Northeast Appalachia</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w w:val="99"/>
              </w:rPr>
              <w:t>207</w:t>
            </w:r>
          </w:p>
        </w:tc>
        <w:tc>
          <w:tcPr>
            <w:tcW w:w="60" w:type="dxa"/>
            <w:vAlign w:val="bottom"/>
            <w:tcBorders>
              <w:bottom w:val="single" w:sz="8" w:color="auto"/>
            </w:tcBorders>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gridSpan w:val="2"/>
            <w:shd w:val="clear" w:color="auto" w:fill="DBDBDB"/>
          </w:tcPr>
          <w:p>
            <w:pPr>
              <w:jc w:val="center"/>
              <w:ind w:left="450"/>
              <w:spacing w:after="0"/>
              <w:rPr>
                <w:sz w:val="20"/>
                <w:szCs w:val="20"/>
                <w:color w:val="auto"/>
              </w:rPr>
            </w:pPr>
            <w:r>
              <w:rPr>
                <w:rFonts w:ascii="Arial" w:cs="Arial" w:eastAsia="Arial" w:hAnsi="Arial"/>
                <w:sz w:val="18"/>
                <w:szCs w:val="18"/>
                <w:color w:val="auto"/>
                <w:w w:val="99"/>
              </w:rPr>
              <w:t>579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ind w:left="240"/>
              <w:spacing w:after="0"/>
              <w:rPr>
                <w:sz w:val="20"/>
                <w:szCs w:val="20"/>
                <w:color w:val="auto"/>
              </w:rPr>
            </w:pPr>
            <w:r>
              <w:rPr>
                <w:rFonts w:ascii="Arial" w:cs="Arial" w:eastAsia="Arial" w:hAnsi="Arial"/>
                <w:sz w:val="18"/>
                <w:szCs w:val="18"/>
                <w:color w:val="auto"/>
              </w:rPr>
              <w:t>Total natural gas, oil and NGL sales</w:t>
            </w:r>
          </w:p>
        </w:tc>
        <w:tc>
          <w:tcPr>
            <w:tcW w:w="9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207</w:t>
            </w:r>
          </w:p>
        </w:tc>
        <w:tc>
          <w:tcPr>
            <w:tcW w:w="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Natural gas, oil and NGL sales during the Current Quarter increased $1,015 million compared to the Prior Quarter. Higher average gas prices, primarily driven by Winter Storm Fern, resulted in an $807 million increase during the Current Quarter. Additionally, increased volumes across all of our operating areas, driven by new well production, resulted in a $208 million increase.</w:t>
      </w:r>
    </w:p>
    <w:p>
      <w:pPr>
        <w:spacing w:after="0" w:line="200" w:lineRule="exact"/>
        <w:rPr>
          <w:sz w:val="20"/>
          <w:szCs w:val="20"/>
          <w:color w:val="auto"/>
        </w:rPr>
      </w:pPr>
    </w:p>
    <w:p>
      <w:pPr>
        <w:spacing w:after="0" w:line="30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jc w:val="center"/>
              <w:ind w:right="3390"/>
              <w:spacing w:after="0"/>
              <w:rPr>
                <w:sz w:val="20"/>
                <w:szCs w:val="20"/>
                <w:color w:val="auto"/>
              </w:rPr>
            </w:pPr>
            <w:r>
              <w:rPr>
                <w:rFonts w:ascii="Arial" w:cs="Arial" w:eastAsia="Arial" w:hAnsi="Arial"/>
                <w:sz w:val="18"/>
                <w:szCs w:val="18"/>
                <w:i w:val="1"/>
                <w:iCs w:val="1"/>
                <w:color w:val="auto"/>
                <w:w w:val="99"/>
              </w:rPr>
              <w:t>Production Expenses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60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Three Months Ended March 31,</w:t>
            </w:r>
          </w:p>
        </w:tc>
        <w:tc>
          <w:tcPr>
            <w:tcW w:w="980" w:type="dxa"/>
            <w:vAlign w:val="bottom"/>
            <w:tcBorders>
              <w:bottom w:val="single" w:sz="8" w:color="auto"/>
            </w:tcBorders>
          </w:tcPr>
          <w:p>
            <w:pPr>
              <w:spacing w:after="0"/>
              <w:rPr>
                <w:sz w:val="24"/>
                <w:szCs w:val="24"/>
                <w:color w:val="auto"/>
              </w:rPr>
            </w:pPr>
          </w:p>
        </w:tc>
      </w:tr>
      <w:tr>
        <w:trPr>
          <w:trHeight w:val="223"/>
        </w:trPr>
        <w:tc>
          <w:tcPr>
            <w:tcW w:w="60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980" w:type="dxa"/>
            <w:vAlign w:val="bottom"/>
            <w:tcBorders>
              <w:bottom w:val="single" w:sz="8" w:color="auto"/>
            </w:tcBorders>
          </w:tcPr>
          <w:p>
            <w:pPr>
              <w:spacing w:after="0"/>
              <w:rPr>
                <w:sz w:val="19"/>
                <w:szCs w:val="19"/>
                <w:color w:val="auto"/>
              </w:rPr>
            </w:pPr>
          </w:p>
        </w:tc>
      </w:tr>
      <w:tr>
        <w:trPr>
          <w:trHeight w:val="223"/>
        </w:trPr>
        <w:tc>
          <w:tcPr>
            <w:tcW w:w="60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$/Mcfe</w:t>
            </w:r>
          </w:p>
        </w:tc>
        <w:tc>
          <w:tcPr>
            <w:tcW w:w="12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$/Mcfe</w:t>
            </w:r>
          </w:p>
        </w:tc>
      </w:tr>
      <w:tr>
        <w:trPr>
          <w:trHeight w:val="223"/>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0.30</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30"/>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46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0.29</w:t>
            </w:r>
          </w:p>
        </w:tc>
      </w:tr>
      <w:tr>
        <w:trPr>
          <w:trHeight w:val="223"/>
        </w:trPr>
        <w:tc>
          <w:tcPr>
            <w:tcW w:w="6020" w:type="dxa"/>
            <w:vAlign w:val="bottom"/>
          </w:tcPr>
          <w:p>
            <w:pPr>
              <w:jc w:val="center"/>
              <w:ind w:right="3350"/>
              <w:spacing w:after="0"/>
              <w:rPr>
                <w:sz w:val="20"/>
                <w:szCs w:val="20"/>
                <w:color w:val="auto"/>
              </w:rPr>
            </w:pPr>
            <w:r>
              <w:rPr>
                <w:rFonts w:ascii="Arial" w:cs="Arial" w:eastAsia="Arial" w:hAnsi="Arial"/>
                <w:sz w:val="18"/>
                <w:szCs w:val="18"/>
                <w:color w:val="auto"/>
                <w:w w:val="99"/>
              </w:rPr>
              <w:t>Total production expenses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1"/>
        </w:trPr>
        <w:tc>
          <w:tcPr>
            <w:tcW w:w="6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Production expenses during the Current Quarter increased $38 million compared to the Prior Quarter. The increase was primarily driven by increased salt water disposal expenses and workover expenses in the Haynesville as a result of increased production activity.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ind w:left="420"/>
              <w:spacing w:after="0"/>
              <w:rPr>
                <w:sz w:val="20"/>
                <w:szCs w:val="20"/>
                <w:color w:val="auto"/>
              </w:rPr>
            </w:pPr>
            <w:r>
              <w:rPr>
                <w:rFonts w:ascii="Arial" w:cs="Arial" w:eastAsia="Arial" w:hAnsi="Arial"/>
                <w:sz w:val="18"/>
                <w:szCs w:val="18"/>
                <w:i w:val="1"/>
                <w:iCs w:val="1"/>
                <w:color w:val="auto"/>
              </w:rPr>
              <w:t>Gathering, Processing and Transportation Expenses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60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Three Months Ended March 31,</w:t>
            </w:r>
          </w:p>
        </w:tc>
        <w:tc>
          <w:tcPr>
            <w:tcW w:w="980" w:type="dxa"/>
            <w:vAlign w:val="bottom"/>
            <w:tcBorders>
              <w:bottom w:val="single" w:sz="8" w:color="auto"/>
            </w:tcBorders>
          </w:tcPr>
          <w:p>
            <w:pPr>
              <w:spacing w:after="0"/>
              <w:rPr>
                <w:sz w:val="24"/>
                <w:szCs w:val="24"/>
                <w:color w:val="auto"/>
              </w:rPr>
            </w:pPr>
          </w:p>
        </w:tc>
      </w:tr>
      <w:tr>
        <w:trPr>
          <w:trHeight w:val="223"/>
        </w:trPr>
        <w:tc>
          <w:tcPr>
            <w:tcW w:w="60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980" w:type="dxa"/>
            <w:vAlign w:val="bottom"/>
            <w:tcBorders>
              <w:bottom w:val="single" w:sz="8" w:color="auto"/>
            </w:tcBorders>
          </w:tcPr>
          <w:p>
            <w:pPr>
              <w:spacing w:after="0"/>
              <w:rPr>
                <w:sz w:val="19"/>
                <w:szCs w:val="19"/>
                <w:color w:val="auto"/>
              </w:rPr>
            </w:pPr>
          </w:p>
        </w:tc>
      </w:tr>
      <w:tr>
        <w:trPr>
          <w:trHeight w:val="223"/>
        </w:trPr>
        <w:tc>
          <w:tcPr>
            <w:tcW w:w="60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$/Mcfe</w:t>
            </w:r>
          </w:p>
        </w:tc>
        <w:tc>
          <w:tcPr>
            <w:tcW w:w="12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$/Mcfe</w:t>
            </w:r>
          </w:p>
        </w:tc>
      </w:tr>
      <w:tr>
        <w:trPr>
          <w:trHeight w:val="223"/>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0.75</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29"/>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46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6020" w:type="dxa"/>
            <w:vAlign w:val="bottom"/>
          </w:tcPr>
          <w:p>
            <w:pPr>
              <w:ind w:left="240"/>
              <w:spacing w:after="0"/>
              <w:rPr>
                <w:sz w:val="20"/>
                <w:szCs w:val="20"/>
                <w:color w:val="auto"/>
              </w:rPr>
            </w:pPr>
            <w:r>
              <w:rPr>
                <w:rFonts w:ascii="Arial" w:cs="Arial" w:eastAsia="Arial" w:hAnsi="Arial"/>
                <w:sz w:val="18"/>
                <w:szCs w:val="18"/>
                <w:color w:val="auto"/>
              </w:rPr>
              <w:t>Total GP&amp;T</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0"/>
        </w:trPr>
        <w:tc>
          <w:tcPr>
            <w:tcW w:w="6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Gathering, processing and transportation expenses during the Current Quarter increased $127 million compared to the Prior Quarter. These increase were primarily related to increased volumes and rates across all of our operating areas due to new well production, annual fee escalations and the NG3 pipeline going into service.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jc w:val="center"/>
              <w:ind w:right="2370"/>
              <w:spacing w:after="0"/>
              <w:rPr>
                <w:sz w:val="20"/>
                <w:szCs w:val="20"/>
                <w:color w:val="auto"/>
              </w:rPr>
            </w:pPr>
            <w:r>
              <w:rPr>
                <w:rFonts w:ascii="Arial" w:cs="Arial" w:eastAsia="Arial" w:hAnsi="Arial"/>
                <w:sz w:val="18"/>
                <w:szCs w:val="18"/>
                <w:i w:val="1"/>
                <w:iCs w:val="1"/>
                <w:color w:val="auto"/>
                <w:w w:val="99"/>
              </w:rPr>
              <w:t>Severance and Ad Valorem Taxes</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5"/>
        </w:trPr>
        <w:tc>
          <w:tcPr>
            <w:tcW w:w="60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Three Months Ended March 31,</w:t>
            </w:r>
          </w:p>
        </w:tc>
        <w:tc>
          <w:tcPr>
            <w:tcW w:w="980" w:type="dxa"/>
            <w:vAlign w:val="bottom"/>
            <w:tcBorders>
              <w:bottom w:val="single" w:sz="8" w:color="auto"/>
            </w:tcBorders>
          </w:tcPr>
          <w:p>
            <w:pPr>
              <w:spacing w:after="0"/>
              <w:rPr>
                <w:sz w:val="24"/>
                <w:szCs w:val="24"/>
                <w:color w:val="auto"/>
              </w:rPr>
            </w:pPr>
          </w:p>
        </w:tc>
      </w:tr>
      <w:tr>
        <w:trPr>
          <w:trHeight w:val="223"/>
        </w:trPr>
        <w:tc>
          <w:tcPr>
            <w:tcW w:w="60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2025</w:t>
            </w:r>
          </w:p>
        </w:tc>
        <w:tc>
          <w:tcPr>
            <w:tcW w:w="980" w:type="dxa"/>
            <w:vAlign w:val="bottom"/>
            <w:tcBorders>
              <w:bottom w:val="single" w:sz="8" w:color="auto"/>
            </w:tcBorders>
          </w:tcPr>
          <w:p>
            <w:pPr>
              <w:spacing w:after="0"/>
              <w:rPr>
                <w:sz w:val="19"/>
                <w:szCs w:val="19"/>
                <w:color w:val="auto"/>
              </w:rPr>
            </w:pPr>
          </w:p>
        </w:tc>
      </w:tr>
      <w:tr>
        <w:trPr>
          <w:trHeight w:val="223"/>
        </w:trPr>
        <w:tc>
          <w:tcPr>
            <w:tcW w:w="602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$/Mcfe</w:t>
            </w:r>
          </w:p>
        </w:tc>
        <w:tc>
          <w:tcPr>
            <w:tcW w:w="14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$/Mcfe</w:t>
            </w:r>
          </w:p>
        </w:tc>
      </w:tr>
      <w:tr>
        <w:trPr>
          <w:trHeight w:val="223"/>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54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54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0.19</w:t>
            </w:r>
          </w:p>
        </w:tc>
      </w:tr>
      <w:tr>
        <w:trPr>
          <w:trHeight w:val="223"/>
        </w:trPr>
        <w:tc>
          <w:tcPr>
            <w:tcW w:w="6020" w:type="dxa"/>
            <w:vAlign w:val="bottom"/>
          </w:tcPr>
          <w:p>
            <w:pPr>
              <w:jc w:val="center"/>
              <w:ind w:right="2410"/>
              <w:spacing w:after="0"/>
              <w:rPr>
                <w:sz w:val="20"/>
                <w:szCs w:val="20"/>
                <w:color w:val="auto"/>
              </w:rPr>
            </w:pPr>
            <w:r>
              <w:rPr>
                <w:rFonts w:ascii="Arial" w:cs="Arial" w:eastAsia="Arial" w:hAnsi="Arial"/>
                <w:sz w:val="18"/>
                <w:szCs w:val="18"/>
                <w:color w:val="auto"/>
                <w:w w:val="99"/>
              </w:rPr>
              <w:t>Total severance and ad valorem taxes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1"/>
        </w:trPr>
        <w:tc>
          <w:tcPr>
            <w:tcW w:w="6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Severance and ad valorem taxes during the Current Quarter increased $12 million compared to the Prior Quarter. The increase was primarily related to higher production volumes and severance tax rates in Haynesville.</w:t>
      </w:r>
    </w:p>
    <w:p>
      <w:pPr>
        <w:spacing w:after="0" w:line="200" w:lineRule="exact"/>
        <w:rPr>
          <w:sz w:val="20"/>
          <w:szCs w:val="20"/>
          <w:color w:val="auto"/>
        </w:rPr>
      </w:pPr>
    </w:p>
    <w:p>
      <w:pPr>
        <w:spacing w:after="0" w:line="29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420"/>
              <w:spacing w:after="0"/>
              <w:rPr>
                <w:sz w:val="20"/>
                <w:szCs w:val="20"/>
                <w:color w:val="auto"/>
              </w:rPr>
            </w:pPr>
            <w:r>
              <w:rPr>
                <w:rFonts w:ascii="Arial" w:cs="Arial" w:eastAsia="Arial" w:hAnsi="Arial"/>
                <w:sz w:val="18"/>
                <w:szCs w:val="18"/>
                <w:i w:val="1"/>
                <w:iCs w:val="1"/>
                <w:color w:val="auto"/>
              </w:rPr>
              <w:t>Gains (Losses) on Derivatives</w:t>
            </w: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6280" w:type="dxa"/>
            <w:vAlign w:val="bottom"/>
          </w:tcPr>
          <w:p>
            <w:pPr>
              <w:spacing w:after="0"/>
              <w:rPr>
                <w:sz w:val="24"/>
                <w:szCs w:val="24"/>
                <w:color w:val="auto"/>
              </w:rPr>
            </w:pPr>
          </w:p>
        </w:tc>
        <w:tc>
          <w:tcPr>
            <w:tcW w:w="41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 March 31,</w:t>
            </w:r>
          </w:p>
        </w:tc>
        <w:tc>
          <w:tcPr>
            <w:tcW w:w="800" w:type="dxa"/>
            <w:vAlign w:val="bottom"/>
            <w:tcBorders>
              <w:bottom w:val="single" w:sz="8" w:color="auto"/>
            </w:tcBorders>
          </w:tcPr>
          <w:p>
            <w:pPr>
              <w:spacing w:after="0"/>
              <w:rPr>
                <w:sz w:val="24"/>
                <w:szCs w:val="24"/>
                <w:color w:val="auto"/>
              </w:rPr>
            </w:pPr>
          </w:p>
        </w:tc>
      </w:tr>
      <w:tr>
        <w:trPr>
          <w:trHeight w:val="223"/>
        </w:trPr>
        <w:tc>
          <w:tcPr>
            <w:tcW w:w="6280" w:type="dxa"/>
            <w:vAlign w:val="bottom"/>
            <w:tcBorders>
              <w:bottom w:val="single" w:sz="8" w:color="DBDBDB"/>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r>
      <w:tr>
        <w:trPr>
          <w:trHeight w:val="223"/>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Natural gas derivatives - realized losses</w:t>
            </w:r>
          </w:p>
        </w:tc>
        <w:tc>
          <w:tcPr>
            <w:tcW w:w="1680" w:type="dxa"/>
            <w:vAlign w:val="bottom"/>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DBDBDB"/>
          </w:tcPr>
          <w:p>
            <w:pPr>
              <w:spacing w:after="0"/>
              <w:rPr>
                <w:sz w:val="19"/>
                <w:szCs w:val="19"/>
                <w:color w:val="auto"/>
              </w:rPr>
            </w:pPr>
          </w:p>
        </w:tc>
        <w:tc>
          <w:tcPr>
            <w:tcW w:w="1620" w:type="dxa"/>
            <w:vAlign w:val="bottom"/>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Natural gas derivatives - unrealized gains (losses)</w:t>
            </w:r>
          </w:p>
        </w:tc>
        <w:tc>
          <w:tcPr>
            <w:tcW w:w="1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Borders>
              <w:bottom w:val="single" w:sz="8" w:color="DBDBDB"/>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r>
      <w:tr>
        <w:trPr>
          <w:trHeight w:val="223"/>
        </w:trPr>
        <w:tc>
          <w:tcPr>
            <w:tcW w:w="6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losses on natural gas derivatives</w:t>
            </w:r>
          </w:p>
        </w:tc>
        <w:tc>
          <w:tcPr>
            <w:tcW w:w="1680" w:type="dxa"/>
            <w:vAlign w:val="bottom"/>
            <w:tcBorders>
              <w:bottom w:val="single" w:sz="8" w:color="auto"/>
            </w:tcBorders>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DBDBDB"/>
          </w:tcPr>
          <w:p>
            <w:pPr>
              <w:spacing w:after="0"/>
              <w:rPr>
                <w:sz w:val="19"/>
                <w:szCs w:val="19"/>
                <w:color w:val="auto"/>
              </w:rPr>
            </w:pPr>
          </w:p>
        </w:tc>
        <w:tc>
          <w:tcPr>
            <w:tcW w:w="1620" w:type="dxa"/>
            <w:vAlign w:val="bottom"/>
            <w:tcBorders>
              <w:bottom w:val="single" w:sz="8" w:color="auto"/>
            </w:tcBorders>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(999)</w:t>
            </w:r>
          </w:p>
        </w:tc>
      </w:tr>
      <w:tr>
        <w:trPr>
          <w:trHeight w:val="128"/>
        </w:trPr>
        <w:tc>
          <w:tcPr>
            <w:tcW w:w="6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29"/>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Oil derivatives - realized gains</w:t>
            </w:r>
          </w:p>
        </w:tc>
        <w:tc>
          <w:tcPr>
            <w:tcW w:w="1680" w:type="dxa"/>
            <w:vAlign w:val="bottom"/>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BDBDB"/>
          </w:tcPr>
          <w:p>
            <w:pPr>
              <w:spacing w:after="0"/>
              <w:rPr>
                <w:sz w:val="19"/>
                <w:szCs w:val="19"/>
                <w:color w:val="auto"/>
              </w:rPr>
            </w:pPr>
          </w:p>
        </w:tc>
        <w:tc>
          <w:tcPr>
            <w:tcW w:w="1620" w:type="dxa"/>
            <w:vAlign w:val="bottom"/>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Oil derivatives - unrealized losses</w:t>
            </w:r>
          </w:p>
        </w:tc>
        <w:tc>
          <w:tcPr>
            <w:tcW w:w="1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DBDBDB"/>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losses on oil derivatives</w:t>
            </w:r>
          </w:p>
        </w:tc>
        <w:tc>
          <w:tcPr>
            <w:tcW w:w="1680" w:type="dxa"/>
            <w:vAlign w:val="bottom"/>
            <w:tcBorders>
              <w:bottom w:val="single" w:sz="8" w:color="auto"/>
            </w:tcBorders>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DBDBDB"/>
          </w:tcPr>
          <w:p>
            <w:pPr>
              <w:spacing w:after="0"/>
              <w:rPr>
                <w:sz w:val="19"/>
                <w:szCs w:val="19"/>
                <w:color w:val="auto"/>
              </w:rPr>
            </w:pPr>
          </w:p>
        </w:tc>
        <w:tc>
          <w:tcPr>
            <w:tcW w:w="1620" w:type="dxa"/>
            <w:vAlign w:val="bottom"/>
            <w:tcBorders>
              <w:bottom w:val="single" w:sz="8" w:color="auto"/>
            </w:tcBorders>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128"/>
        </w:trPr>
        <w:tc>
          <w:tcPr>
            <w:tcW w:w="6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30"/>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NGL derivatives - realized losses</w:t>
            </w:r>
          </w:p>
        </w:tc>
        <w:tc>
          <w:tcPr>
            <w:tcW w:w="1680" w:type="dxa"/>
            <w:vAlign w:val="bottom"/>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NGL derivatives - unrealized losses</w:t>
            </w:r>
          </w:p>
        </w:tc>
        <w:tc>
          <w:tcPr>
            <w:tcW w:w="1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DBDBDB"/>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losses on NGL derivatives</w:t>
            </w:r>
          </w:p>
        </w:tc>
        <w:tc>
          <w:tcPr>
            <w:tcW w:w="1680" w:type="dxa"/>
            <w:vAlign w:val="bottom"/>
            <w:tcBorders>
              <w:bottom w:val="single" w:sz="8" w:color="auto"/>
            </w:tcBorders>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DBDBDB"/>
          </w:tcPr>
          <w:p>
            <w:pPr>
              <w:spacing w:after="0"/>
              <w:rPr>
                <w:sz w:val="19"/>
                <w:szCs w:val="19"/>
                <w:color w:val="auto"/>
              </w:rPr>
            </w:pPr>
          </w:p>
        </w:tc>
        <w:tc>
          <w:tcPr>
            <w:tcW w:w="1620" w:type="dxa"/>
            <w:vAlign w:val="bottom"/>
            <w:tcBorders>
              <w:bottom w:val="single" w:sz="8" w:color="auto"/>
            </w:tcBorders>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128"/>
        </w:trPr>
        <w:tc>
          <w:tcPr>
            <w:tcW w:w="6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29"/>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derivatives - realized losses</w:t>
            </w:r>
          </w:p>
        </w:tc>
        <w:tc>
          <w:tcPr>
            <w:tcW w:w="1680" w:type="dxa"/>
            <w:vAlign w:val="bottom"/>
            <w:tcBorders>
              <w:bottom w:val="single" w:sz="8" w:color="auto"/>
            </w:tcBorders>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DBDBDB"/>
          </w:tcPr>
          <w:p>
            <w:pPr>
              <w:spacing w:after="0"/>
              <w:rPr>
                <w:sz w:val="19"/>
                <w:szCs w:val="19"/>
                <w:color w:val="auto"/>
              </w:rPr>
            </w:pPr>
          </w:p>
        </w:tc>
        <w:tc>
          <w:tcPr>
            <w:tcW w:w="1620" w:type="dxa"/>
            <w:vAlign w:val="bottom"/>
            <w:tcBorders>
              <w:bottom w:val="single" w:sz="8" w:color="auto"/>
            </w:tcBorders>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Total losses on other derivatives</w:t>
            </w:r>
          </w:p>
        </w:tc>
        <w:tc>
          <w:tcPr>
            <w:tcW w:w="16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DBDBDB"/>
            </w:tcBorders>
          </w:tcPr>
          <w:p>
            <w:pPr>
              <w:spacing w:after="0"/>
              <w:rPr>
                <w:sz w:val="19"/>
                <w:szCs w:val="19"/>
                <w:color w:val="auto"/>
              </w:rPr>
            </w:pPr>
          </w:p>
        </w:tc>
        <w:tc>
          <w:tcPr>
            <w:tcW w:w="16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losses on derivatives</w:t>
            </w:r>
          </w:p>
        </w:tc>
        <w:tc>
          <w:tcPr>
            <w:tcW w:w="1680" w:type="dxa"/>
            <w:vAlign w:val="bottom"/>
            <w:tcBorders>
              <w:bottom w:val="single" w:sz="8" w:color="auto"/>
            </w:tcBorders>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DBDBDB"/>
            </w:tcBorders>
            <w:shd w:val="clear" w:color="auto" w:fill="DBDBDB"/>
          </w:tcPr>
          <w:p>
            <w:pPr>
              <w:spacing w:after="0"/>
              <w:rPr>
                <w:sz w:val="21"/>
                <w:szCs w:val="21"/>
                <w:color w:val="auto"/>
              </w:rPr>
            </w:pPr>
          </w:p>
        </w:tc>
        <w:tc>
          <w:tcPr>
            <w:tcW w:w="1620" w:type="dxa"/>
            <w:vAlign w:val="bottom"/>
            <w:tcBorders>
              <w:bottom w:val="single" w:sz="8" w:color="auto"/>
            </w:tcBorders>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(1,014)</w:t>
            </w:r>
          </w:p>
        </w:tc>
      </w:tr>
      <w:tr>
        <w:trPr>
          <w:trHeight w:val="20"/>
        </w:trPr>
        <w:tc>
          <w:tcPr>
            <w:tcW w:w="628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notes to our condensed consolidated financial statements included in Item 1 of Part I of this report for a discussion of our derivative activity.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Pr>
          <w:p>
            <w:pPr>
              <w:ind w:left="420"/>
              <w:spacing w:after="0"/>
              <w:rPr>
                <w:sz w:val="20"/>
                <w:szCs w:val="20"/>
                <w:color w:val="auto"/>
              </w:rPr>
            </w:pPr>
            <w:r>
              <w:rPr>
                <w:rFonts w:ascii="Arial" w:cs="Arial" w:eastAsia="Arial" w:hAnsi="Arial"/>
                <w:sz w:val="18"/>
                <w:szCs w:val="18"/>
                <w:i w:val="1"/>
                <w:iCs w:val="1"/>
                <w:color w:val="auto"/>
              </w:rPr>
              <w:t>Marketing Revenues and Expenses</w:t>
            </w: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95"/>
        </w:trPr>
        <w:tc>
          <w:tcPr>
            <w:tcW w:w="6160" w:type="dxa"/>
            <w:vAlign w:val="bottom"/>
          </w:tcPr>
          <w:p>
            <w:pPr>
              <w:spacing w:after="0"/>
              <w:rPr>
                <w:sz w:val="24"/>
                <w:szCs w:val="24"/>
                <w:color w:val="auto"/>
              </w:rPr>
            </w:pPr>
          </w:p>
        </w:tc>
        <w:tc>
          <w:tcPr>
            <w:tcW w:w="44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24"/>
                <w:szCs w:val="24"/>
                <w:color w:val="auto"/>
              </w:rPr>
            </w:pPr>
          </w:p>
        </w:tc>
      </w:tr>
      <w:tr>
        <w:trPr>
          <w:trHeight w:val="223"/>
        </w:trPr>
        <w:tc>
          <w:tcPr>
            <w:tcW w:w="616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2026</w:t>
            </w: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r>
      <w:tr>
        <w:trPr>
          <w:trHeight w:val="223"/>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revenues</w:t>
            </w:r>
          </w:p>
        </w:tc>
        <w:tc>
          <w:tcPr>
            <w:tcW w:w="1640" w:type="dxa"/>
            <w:vAlign w:val="bottom"/>
            <w:shd w:val="clear" w:color="auto" w:fill="DBDBDB"/>
          </w:tcPr>
          <w:p>
            <w:pPr>
              <w:jc w:val="right"/>
              <w:ind w:right="14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1,212</w:t>
            </w:r>
          </w:p>
        </w:tc>
        <w:tc>
          <w:tcPr>
            <w:tcW w:w="28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910</w:t>
            </w:r>
          </w:p>
        </w:tc>
      </w:tr>
      <w:tr>
        <w:trPr>
          <w:trHeight w:val="230"/>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Marketing expenses</w:t>
            </w:r>
          </w:p>
        </w:tc>
        <w:tc>
          <w:tcPr>
            <w:tcW w:w="1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8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r>
      <w:tr>
        <w:trPr>
          <w:trHeight w:val="248"/>
        </w:trPr>
        <w:tc>
          <w:tcPr>
            <w:tcW w:w="6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Marketing margin</w:t>
            </w:r>
          </w:p>
        </w:tc>
        <w:tc>
          <w:tcPr>
            <w:tcW w:w="1640" w:type="dxa"/>
            <w:vAlign w:val="bottom"/>
            <w:tcBorders>
              <w:bottom w:val="single" w:sz="8" w:color="auto"/>
            </w:tcBorders>
            <w:shd w:val="clear" w:color="auto" w:fill="DBDBDB"/>
          </w:tcPr>
          <w:p>
            <w:pPr>
              <w:jc w:val="right"/>
              <w:ind w:right="14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w:t>
            </w:r>
          </w:p>
        </w:tc>
        <w:tc>
          <w:tcPr>
            <w:tcW w:w="280" w:type="dxa"/>
            <w:vAlign w:val="bottom"/>
            <w:tcBorders>
              <w:bottom w:val="single" w:sz="8" w:color="DBDBDB"/>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16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Marketing revenues and expenses increased in the Current Quarter compared to the Prior Quarter primarily as a result of increased marketed volumes, higher prices amid natural gas price volatility and optimization efforts.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17780</wp:posOffset>
            </wp:positionV>
            <wp:extent cx="31546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 w:lineRule="exact"/>
        <w:rPr>
          <w:sz w:val="20"/>
          <w:szCs w:val="20"/>
          <w:color w:val="auto"/>
        </w:rPr>
      </w:pPr>
    </w:p>
    <w:p>
      <w:pPr>
        <w:ind w:left="7280"/>
        <w:spacing w:after="0"/>
        <w:tabs>
          <w:tab w:leader="none" w:pos="9820" w:val="left"/>
        </w:tabs>
        <w:rPr>
          <w:sz w:val="20"/>
          <w:szCs w:val="20"/>
          <w:color w:val="auto"/>
        </w:rPr>
      </w:pPr>
      <w:r>
        <w:rPr>
          <w:rFonts w:ascii="Arial" w:cs="Arial" w:eastAsia="Arial" w:hAnsi="Arial"/>
          <w:sz w:val="18"/>
          <w:szCs w:val="18"/>
          <w:b w:val="1"/>
          <w:bCs w:val="1"/>
          <w:color w:val="auto"/>
        </w:rPr>
        <w:t>2026</w:t>
      </w:r>
      <w:r>
        <w:rPr>
          <w:sz w:val="20"/>
          <w:szCs w:val="20"/>
          <w:color w:val="auto"/>
        </w:rPr>
        <w:tab/>
      </w:r>
      <w:r>
        <w:rPr>
          <w:rFonts w:ascii="Arial" w:cs="Arial" w:eastAsia="Arial" w:hAnsi="Arial"/>
          <w:sz w:val="18"/>
          <w:szCs w:val="18"/>
          <w:b w:val="1"/>
          <w:bCs w:val="1"/>
          <w:color w:val="auto"/>
        </w:rPr>
        <w:t>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G&amp;A, net</w:t>
            </w:r>
          </w:p>
        </w:tc>
        <w:tc>
          <w:tcPr>
            <w:tcW w:w="1040" w:type="dxa"/>
            <w:vAlign w:val="bottom"/>
            <w:tcBorders>
              <w:top w:val="single" w:sz="8" w:color="auto"/>
            </w:tcBorders>
            <w:shd w:val="clear" w:color="auto" w:fill="DBDBDB"/>
          </w:tcPr>
          <w:p>
            <w:pPr>
              <w:jc w:val="right"/>
              <w:ind w:right="8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jc w:val="right"/>
              <w:ind w:right="8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w:t>
            </w:r>
          </w:p>
        </w:tc>
      </w:tr>
      <w:tr>
        <w:trPr>
          <w:trHeight w:val="239"/>
        </w:trPr>
        <w:tc>
          <w:tcPr>
            <w:tcW w:w="6280" w:type="dxa"/>
            <w:vAlign w:val="bottom"/>
          </w:tcPr>
          <w:p>
            <w:pPr>
              <w:ind w:left="20"/>
              <w:spacing w:after="0"/>
              <w:rPr>
                <w:sz w:val="20"/>
                <w:szCs w:val="20"/>
                <w:color w:val="auto"/>
              </w:rPr>
            </w:pPr>
            <w:r>
              <w:rPr>
                <w:rFonts w:ascii="Arial" w:cs="Arial" w:eastAsia="Arial" w:hAnsi="Arial"/>
                <w:sz w:val="18"/>
                <w:szCs w:val="18"/>
                <w:color w:val="auto"/>
              </w:rPr>
              <w:t>G&amp;A, net per Mcfe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0"/>
                <w:szCs w:val="20"/>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0.08</w:t>
            </w:r>
          </w:p>
        </w:tc>
      </w:tr>
    </w:tbl>
    <w:p>
      <w:pPr>
        <w:spacing w:after="0" w:line="22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Total general and administrative expenses, net during the Current Quarter increased compared to the Prior Quarter due to an increase in employee compensation and benefits as well as other corporate expenses.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Separation and Other Termination Costs</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During the Current Quarter, we recognized $9 million of separation and other termination costs related to one-time termination benefits for certain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Depreciation, Depletion and Amortization</w:t>
      </w:r>
    </w:p>
    <w:p>
      <w:pPr>
        <w:spacing w:after="0" w:line="142"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17780</wp:posOffset>
            </wp:positionV>
            <wp:extent cx="31546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 w:lineRule="exact"/>
        <w:rPr>
          <w:sz w:val="20"/>
          <w:szCs w:val="20"/>
          <w:color w:val="auto"/>
        </w:rPr>
      </w:pPr>
    </w:p>
    <w:p>
      <w:pPr>
        <w:ind w:left="7280"/>
        <w:spacing w:after="0"/>
        <w:tabs>
          <w:tab w:leader="none" w:pos="9820" w:val="left"/>
        </w:tabs>
        <w:rPr>
          <w:sz w:val="20"/>
          <w:szCs w:val="20"/>
          <w:color w:val="auto"/>
        </w:rPr>
      </w:pPr>
      <w:r>
        <w:rPr>
          <w:rFonts w:ascii="Arial" w:cs="Arial" w:eastAsia="Arial" w:hAnsi="Arial"/>
          <w:sz w:val="18"/>
          <w:szCs w:val="18"/>
          <w:b w:val="1"/>
          <w:bCs w:val="1"/>
          <w:color w:val="auto"/>
        </w:rPr>
        <w:t>2026</w:t>
      </w:r>
      <w:r>
        <w:rPr>
          <w:sz w:val="20"/>
          <w:szCs w:val="20"/>
          <w:color w:val="auto"/>
        </w:rPr>
        <w:tab/>
      </w:r>
      <w:r>
        <w:rPr>
          <w:rFonts w:ascii="Arial" w:cs="Arial" w:eastAsia="Arial" w:hAnsi="Arial"/>
          <w:sz w:val="18"/>
          <w:szCs w:val="18"/>
          <w:b w:val="1"/>
          <w:bCs w:val="1"/>
          <w:color w:val="auto"/>
        </w:rPr>
        <w:t>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DD&amp;A</w:t>
            </w:r>
          </w:p>
        </w:tc>
        <w:tc>
          <w:tcPr>
            <w:tcW w:w="1040" w:type="dxa"/>
            <w:vAlign w:val="bottom"/>
            <w:tcBorders>
              <w:top w:val="single" w:sz="8" w:color="auto"/>
            </w:tcBorders>
            <w:shd w:val="clear" w:color="auto" w:fill="DBDBDB"/>
          </w:tcPr>
          <w:p>
            <w:pPr>
              <w:jc w:val="right"/>
              <w:ind w:right="8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711</w:t>
            </w:r>
          </w:p>
        </w:tc>
        <w:tc>
          <w:tcPr>
            <w:tcW w:w="14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jc w:val="right"/>
              <w:ind w:right="8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711</w:t>
            </w:r>
          </w:p>
        </w:tc>
      </w:tr>
      <w:tr>
        <w:trPr>
          <w:trHeight w:val="239"/>
        </w:trPr>
        <w:tc>
          <w:tcPr>
            <w:tcW w:w="6280" w:type="dxa"/>
            <w:vAlign w:val="bottom"/>
          </w:tcPr>
          <w:p>
            <w:pPr>
              <w:ind w:left="20"/>
              <w:spacing w:after="0"/>
              <w:rPr>
                <w:sz w:val="20"/>
                <w:szCs w:val="20"/>
                <w:color w:val="auto"/>
              </w:rPr>
            </w:pPr>
            <w:r>
              <w:rPr>
                <w:rFonts w:ascii="Arial" w:cs="Arial" w:eastAsia="Arial" w:hAnsi="Arial"/>
                <w:sz w:val="18"/>
                <w:szCs w:val="18"/>
                <w:color w:val="auto"/>
              </w:rPr>
              <w:t>DD&amp;A per Mcfe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21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per unit decrease in depreciation, depletion and amortization for the Current Quarter compared to the Prior Quarter is related to lower depletion rates in the Current Quarter due to an increase in prices used in the evaluation of our reserves.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420"/>
              <w:spacing w:after="0"/>
              <w:rPr>
                <w:sz w:val="20"/>
                <w:szCs w:val="20"/>
                <w:color w:val="auto"/>
              </w:rPr>
            </w:pPr>
            <w:r>
              <w:rPr>
                <w:rFonts w:ascii="Arial" w:cs="Arial" w:eastAsia="Arial" w:hAnsi="Arial"/>
                <w:sz w:val="18"/>
                <w:szCs w:val="18"/>
                <w:i w:val="1"/>
                <w:iCs w:val="1"/>
                <w:color w:val="auto"/>
              </w:rPr>
              <w:t>Interest Expense</w:t>
            </w: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4"/>
        </w:trPr>
        <w:tc>
          <w:tcPr>
            <w:tcW w:w="6280" w:type="dxa"/>
            <w:vAlign w:val="bottom"/>
          </w:tcPr>
          <w:p>
            <w:pPr>
              <w:spacing w:after="0"/>
              <w:rPr>
                <w:sz w:val="24"/>
                <w:szCs w:val="24"/>
                <w:color w:val="auto"/>
              </w:rPr>
            </w:pPr>
          </w:p>
        </w:tc>
        <w:tc>
          <w:tcPr>
            <w:tcW w:w="42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24"/>
                <w:szCs w:val="24"/>
                <w:color w:val="auto"/>
              </w:rPr>
            </w:pPr>
          </w:p>
        </w:tc>
      </w:tr>
      <w:tr>
        <w:trPr>
          <w:trHeight w:val="223"/>
        </w:trPr>
        <w:tc>
          <w:tcPr>
            <w:tcW w:w="6280" w:type="dxa"/>
            <w:vAlign w:val="bottom"/>
            <w:tcBorders>
              <w:bottom w:val="single" w:sz="8" w:color="DBDBDB"/>
            </w:tcBorders>
          </w:tcPr>
          <w:p>
            <w:pPr>
              <w:spacing w:after="0"/>
              <w:rPr>
                <w:sz w:val="19"/>
                <w:szCs w:val="19"/>
                <w:color w:val="auto"/>
              </w:rPr>
            </w:pPr>
          </w:p>
        </w:tc>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r>
      <w:tr>
        <w:trPr>
          <w:trHeight w:val="223"/>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expense on debt</w:t>
            </w:r>
          </w:p>
        </w:tc>
        <w:tc>
          <w:tcPr>
            <w:tcW w:w="1740" w:type="dxa"/>
            <w:vAlign w:val="bottom"/>
            <w:shd w:val="clear" w:color="auto" w:fill="DBDBDB"/>
          </w:tcPr>
          <w:p>
            <w:pPr>
              <w:jc w:val="right"/>
              <w:ind w:right="15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DBDBDB"/>
          </w:tcPr>
          <w:p>
            <w:pPr>
              <w:spacing w:after="0"/>
              <w:rPr>
                <w:sz w:val="19"/>
                <w:szCs w:val="19"/>
                <w:color w:val="auto"/>
              </w:rPr>
            </w:pPr>
          </w:p>
        </w:tc>
        <w:tc>
          <w:tcPr>
            <w:tcW w:w="1740" w:type="dxa"/>
            <w:vAlign w:val="bottom"/>
            <w:shd w:val="clear" w:color="auto" w:fill="DBDBDB"/>
          </w:tcPr>
          <w:p>
            <w:pPr>
              <w:jc w:val="right"/>
              <w:ind w:right="15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Amortization of premium, discount, issuance costs and other</w:t>
            </w:r>
          </w:p>
        </w:tc>
        <w:tc>
          <w:tcPr>
            <w:tcW w:w="1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interest</w:t>
            </w:r>
          </w:p>
        </w:tc>
        <w:tc>
          <w:tcPr>
            <w:tcW w:w="17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DBDBDB"/>
          </w:tcPr>
          <w:p>
            <w:pPr>
              <w:spacing w:after="0"/>
              <w:rPr>
                <w:sz w:val="19"/>
                <w:szCs w:val="19"/>
                <w:color w:val="auto"/>
              </w:rPr>
            </w:pPr>
          </w:p>
        </w:tc>
        <w:tc>
          <w:tcPr>
            <w:tcW w:w="174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280" w:type="dxa"/>
            <w:vAlign w:val="bottom"/>
          </w:tcPr>
          <w:p>
            <w:pPr>
              <w:ind w:left="240"/>
              <w:spacing w:after="0"/>
              <w:rPr>
                <w:sz w:val="20"/>
                <w:szCs w:val="20"/>
                <w:color w:val="auto"/>
              </w:rPr>
            </w:pPr>
            <w:r>
              <w:rPr>
                <w:rFonts w:ascii="Arial" w:cs="Arial" w:eastAsia="Arial" w:hAnsi="Arial"/>
                <w:sz w:val="18"/>
                <w:szCs w:val="18"/>
                <w:color w:val="auto"/>
              </w:rPr>
              <w:t>Total interest expense</w:t>
            </w:r>
          </w:p>
        </w:tc>
        <w:tc>
          <w:tcPr>
            <w:tcW w:w="174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74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6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decrease in interest expense on debt during the Current Quarter compared to the Prior Quarter was primarily due to lower average debt outstanding during the Current Quarter. Capitalized interest decreased during the Current Quarter compared to the Prior Quarter, as we ceased capitalizing interest on our investment in the NG3 pipeline once operations commenced on October 1, 2025.</w:t>
      </w:r>
    </w:p>
    <w:p>
      <w:pPr>
        <w:spacing w:after="0" w:line="117"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additional discussion.</w:t>
      </w:r>
    </w:p>
    <w:p>
      <w:pPr>
        <w:spacing w:after="0" w:line="3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projected full year current and deferred taxes are allocated to the Current Quarter based on the proportion of year-to-date pre-tax book income to the projected full year pre-tax book income. As a result, an income tax expense of $330 million was recorded for the Current Quarter. Of this amount, $11 million was related to current taxes and $319 million was related to deferred taxes. An income tax benefit of $70 million was recorded for the Prior Quarter. Of this amount, $33 million was related to current taxes and $37 million was related to deferred taxes. Our effective income tax rate was 22.1% and 21.9% during the Current Quarter and the Prior Quarter, respectively. Our effective tax rate can fluctuate due to the impact of discrete items, state income taxes and permanent differences. The OBBBA and its provisions contributed to a reduction in the Company’s expected current tax expense with an offsetting increase to the Company’s deferred tax expense.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notes to our condensed consolidated financial statements included in Item 1 of Part I of this report for a discussion of income taxes.</w:t>
      </w:r>
    </w:p>
    <w:p>
      <w:pPr>
        <w:spacing w:after="0" w:line="200" w:lineRule="exact"/>
        <w:rPr>
          <w:sz w:val="20"/>
          <w:szCs w:val="20"/>
          <w:color w:val="auto"/>
        </w:rPr>
      </w:pPr>
    </w:p>
    <w:p>
      <w:pPr>
        <w:spacing w:after="0" w:line="31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459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(the “Exchange Act”). Forward-looking statements include our current expectations or forecasts of future events, including matters relating to armed conflict between Russia and Ukraine, instability in the Middle East and Venezuela and changes in China-Taiwan relations,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the amount and timing of any cash dividends and our sustainability initiatives.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w:t>
      </w:r>
    </w:p>
    <w:p>
      <w:pPr>
        <w:spacing w:after="0" w:line="2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pacing w:after="0" w:line="71" w:lineRule="exact"/>
        <w:rPr>
          <w:sz w:val="20"/>
          <w:szCs w:val="20"/>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reduced demand for natural gas, oil and natural gas liquids;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negative public perceptions of our industry;</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competition in the natural gas and oil exploration and production industry;</w:t>
      </w:r>
    </w:p>
    <w:p>
      <w:pPr>
        <w:spacing w:after="0" w:line="112" w:lineRule="exact"/>
        <w:rPr>
          <w:rFonts w:ascii="Arial" w:cs="Arial" w:eastAsia="Arial" w:hAnsi="Arial"/>
          <w:sz w:val="22"/>
          <w:szCs w:val="22"/>
          <w:color w:val="auto"/>
        </w:rPr>
      </w:pPr>
    </w:p>
    <w:p>
      <w:pPr>
        <w:ind w:left="660" w:hanging="247"/>
        <w:spacing w:after="0" w:line="237"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volatility of natural gas, oil and NGL prices, which are affected by general economic and business conditions, as well as increased demand for (and availability of) alternative fuels and electric vehicles;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risks from regional epidemics or pandemics and related economic turmoil, including supply chain constraints;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write-downs of our natural gas and oil asset carrying values due to low commodity prices;</w:t>
      </w:r>
    </w:p>
    <w:p>
      <w:pPr>
        <w:spacing w:after="0" w:line="84"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significant capital expenditures are required to replace our reserves and conduct our business;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our ability to replace reserves and sustain production;</w:t>
      </w:r>
    </w:p>
    <w:p>
      <w:pPr>
        <w:spacing w:after="0" w:line="112" w:lineRule="exact"/>
        <w:rPr>
          <w:rFonts w:ascii="Arial" w:cs="Arial" w:eastAsia="Arial" w:hAnsi="Arial"/>
          <w:sz w:val="22"/>
          <w:szCs w:val="22"/>
          <w:color w:val="auto"/>
        </w:rPr>
      </w:pPr>
    </w:p>
    <w:p>
      <w:pPr>
        <w:ind w:left="660" w:hanging="247"/>
        <w:spacing w:after="0" w:line="237"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uncertainties inherent in estimating quantities of natural gas, oil and NGL reserves and projecting future rates of production and the amount and timing of development expenditures;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drilling and operating risks and resulting liabilities;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our ability to generate profits or achieve targeted results in drilling and well operations;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leasehold terms expiring before production can be established;</w:t>
      </w:r>
    </w:p>
    <w:p>
      <w:pPr>
        <w:spacing w:after="0" w:line="84"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risks from our commodity price risk management activities;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uncertainties, risks and costs associated with natural gas and oil operations;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our need to secure adequate supplies of water for our drilling operations and to dispose of or recycle the water used;</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pipeline and gathering system capacity constraints and transportation interruptions;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risks related to our plans to participate in the global LNG value chain;</w:t>
      </w:r>
    </w:p>
    <w:p>
      <w:pPr>
        <w:spacing w:after="0" w:line="200" w:lineRule="exact"/>
        <w:rPr>
          <w:sz w:val="20"/>
          <w:szCs w:val="20"/>
          <w:color w:val="auto"/>
        </w:rPr>
      </w:pPr>
    </w:p>
    <w:p>
      <w:pPr>
        <w:spacing w:after="0" w:line="37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terrorist activities and/or cyber-attacks adversely impacting our operations;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risks from failure to protect personal information and data and compliance with data privacy and security laws and regulations;</w:t>
      </w:r>
    </w:p>
    <w:p>
      <w:pPr>
        <w:spacing w:after="0" w:line="84" w:lineRule="exact"/>
        <w:rPr>
          <w:rFonts w:ascii="Arial" w:cs="Arial" w:eastAsia="Arial" w:hAnsi="Arial"/>
          <w:sz w:val="22"/>
          <w:szCs w:val="22"/>
          <w:color w:val="auto"/>
        </w:rPr>
      </w:pPr>
    </w:p>
    <w:p>
      <w:pPr>
        <w:ind w:left="660" w:hanging="247"/>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disruption of our business by natural or human causes beyond our control;</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 deterioration in general economic, business or industry conditions;</w:t>
      </w:r>
    </w:p>
    <w:p>
      <w:pPr>
        <w:spacing w:after="0" w:line="112" w:lineRule="exact"/>
        <w:rPr>
          <w:rFonts w:ascii="Arial" w:cs="Arial" w:eastAsia="Arial" w:hAnsi="Arial"/>
          <w:sz w:val="22"/>
          <w:szCs w:val="22"/>
          <w:color w:val="auto"/>
        </w:rPr>
      </w:pPr>
    </w:p>
    <w:p>
      <w:pPr>
        <w:jc w:val="both"/>
        <w:ind w:left="660" w:hanging="247"/>
        <w:spacing w:after="0" w:line="244"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impact of inflation and commodity price volatility, including as a result of decisions made by OPEC+ and armed conflict between Russia and Ukraine, instability in the Middle East and Venezuela, and changes in China-Taiwan relations, along with the effects of the current global economic environment, on our business, financial condition, employees, contractors, vendors and the global demand for natural gas and oil and on U.S. and global financial markets;</w:t>
      </w:r>
    </w:p>
    <w:p>
      <w:pPr>
        <w:spacing w:after="0" w:line="96" w:lineRule="exact"/>
        <w:rPr>
          <w:rFonts w:ascii="Arial" w:cs="Arial" w:eastAsia="Arial" w:hAnsi="Arial"/>
          <w:sz w:val="22"/>
          <w:szCs w:val="22"/>
          <w:color w:val="auto"/>
        </w:rPr>
      </w:pPr>
    </w:p>
    <w:p>
      <w:pPr>
        <w:ind w:left="660" w:hanging="247"/>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inability to access the capital markets on favorable terms;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limitations on our financial flexibility due to our level of indebtedness and restrictive covenants from our indebtedness;</w:t>
      </w:r>
    </w:p>
    <w:p>
      <w:pPr>
        <w:spacing w:after="0" w:line="71" w:lineRule="exact"/>
        <w:rPr>
          <w:rFonts w:ascii="Arial" w:cs="Arial" w:eastAsia="Arial" w:hAnsi="Arial"/>
          <w:sz w:val="22"/>
          <w:szCs w:val="22"/>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with employee recruitment and retention and an increasingly competitive labor market;</w:t>
      </w:r>
    </w:p>
    <w:p>
      <w:pPr>
        <w:spacing w:after="0" w:line="90"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acquisitions or dispositions, or potential acquisitions or dispositions;</w:t>
      </w:r>
    </w:p>
    <w:p>
      <w:pPr>
        <w:spacing w:after="0" w:line="103" w:lineRule="exact"/>
        <w:rPr>
          <w:rFonts w:ascii="Arial" w:cs="Arial" w:eastAsia="Arial" w:hAnsi="Arial"/>
          <w:sz w:val="18"/>
          <w:szCs w:val="18"/>
          <w:color w:val="auto"/>
        </w:rPr>
      </w:pPr>
    </w:p>
    <w:p>
      <w:pPr>
        <w:ind w:left="660" w:right="20" w:hanging="247"/>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3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achieve and maintain sustainability certifications, goals and commitments;</w:t>
      </w:r>
    </w:p>
    <w:p>
      <w:pPr>
        <w:spacing w:after="0" w:line="130" w:lineRule="exact"/>
        <w:rPr>
          <w:rFonts w:ascii="Arial" w:cs="Arial" w:eastAsia="Arial" w:hAnsi="Arial"/>
          <w:sz w:val="18"/>
          <w:szCs w:val="18"/>
          <w:color w:val="auto"/>
        </w:rPr>
      </w:pPr>
    </w:p>
    <w:p>
      <w:pPr>
        <w:ind w:left="660" w:hanging="247"/>
        <w:spacing w:after="0" w:line="237"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environmental and sustainability legislation and regulatory initiatives, including those addressing the impact of climate change or further regulating hydraulic fracturing, greenhouse gas emissions, flaring or water disposal;</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federal and state tax proposals affecting our industry;</w:t>
      </w:r>
    </w:p>
    <w:p>
      <w:pPr>
        <w:spacing w:after="0" w:line="71" w:lineRule="exact"/>
        <w:rPr>
          <w:rFonts w:ascii="Arial" w:cs="Arial" w:eastAsia="Arial" w:hAnsi="Arial"/>
          <w:sz w:val="22"/>
          <w:szCs w:val="22"/>
          <w:color w:val="auto"/>
        </w:rPr>
      </w:pPr>
    </w:p>
    <w:p>
      <w:pPr>
        <w:jc w:val="both"/>
        <w:ind w:left="660" w:hanging="247"/>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an annual limitation on the utilization of our tax attributes, which was triggered upon the completion of the Southwestern Merger, as well as trading in our common stock, additional issuance of common stock, and certain other stock transactions, which could lead to an additional, potentially more restrictive, annual limitation; and</w:t>
      </w:r>
    </w:p>
    <w:p>
      <w:pPr>
        <w:spacing w:after="0" w:line="49"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other factors that are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Item 1A of our </w:t>
      </w:r>
      <w:hyperlink r:id="rId24">
        <w:r>
          <w:rPr>
            <w:rFonts w:ascii="Arial" w:cs="Arial" w:eastAsia="Arial" w:hAnsi="Arial"/>
            <w:sz w:val="18"/>
            <w:szCs w:val="18"/>
            <w:u w:val="single" w:color="auto"/>
            <w:color w:val="0000FF"/>
          </w:rPr>
          <w:t>2025 Form 10-K</w:t>
        </w:r>
      </w:hyperlink>
      <w:r>
        <w:rPr>
          <w:rFonts w:ascii="Arial" w:cs="Arial" w:eastAsia="Arial" w:hAnsi="Arial"/>
          <w:sz w:val="18"/>
          <w:szCs w:val="18"/>
          <w:color w:val="auto"/>
        </w:rPr>
        <w:t>.</w:t>
      </w:r>
    </w:p>
    <w:p>
      <w:pPr>
        <w:spacing w:after="0" w:line="1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caution you not to place undue reliance on the forward-looking statements contained in this report, which speak only as of the filing date, and we undertake no obligation and have no intention to update this information, except as required by law. We urge you to carefully review and consider the disclosures in this report and our other filings with the SEC that attempt to advise interested parties of the risks and factors that may affect our business.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386C"/>
        </w:rPr>
        <w:t>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123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Investors should note that we make available, free of charge on our website at expandenergy.com,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on the Investors section of our website could be deemed to be material information. Documents and information on our website are not incorporated by reference herein.</w:t>
      </w:r>
    </w:p>
    <w:p>
      <w:pPr>
        <w:spacing w:after="0" w:line="12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SEC maintains a website at www.sec.gov that contains reports, proxy and information statements, and other information regarding issuers, including Expand Energy, that file electronically with the SEC.</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3.</w:t>
      </w:r>
      <w:r>
        <w:rPr>
          <w:sz w:val="20"/>
          <w:szCs w:val="20"/>
          <w:color w:val="auto"/>
        </w:rPr>
        <w:tab/>
      </w:r>
      <w:r>
        <w:rPr>
          <w:rFonts w:ascii="Arial" w:cs="Arial" w:eastAsia="Arial" w:hAnsi="Arial"/>
          <w:sz w:val="17"/>
          <w:szCs w:val="17"/>
          <w:b w:val="1"/>
          <w:bCs w:val="1"/>
          <w:i w:val="1"/>
          <w:iCs w:val="1"/>
          <w:color w:val="00386C"/>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265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primary objective of the following information is to provide forward-looking quantitative and qualitative information about our exposure to market risk. The term market risk relates to our risk of loss arising from adverse changes in natural gas, oil and NGL prices and interest rates. These disclosures are not meant to be precise indicators of expected future losses, but rather indicators of reasonably possible losses. The forward-looking information provides indicators of how we view and manage our ongoing market risk exposures.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Price Risk</w:t>
      </w:r>
    </w:p>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results of operations and cash flows are impacted by changes in market prices for natural gas, oil and NGL, which have historically been volatile. To mitigate a portion of our exposure to adverse price changes, we enter into various derivative instruments. Our natural gas, oil and NGL derivative activities, when combined with our sales of natural gas, oil and NGL, allow us to predict with greater certainty the revenue we will receive. We believe our derivative instruments continue to be highly effective in achieving our risk management objectives.</w:t>
      </w:r>
    </w:p>
    <w:p>
      <w:pPr>
        <w:spacing w:after="0" w:line="12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We determine the fair value of our derivative instruments utilizing established index prices, volatility curves and discount factors. These estimates are compared to counterparty valuations for reasonableness. Derivative transactions are also subject to the risk that counterparties will be unable to meet their obligations. This non-performance risk is considered in the valuation of our derivative instruments, but to date has not had a material impact on the values of our derivatives. Future risk related to counterparties not being able to meet their obligations has been partially mitigated under our commodity hedging arrangements that require counterparties to post collateral if their obligations to us are in excess of defined thresholds. The values we report in our financial statements are as of a point in time and subsequently change as these estimates are revised to reflect actual results, changes in market conditions and other factors.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notes to our condensed consolidated financial statements included in Item 1 of Part I of this report for further discussion of the fair value measurements associated with our derivatives.</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natural gas, oil and NGL revenues during the Current Quarter, excluding any effect of our derivative instruments, were $3,062 million, $87 million and $166 million, respectively. Based on production, natural gas, oil and NGL revenue for the Current Quarter would have increased or decreased by approximately $306 million, $9 million and $17 million, respectively, for each 10% increase or decrease in prices. As of March 31, 2026, the fair value of our natural gas derivatives was a net asset of $576 million. As of March 31, 2026, the fair value of our oil and NGL derivatives were net liabilities of $2 million and $18 million, respectively. A 10% fluctuation in forward natural gas prices would impact the valuation of natural gas derivatives by approximately $614 million. A 10% fluctuation in forward oil prices would impact the valuation of oil derivatives by approximately $12 million. A 10% fluctuation in forward NGL prices would impact the valuation of NGL derivatives by approximately $13 million. This fair value change assumes volatility based on prevailing market parameters at March 31, 2026.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notes to our condensed consolidated financial statements included in Item 1 of Part I of this report for further information on our open derivative positions.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69"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Our exposure to interest rate changes relates primarily to borrowings under our Credit Facility. Interest is payable on borrowings under the Credit Facility based on floating rates.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1 of this report for additional information. As of March 31, 2026, we did not have any outstanding borrowings under our Credit Facility.</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00386C"/>
        </w:rPr>
        <w:t>ITEM 4.</w:t>
      </w:r>
      <w:r>
        <w:rPr>
          <w:sz w:val="20"/>
          <w:szCs w:val="20"/>
          <w:color w:val="auto"/>
        </w:rPr>
        <w:tab/>
      </w:r>
      <w:r>
        <w:rPr>
          <w:rFonts w:ascii="Arial" w:cs="Arial" w:eastAsia="Arial" w:hAnsi="Arial"/>
          <w:sz w:val="17"/>
          <w:szCs w:val="17"/>
          <w:b w:val="1"/>
          <w:bCs w:val="1"/>
          <w:i w:val="1"/>
          <w:iCs w:val="1"/>
          <w:color w:val="00386C"/>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17780</wp:posOffset>
            </wp:positionV>
            <wp:extent cx="1448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reports we file or submit under the Exchange Act, is recorded, processed, summarized and reported within the time periods specified in SEC rules and forms, and that such information is accumulated and communicated to management, including our principal executive and principal financial officers, as appropriate, to allow timely decisions regarding required disclosure.</w:t>
      </w:r>
    </w:p>
    <w:p>
      <w:pPr>
        <w:spacing w:after="0" w:line="12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management, including our Interim Chief Executive Officer and Chief Financial Officer, of the effectiveness of the design and operation of our disclosure controls and procedures pursuant to Exchange Act Rule 13a-15(b). Based on that evaluation, our Interim Chief Executive Officer and Chief Financial Officer concluded as of March 31, 2026 that our disclosure controls and procedures were effective.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 xml:space="preserve">ITEM 1. </w:t>
      </w:r>
      <w:r>
        <w:rPr>
          <w:rFonts w:ascii="Arial" w:cs="Arial" w:eastAsia="Arial" w:hAnsi="Arial"/>
          <w:sz w:val="18"/>
          <w:szCs w:val="18"/>
          <w:b w:val="1"/>
          <w:bCs w:val="1"/>
          <w:i w:val="1"/>
          <w:iCs w:val="1"/>
          <w:color w:val="00386C"/>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17780</wp:posOffset>
            </wp:positionV>
            <wp:extent cx="13284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and Regulatory Proceedings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are involved in various regulatory proceedings, lawsuits and disputes arising in the ordinary course of our business operations, including commercial disputes, personal injury claims, royalty claims, property damage claims and contract actions. We are also party to the consolidated Chapter 11 Cases pending for the Debtors in the Bankruptcy Court. Legal proceedings that were in existence prior to the Petition Date and have not yet been settled as part of the Chapter 11 Cases will be resolved in connection with the claims reconciliation process before the Bankruptcy Court. Any allowed claim related to such prepetition litigation will be treated in accordance with the Plan. Any legal proceeding pending against Southwestern and assumed by us in connection with the Southwestern Merger is not subject to discharge or resolution as part of the Chapter 11 Cases.</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notes to our condensed consolidated financial statements included in Item 1 of Part I of this report for information regarding our estimation and provision for potential losses related to litigation and regulatory proceedings. Based on management’s current assessment, we are of the opinion that no pending or threatened lawsuit or dispute relating to our business operations is likely to have a material adverse effect on our future consolidated financial position, results of operations or cash flows. Pursuant to this item, we use a threshold of $1 million for purposes of determining whether any legal proceedings in regards to federal, state or local environmental laws with a governmental authority require disclosure. This $1 million disclosure threshold does not imply that this amount is necessarily material to our business or financial condition, and as of March 31, 2026, there were no environmental proceedings to disclose. The final resolution of such matters could exceed amounts accrued, however, and actual results could differ materially from management’s estimates.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Environmental Contingencies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 xml:space="preserve">ITEM 1A. </w:t>
      </w:r>
      <w:r>
        <w:rPr>
          <w:rFonts w:ascii="Arial" w:cs="Arial" w:eastAsia="Arial" w:hAnsi="Arial"/>
          <w:sz w:val="18"/>
          <w:szCs w:val="18"/>
          <w:b w:val="1"/>
          <w:bCs w:val="1"/>
          <w:i w:val="1"/>
          <w:iCs w:val="1"/>
          <w:color w:val="00386C"/>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17780</wp:posOffset>
            </wp:positionV>
            <wp:extent cx="10541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27" w:lineRule="exact"/>
        <w:rPr>
          <w:sz w:val="20"/>
          <w:szCs w:val="20"/>
          <w:color w:val="auto"/>
        </w:rPr>
      </w:pPr>
    </w:p>
    <w:p>
      <w:pPr>
        <w:jc w:val="both"/>
        <w:ind w:firstLine="405"/>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Our business has many risks. Factors that could materially adversely affect our business, financial condition, operating results or liquidity and the trading price of our common stock are described under “Risk Factors” in Item 1A of our </w:t>
      </w:r>
      <w:hyperlink r:id="rId24">
        <w:r>
          <w:rPr>
            <w:rFonts w:ascii="Arial" w:cs="Arial" w:eastAsia="Arial" w:hAnsi="Arial"/>
            <w:sz w:val="18"/>
            <w:szCs w:val="18"/>
            <w:u w:val="single" w:color="auto"/>
            <w:color w:val="0000FF"/>
          </w:rPr>
          <w:t>2025 Form 10-K</w:t>
        </w:r>
      </w:hyperlink>
      <w:r>
        <w:rPr>
          <w:rFonts w:ascii="Arial" w:cs="Arial" w:eastAsia="Arial" w:hAnsi="Arial"/>
          <w:sz w:val="18"/>
          <w:szCs w:val="18"/>
          <w:color w:val="auto"/>
        </w:rPr>
        <w:t>. This information should be considered carefully, together with other information in this report and other reports and materials we file with the SEC.</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00386C"/>
        </w:rPr>
        <w:t>ITEM 2.</w:t>
      </w:r>
      <w:r>
        <w:rPr>
          <w:sz w:val="20"/>
          <w:szCs w:val="20"/>
          <w:color w:val="auto"/>
        </w:rPr>
        <w:tab/>
      </w:r>
      <w:r>
        <w:rPr>
          <w:rFonts w:ascii="Arial" w:cs="Arial" w:eastAsia="Arial" w:hAnsi="Arial"/>
          <w:sz w:val="18"/>
          <w:szCs w:val="18"/>
          <w:b w:val="1"/>
          <w:bCs w:val="1"/>
          <w:i w:val="1"/>
          <w:iCs w:val="1"/>
          <w:color w:val="00386C"/>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17780</wp:posOffset>
            </wp:positionV>
            <wp:extent cx="34632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Repurchases of Equity Securities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22, 2024, our Board of Directors authorized repurchases of up to $1.0 billion, in aggregate, of the Company’s common stock and/or warrants under a share repurchase program. The repurchase authorization permits repurchases on a discretionary basis subject to market conditions, obtaining required internal approvals, applicable legal requirements, available liquidity, compliance with the Company’s debt agreements and other appropriate factors. The following table provides information regarding purchases of our common stock made by us during the Current Quarter.</w:t>
      </w:r>
    </w:p>
    <w:p>
      <w:pPr>
        <w:sectPr>
          <w:pgSz w:w="11900" w:h="16838" w:orient="portrait"/>
          <w:cols w:equalWidth="0" w:num="1">
            <w:col w:w="11240"/>
          </w:cols>
          <w:pgMar w:left="320" w:top="125" w:right="339" w:bottom="1440" w:gutter="0" w:footer="0" w:header="0"/>
        </w:sect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8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Total Number of Shares</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2960" w:type="dxa"/>
            <w:vAlign w:val="bottom"/>
            <w:vMerge w:val="restart"/>
          </w:tcPr>
          <w:p>
            <w:pPr>
              <w:jc w:val="center"/>
              <w:ind w:left="930"/>
              <w:spacing w:after="0"/>
              <w:rPr>
                <w:sz w:val="20"/>
                <w:szCs w:val="20"/>
                <w:color w:val="auto"/>
              </w:rPr>
            </w:pPr>
            <w:r>
              <w:rPr>
                <w:rFonts w:ascii="Arial" w:cs="Arial" w:eastAsia="Arial" w:hAnsi="Arial"/>
                <w:sz w:val="18"/>
                <w:szCs w:val="18"/>
                <w:b w:val="1"/>
                <w:bCs w:val="1"/>
                <w:color w:val="auto"/>
                <w:w w:val="99"/>
              </w:rPr>
              <w:t>Total Number of</w:t>
            </w:r>
          </w:p>
        </w:tc>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Average Price Paid</w:t>
            </w:r>
          </w:p>
        </w:tc>
        <w:tc>
          <w:tcPr>
            <w:tcW w:w="2180" w:type="dxa"/>
            <w:vAlign w:val="bottom"/>
          </w:tcPr>
          <w:p>
            <w:pPr>
              <w:jc w:val="center"/>
              <w:ind w:left="70"/>
              <w:spacing w:after="0" w:line="176" w:lineRule="exact"/>
              <w:rPr>
                <w:sz w:val="20"/>
                <w:szCs w:val="20"/>
                <w:color w:val="auto"/>
              </w:rPr>
            </w:pPr>
            <w:r>
              <w:rPr>
                <w:rFonts w:ascii="Arial" w:cs="Arial" w:eastAsia="Arial" w:hAnsi="Arial"/>
                <w:sz w:val="18"/>
                <w:szCs w:val="18"/>
                <w:b w:val="1"/>
                <w:bCs w:val="1"/>
                <w:color w:val="auto"/>
                <w:w w:val="99"/>
              </w:rPr>
              <w:t>Purchased as Part of</w:t>
            </w:r>
          </w:p>
        </w:tc>
        <w:tc>
          <w:tcPr>
            <w:tcW w:w="0" w:type="dxa"/>
            <w:vAlign w:val="bottom"/>
          </w:tcPr>
          <w:p>
            <w:pPr>
              <w:spacing w:after="0"/>
              <w:rPr>
                <w:sz w:val="1"/>
                <w:szCs w:val="1"/>
                <w:color w:val="auto"/>
              </w:rPr>
            </w:pPr>
          </w:p>
        </w:tc>
      </w:tr>
      <w:tr>
        <w:trPr>
          <w:trHeight w:val="175"/>
        </w:trPr>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296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2180" w:type="dxa"/>
            <w:vAlign w:val="bottom"/>
          </w:tcPr>
          <w:p>
            <w:pPr>
              <w:jc w:val="center"/>
              <w:ind w:left="70"/>
              <w:spacing w:after="0" w:line="176" w:lineRule="exact"/>
              <w:rPr>
                <w:sz w:val="20"/>
                <w:szCs w:val="20"/>
                <w:color w:val="auto"/>
              </w:rPr>
            </w:pPr>
            <w:r>
              <w:rPr>
                <w:rFonts w:ascii="Arial" w:cs="Arial" w:eastAsia="Arial" w:hAnsi="Arial"/>
                <w:sz w:val="18"/>
                <w:szCs w:val="18"/>
                <w:b w:val="1"/>
                <w:bCs w:val="1"/>
                <w:color w:val="auto"/>
              </w:rPr>
              <w:t>Publicly Announced</w:t>
            </w:r>
          </w:p>
        </w:tc>
        <w:tc>
          <w:tcPr>
            <w:tcW w:w="0" w:type="dxa"/>
            <w:vAlign w:val="bottom"/>
          </w:tcPr>
          <w:p>
            <w:pPr>
              <w:spacing w:after="0"/>
              <w:rPr>
                <w:sz w:val="1"/>
                <w:szCs w:val="1"/>
                <w:color w:val="auto"/>
              </w:rPr>
            </w:pPr>
          </w:p>
        </w:tc>
      </w:tr>
      <w:tr>
        <w:trPr>
          <w:trHeight w:val="243"/>
        </w:trPr>
        <w:tc>
          <w:tcPr>
            <w:tcW w:w="1760" w:type="dxa"/>
            <w:vAlign w:val="bottom"/>
            <w:vMerge w:val="continue"/>
          </w:tcPr>
          <w:p>
            <w:pPr>
              <w:spacing w:after="0"/>
              <w:rPr>
                <w:sz w:val="21"/>
                <w:szCs w:val="21"/>
                <w:color w:val="auto"/>
              </w:rPr>
            </w:pPr>
          </w:p>
        </w:tc>
        <w:tc>
          <w:tcPr>
            <w:tcW w:w="2960" w:type="dxa"/>
            <w:vAlign w:val="bottom"/>
          </w:tcPr>
          <w:p>
            <w:pPr>
              <w:jc w:val="center"/>
              <w:ind w:left="930"/>
              <w:spacing w:after="0"/>
              <w:rPr>
                <w:sz w:val="20"/>
                <w:szCs w:val="20"/>
                <w:color w:val="auto"/>
              </w:rPr>
            </w:pPr>
            <w:r>
              <w:rPr>
                <w:rFonts w:ascii="Arial" w:cs="Arial" w:eastAsia="Arial" w:hAnsi="Arial"/>
                <w:sz w:val="18"/>
                <w:szCs w:val="18"/>
                <w:b w:val="1"/>
                <w:bCs w:val="1"/>
                <w:color w:val="auto"/>
              </w:rPr>
              <w:t>Shares Purchased</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9"/>
              </w:rPr>
              <w:t>Per Share</w:t>
            </w:r>
          </w:p>
        </w:tc>
        <w:tc>
          <w:tcPr>
            <w:tcW w:w="218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00"/>
        <w:spacing w:after="0" w:line="228" w:lineRule="auto"/>
        <w:rPr>
          <w:sz w:val="20"/>
          <w:szCs w:val="20"/>
          <w:color w:val="auto"/>
        </w:rPr>
      </w:pPr>
      <w:r>
        <w:rPr>
          <w:rFonts w:ascii="Arial" w:cs="Arial" w:eastAsia="Arial" w:hAnsi="Arial"/>
          <w:sz w:val="17"/>
          <w:szCs w:val="17"/>
          <w:b w:val="1"/>
          <w:bCs w:val="1"/>
          <w:color w:val="auto"/>
        </w:rPr>
        <w:t>Approximate Dollar Value of Shares that May Yet Be Purchased</w:t>
      </w:r>
    </w:p>
    <w:p>
      <w:pPr>
        <w:spacing w:after="0" w:line="1" w:lineRule="exact"/>
        <w:rPr>
          <w:sz w:val="20"/>
          <w:szCs w:val="20"/>
          <w:color w:val="auto"/>
        </w:rPr>
      </w:pPr>
    </w:p>
    <w:p>
      <w:pPr>
        <w:jc w:val="center"/>
        <w:ind w:left="-19"/>
        <w:spacing w:after="0" w:line="256" w:lineRule="auto"/>
        <w:rPr>
          <w:sz w:val="20"/>
          <w:szCs w:val="20"/>
          <w:color w:val="auto"/>
        </w:rPr>
      </w:pPr>
      <w:r>
        <w:rPr>
          <w:rFonts w:ascii="Arial" w:cs="Arial" w:eastAsia="Arial" w:hAnsi="Arial"/>
          <w:sz w:val="17"/>
          <w:szCs w:val="17"/>
          <w:b w:val="1"/>
          <w:bCs w:val="1"/>
          <w:color w:val="auto"/>
        </w:rPr>
        <w:t>Under the Plans or Programs (in millions)</w:t>
      </w:r>
    </w:p>
    <w:p>
      <w:pPr>
        <w:spacing w:after="0" w:line="1" w:lineRule="exact"/>
        <w:rPr>
          <w:sz w:val="20"/>
          <w:szCs w:val="20"/>
          <w:color w:val="auto"/>
        </w:rPr>
      </w:pPr>
    </w:p>
    <w:p>
      <w:pPr>
        <w:sectPr>
          <w:pgSz w:w="11900" w:h="16838" w:orient="portrait"/>
          <w:cols w:equalWidth="0" w:num="2">
            <w:col w:w="8880" w:space="340"/>
            <w:col w:w="20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6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January 1 - January 31</w:t>
            </w:r>
          </w:p>
        </w:tc>
        <w:tc>
          <w:tcPr>
            <w:tcW w:w="220" w:type="dxa"/>
            <w:vAlign w:val="bottom"/>
            <w:tcBorders>
              <w:top w:val="single" w:sz="8" w:color="DBDBDB"/>
            </w:tcBorders>
            <w:shd w:val="clear" w:color="auto" w:fill="DBDBDB"/>
          </w:tcPr>
          <w:p>
            <w:pPr>
              <w:spacing w:after="0"/>
              <w:rPr>
                <w:sz w:val="18"/>
                <w:szCs w:val="18"/>
                <w:color w:val="auto"/>
              </w:rPr>
            </w:pP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8"/>
                <w:szCs w:val="18"/>
                <w:color w:val="auto"/>
              </w:rPr>
            </w:pPr>
          </w:p>
        </w:tc>
        <w:tc>
          <w:tcPr>
            <w:tcW w:w="620" w:type="dxa"/>
            <w:vAlign w:val="bottom"/>
            <w:tcBorders>
              <w:top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8"/>
                <w:szCs w:val="18"/>
                <w:color w:val="auto"/>
              </w:rPr>
            </w:pP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8"/>
                <w:szCs w:val="18"/>
                <w:color w:val="auto"/>
              </w:rPr>
            </w:pPr>
          </w:p>
        </w:tc>
        <w:tc>
          <w:tcPr>
            <w:tcW w:w="920" w:type="dxa"/>
            <w:vAlign w:val="bottom"/>
            <w:tcBorders>
              <w:top w:val="single" w:sz="8" w:color="auto"/>
            </w:tcBorders>
            <w:shd w:val="clear" w:color="auto" w:fill="DBDBDB"/>
          </w:tcPr>
          <w:p>
            <w:pPr>
              <w:jc w:val="right"/>
              <w:ind w:right="7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February 1 - February 28</w:t>
            </w:r>
          </w:p>
        </w:tc>
        <w:tc>
          <w:tcPr>
            <w:tcW w:w="1740" w:type="dxa"/>
            <w:vAlign w:val="bottom"/>
          </w:tcPr>
          <w:p>
            <w:pPr>
              <w:jc w:val="right"/>
              <w:spacing w:after="0"/>
              <w:rPr>
                <w:sz w:val="20"/>
                <w:szCs w:val="20"/>
                <w:color w:val="auto"/>
              </w:rPr>
            </w:pPr>
            <w:r>
              <w:rPr>
                <w:rFonts w:ascii="Arial" w:cs="Arial" w:eastAsia="Arial" w:hAnsi="Arial"/>
                <w:sz w:val="18"/>
                <w:szCs w:val="18"/>
                <w:color w:val="auto"/>
              </w:rPr>
              <w:t>261,514</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104.01</w:t>
            </w:r>
          </w:p>
        </w:tc>
        <w:tc>
          <w:tcPr>
            <w:tcW w:w="2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261,514</w:t>
            </w:r>
          </w:p>
        </w:tc>
        <w:tc>
          <w:tcPr>
            <w:tcW w:w="11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29"/>
        </w:trPr>
        <w:tc>
          <w:tcPr>
            <w:tcW w:w="29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March 1 - March 31</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360,944</w:t>
            </w:r>
          </w:p>
        </w:tc>
        <w:tc>
          <w:tcPr>
            <w:tcW w:w="220" w:type="dxa"/>
            <w:vAlign w:val="bottom"/>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106.29</w:t>
            </w:r>
          </w:p>
        </w:tc>
        <w:tc>
          <w:tcPr>
            <w:tcW w:w="220" w:type="dxa"/>
            <w:vAlign w:val="bottom"/>
            <w:shd w:val="clear" w:color="auto" w:fill="DBDBDB"/>
          </w:tcPr>
          <w:p>
            <w:pPr>
              <w:spacing w:after="0"/>
              <w:rPr>
                <w:sz w:val="19"/>
                <w:szCs w:val="19"/>
                <w:color w:val="auto"/>
              </w:rPr>
            </w:pP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360,944</w:t>
            </w:r>
          </w:p>
        </w:tc>
        <w:tc>
          <w:tcPr>
            <w:tcW w:w="1140" w:type="dxa"/>
            <w:vAlign w:val="bottom"/>
            <w:gridSpan w:val="2"/>
            <w:shd w:val="clear" w:color="auto" w:fill="DBDBDB"/>
          </w:tcPr>
          <w:p>
            <w:pPr>
              <w:jc w:val="right"/>
              <w:ind w:right="7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834</w:t>
            </w:r>
          </w:p>
        </w:tc>
      </w:tr>
      <w:tr>
        <w:trPr>
          <w:trHeight w:val="223"/>
        </w:trPr>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622,458</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w:t>
            </w:r>
          </w:p>
        </w:tc>
        <w:tc>
          <w:tcPr>
            <w:tcW w:w="220" w:type="dxa"/>
            <w:vAlign w:val="bottom"/>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622,458</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
        </w:trPr>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00386C"/>
        </w:rPr>
        <w:t>ITEM 3.</w:t>
      </w:r>
      <w:r>
        <w:rPr>
          <w:sz w:val="20"/>
          <w:szCs w:val="20"/>
          <w:color w:val="auto"/>
        </w:rPr>
        <w:tab/>
      </w:r>
      <w:r>
        <w:rPr>
          <w:rFonts w:ascii="Arial" w:cs="Arial" w:eastAsia="Arial" w:hAnsi="Arial"/>
          <w:sz w:val="17"/>
          <w:szCs w:val="17"/>
          <w:b w:val="1"/>
          <w:bCs w:val="1"/>
          <w:i w:val="1"/>
          <w:iCs w:val="1"/>
          <w:color w:val="00386C"/>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17780</wp:posOffset>
            </wp:positionV>
            <wp:extent cx="18084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00386C"/>
        </w:rPr>
        <w:t>ITEM 4.</w:t>
      </w:r>
      <w:r>
        <w:rPr>
          <w:sz w:val="20"/>
          <w:szCs w:val="20"/>
          <w:color w:val="auto"/>
        </w:rPr>
        <w:tab/>
      </w:r>
      <w:r>
        <w:rPr>
          <w:rFonts w:ascii="Arial" w:cs="Arial" w:eastAsia="Arial" w:hAnsi="Arial"/>
          <w:sz w:val="18"/>
          <w:szCs w:val="18"/>
          <w:b w:val="1"/>
          <w:bCs w:val="1"/>
          <w:i w:val="1"/>
          <w:iCs w:val="1"/>
          <w:color w:val="00386C"/>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17780</wp:posOffset>
            </wp:positionV>
            <wp:extent cx="1405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 information concerning mine safety violations and other regulatory matters required by Section 1503(a) of the Dodd-Frank Wall Street Reform and Consumer Protection Act and Item 104 of Regulation S-K (17 CFR 229.104) is included in Exhibit 95.1 to this Form 10-Q.</w:t>
      </w:r>
    </w:p>
    <w:p>
      <w:pPr>
        <w:spacing w:after="0" w:line="382"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b w:val="1"/>
          <w:bCs w:val="1"/>
          <w:color w:val="00386C"/>
        </w:rPr>
        <w:t>ITEM 5.</w:t>
      </w:r>
      <w:r>
        <w:rPr>
          <w:sz w:val="20"/>
          <w:szCs w:val="20"/>
          <w:color w:val="auto"/>
        </w:rPr>
        <w:tab/>
      </w:r>
      <w:r>
        <w:rPr>
          <w:rFonts w:ascii="Arial" w:cs="Arial" w:eastAsia="Arial" w:hAnsi="Arial"/>
          <w:sz w:val="17"/>
          <w:szCs w:val="17"/>
          <w:b w:val="1"/>
          <w:bCs w:val="1"/>
          <w:i w:val="1"/>
          <w:iCs w:val="1"/>
          <w:color w:val="00386C"/>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17780</wp:posOffset>
            </wp:positionV>
            <wp:extent cx="12687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0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During the three months ended March 31, 2026,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00386C"/>
        </w:rPr>
        <w:t>ITEM 6.</w:t>
      </w:r>
      <w:r>
        <w:rPr>
          <w:sz w:val="20"/>
          <w:szCs w:val="20"/>
          <w:color w:val="auto"/>
        </w:rPr>
        <w:tab/>
      </w:r>
      <w:r>
        <w:rPr>
          <w:rFonts w:ascii="Arial" w:cs="Arial" w:eastAsia="Arial" w:hAnsi="Arial"/>
          <w:sz w:val="17"/>
          <w:szCs w:val="17"/>
          <w:b w:val="1"/>
          <w:bCs w:val="1"/>
          <w:i w:val="1"/>
          <w:iCs w:val="1"/>
          <w:color w:val="00386C"/>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17780</wp:posOffset>
            </wp:positionV>
            <wp:extent cx="6426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259"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exhibits listed below in the Index of Exhibits are filed, furnished or incorporated by reference pursuant to the requirements of Item 601 of Regulation S-K.</w:t>
      </w:r>
    </w:p>
    <w:p>
      <w:pPr>
        <w:spacing w:after="0" w:line="99"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INDEX OF EXHIBITS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20"/>
        <w:spacing w:after="0" w:line="272" w:lineRule="auto"/>
        <w:rPr>
          <w:sz w:val="20"/>
          <w:szCs w:val="20"/>
          <w:color w:val="auto"/>
        </w:rPr>
      </w:pPr>
      <w:r>
        <w:rPr>
          <w:rFonts w:ascii="Arial" w:cs="Arial" w:eastAsia="Arial" w:hAnsi="Arial"/>
          <w:sz w:val="15"/>
          <w:szCs w:val="15"/>
          <w:b w:val="1"/>
          <w:bCs w:val="1"/>
          <w:color w:val="auto"/>
        </w:rPr>
        <w:t>Exhibit Number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20955</wp:posOffset>
            </wp:positionV>
            <wp:extent cx="7020560" cy="539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020560" cy="539750"/>
                    </a:xfrm>
                    <a:prstGeom prst="rect">
                      <a:avLst/>
                    </a:prstGeom>
                    <a:noFill/>
                  </pic:spPr>
                </pic:pic>
              </a:graphicData>
            </a:graphic>
          </wp:anchor>
        </w:drawing>
      </w:r>
    </w:p>
    <w:p>
      <w:pPr>
        <w:spacing w:after="0" w:line="39" w:lineRule="exact"/>
        <w:rPr>
          <w:sz w:val="20"/>
          <w:szCs w:val="20"/>
          <w:color w:val="auto"/>
        </w:rPr>
      </w:pPr>
    </w:p>
    <w:p>
      <w:pPr>
        <w:ind w:right="220"/>
        <w:spacing w:after="0" w:line="265" w:lineRule="auto"/>
        <w:rPr>
          <w:rFonts w:ascii="Arial" w:cs="Arial" w:eastAsia="Arial" w:hAnsi="Arial"/>
          <w:sz w:val="16"/>
          <w:szCs w:val="16"/>
          <w:u w:val="single" w:color="auto"/>
          <w:color w:val="0000FF"/>
        </w:rPr>
      </w:pPr>
      <w:hyperlink r:id="rId85">
        <w:r>
          <w:rPr>
            <w:rFonts w:ascii="Arial" w:cs="Arial" w:eastAsia="Arial" w:hAnsi="Arial"/>
            <w:sz w:val="16"/>
            <w:szCs w:val="16"/>
            <w:u w:val="single" w:color="auto"/>
            <w:color w:val="0000FF"/>
          </w:rPr>
          <w:t>Fifth Amended Joint Plan of Reorganization of Chesapeake</w:t>
        </w:r>
      </w:hyperlink>
      <w:r>
        <w:rPr>
          <w:rFonts w:ascii="Arial" w:cs="Arial" w:eastAsia="Arial" w:hAnsi="Arial"/>
          <w:sz w:val="16"/>
          <w:szCs w:val="16"/>
          <w:u w:val="single" w:color="auto"/>
          <w:color w:val="0000FF"/>
        </w:rPr>
        <w:t xml:space="preserve"> </w:t>
      </w:r>
      <w:hyperlink r:id="rId85">
        <w:r>
          <w:rPr>
            <w:rFonts w:ascii="Arial" w:cs="Arial" w:eastAsia="Arial" w:hAnsi="Arial"/>
            <w:sz w:val="16"/>
            <w:szCs w:val="16"/>
            <w:u w:val="single" w:color="auto"/>
            <w:color w:val="0000FF"/>
          </w:rPr>
          <w:t>Energy Corporation and its Debtor Affiliates Pursuant to</w:t>
        </w:r>
      </w:hyperlink>
      <w:r>
        <w:rPr>
          <w:rFonts w:ascii="Arial" w:cs="Arial" w:eastAsia="Arial" w:hAnsi="Arial"/>
          <w:sz w:val="16"/>
          <w:szCs w:val="16"/>
          <w:u w:val="single" w:color="auto"/>
          <w:color w:val="0000FF"/>
        </w:rPr>
        <w:t xml:space="preserve"> </w:t>
      </w:r>
      <w:hyperlink r:id="rId85">
        <w:r>
          <w:rPr>
            <w:rFonts w:ascii="Arial" w:cs="Arial" w:eastAsia="Arial" w:hAnsi="Arial"/>
            <w:sz w:val="16"/>
            <w:szCs w:val="16"/>
            <w:u w:val="single" w:color="auto"/>
            <w:color w:val="0000FF"/>
          </w:rPr>
          <w:t>Chapter 11 of the Bankruptcy Code (Exhibit A of the</w:t>
        </w:r>
      </w:hyperlink>
      <w:r>
        <w:rPr>
          <w:rFonts w:ascii="Arial" w:cs="Arial" w:eastAsia="Arial" w:hAnsi="Arial"/>
          <w:sz w:val="16"/>
          <w:szCs w:val="16"/>
          <w:u w:val="single" w:color="auto"/>
          <w:color w:val="0000FF"/>
        </w:rPr>
        <w:t xml:space="preserve"> </w:t>
      </w:r>
      <w:hyperlink r:id="rId85">
        <w:r>
          <w:rPr>
            <w:rFonts w:ascii="Arial" w:cs="Arial" w:eastAsia="Arial" w:hAnsi="Arial"/>
            <w:sz w:val="16"/>
            <w:szCs w:val="16"/>
            <w:u w:val="single" w:color="auto"/>
            <w:color w:val="0000FF"/>
          </w:rPr>
          <w:t>Confirmation Order).</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-671195</wp:posOffset>
            </wp:positionH>
            <wp:positionV relativeFrom="paragraph">
              <wp:posOffset>41910</wp:posOffset>
            </wp:positionV>
            <wp:extent cx="7020560" cy="403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020560" cy="403225"/>
                    </a:xfrm>
                    <a:prstGeom prst="rect">
                      <a:avLst/>
                    </a:prstGeom>
                    <a:noFill/>
                  </pic:spPr>
                </pic:pic>
              </a:graphicData>
            </a:graphic>
          </wp:anchor>
        </w:drawing>
      </w:r>
    </w:p>
    <w:p>
      <w:pPr>
        <w:spacing w:after="0" w:line="58" w:lineRule="exact"/>
        <w:rPr>
          <w:rFonts w:ascii="Arial" w:cs="Arial" w:eastAsia="Arial" w:hAnsi="Arial"/>
          <w:sz w:val="16"/>
          <w:szCs w:val="16"/>
          <w:u w:val="single" w:color="auto"/>
          <w:color w:val="0000FF"/>
        </w:rPr>
      </w:pPr>
    </w:p>
    <w:p>
      <w:pPr>
        <w:spacing w:after="0" w:line="266" w:lineRule="auto"/>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Agreement and Plan of Merger, dated as of January 10, 2024,</w:t>
        </w:r>
      </w:hyperlink>
      <w:r>
        <w:rPr>
          <w:rFonts w:ascii="Arial" w:cs="Arial" w:eastAsia="Arial" w:hAnsi="Arial"/>
          <w:sz w:val="16"/>
          <w:szCs w:val="16"/>
          <w:u w:val="single" w:color="auto"/>
          <w:color w:val="0000FF"/>
        </w:rPr>
        <w:t xml:space="preserve"> </w:t>
      </w:r>
      <w:hyperlink r:id="rId87">
        <w:r>
          <w:rPr>
            <w:rFonts w:ascii="Arial" w:cs="Arial" w:eastAsia="Arial" w:hAnsi="Arial"/>
            <w:sz w:val="16"/>
            <w:szCs w:val="16"/>
            <w:u w:val="single" w:color="auto"/>
            <w:color w:val="0000FF"/>
          </w:rPr>
          <w:t>among Chesapeake Energy Corporation, Hulk Merger Sub,</w:t>
        </w:r>
      </w:hyperlink>
      <w:r>
        <w:rPr>
          <w:rFonts w:ascii="Arial" w:cs="Arial" w:eastAsia="Arial" w:hAnsi="Arial"/>
          <w:sz w:val="16"/>
          <w:szCs w:val="16"/>
          <w:u w:val="single" w:color="auto"/>
          <w:color w:val="0000FF"/>
        </w:rPr>
        <w:t xml:space="preserve"> </w:t>
      </w:r>
      <w:hyperlink r:id="rId87">
        <w:r>
          <w:rPr>
            <w:rFonts w:ascii="Arial" w:cs="Arial" w:eastAsia="Arial" w:hAnsi="Arial"/>
            <w:sz w:val="16"/>
            <w:szCs w:val="16"/>
            <w:u w:val="single" w:color="auto"/>
            <w:color w:val="0000FF"/>
          </w:rPr>
          <w:t>Inc., Hulk LLC Sub, LLC, and Southwestern Energy Company.</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42"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Incorporated by Reference</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 or</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SEC File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Form</w:t>
            </w:r>
          </w:p>
        </w:tc>
        <w:tc>
          <w:tcPr>
            <w:tcW w:w="1280" w:type="dxa"/>
            <w:vAlign w:val="bottom"/>
            <w:gridSpan w:val="2"/>
            <w:vMerge w:val="continue"/>
          </w:tcPr>
          <w:p>
            <w:pPr>
              <w:spacing w:after="0"/>
              <w:rPr>
                <w:sz w:val="14"/>
                <w:szCs w:val="14"/>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rPr>
              <w:t>Exhibit</w:t>
            </w: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Filing Date</w:t>
            </w: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16"/>
        </w:trPr>
        <w:tc>
          <w:tcPr>
            <w:tcW w:w="760" w:type="dxa"/>
            <w:vAlign w:val="bottom"/>
            <w:gridSpan w:val="2"/>
            <w:vMerge w:val="continue"/>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Number</w:t>
            </w:r>
          </w:p>
        </w:tc>
        <w:tc>
          <w:tcPr>
            <w:tcW w:w="1060" w:type="dxa"/>
            <w:vAlign w:val="bottom"/>
            <w:gridSpan w:val="3"/>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8"/>
        </w:trPr>
        <w:tc>
          <w:tcPr>
            <w:tcW w:w="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001-13726</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color w:val="auto"/>
              </w:rPr>
              <w:t>1/19/2021</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0"/>
        </w:trPr>
        <w:tc>
          <w:tcPr>
            <w:tcW w:w="7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160" w:type="dxa"/>
            <w:vAlign w:val="bottom"/>
          </w:tcPr>
          <w:p>
            <w:pPr>
              <w:jc w:val="center"/>
              <w:spacing w:after="0"/>
              <w:rPr>
                <w:sz w:val="20"/>
                <w:szCs w:val="20"/>
                <w:color w:val="auto"/>
              </w:rPr>
            </w:pPr>
            <w:r>
              <w:rPr>
                <w:rFonts w:ascii="Arial" w:cs="Arial" w:eastAsia="Arial" w:hAnsi="Arial"/>
                <w:sz w:val="16"/>
                <w:szCs w:val="16"/>
                <w:color w:val="auto"/>
              </w:rPr>
              <w:t>001-13726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79"/>
              <w:spacing w:after="0"/>
              <w:rPr>
                <w:sz w:val="20"/>
                <w:szCs w:val="20"/>
                <w:color w:val="auto"/>
              </w:rPr>
            </w:pPr>
            <w:r>
              <w:rPr>
                <w:rFonts w:ascii="Arial" w:cs="Arial" w:eastAsia="Arial" w:hAnsi="Arial"/>
                <w:sz w:val="16"/>
                <w:szCs w:val="16"/>
                <w:color w:val="auto"/>
                <w:w w:val="98"/>
              </w:rPr>
              <w:t>1/11/2024</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3" w:lineRule="exact"/>
        <w:rPr>
          <w:rFonts w:ascii="Arial" w:cs="Arial" w:eastAsia="Arial" w:hAnsi="Arial"/>
          <w:sz w:val="16"/>
          <w:szCs w:val="16"/>
          <w:u w:val="single" w:color="auto"/>
          <w:color w:val="0000FF"/>
        </w:rPr>
      </w:pPr>
    </w:p>
    <w:p>
      <w:pPr>
        <w:sectPr>
          <w:pgSz w:w="11900" w:h="16838" w:orient="portrait"/>
          <w:cols w:equalWidth="0" w:num="3">
            <w:col w:w="720" w:space="440"/>
            <w:col w:w="4480" w:space="180"/>
            <w:col w:w="5400"/>
          </w:cols>
          <w:pgMar w:left="320" w:top="125" w:right="3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3.1</w:t>
      </w:r>
    </w:p>
    <w:p>
      <w:pPr>
        <w:spacing w:after="0" w:line="316"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3.2</w:t>
      </w:r>
    </w:p>
    <w:p>
      <w:pPr>
        <w:spacing w:after="0" w:line="316"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31.1</w:t>
      </w:r>
    </w:p>
    <w:p>
      <w:pPr>
        <w:spacing w:after="0" w:line="200" w:lineRule="exact"/>
        <w:rPr>
          <w:rFonts w:ascii="Arial" w:cs="Arial" w:eastAsia="Arial" w:hAnsi="Arial"/>
          <w:sz w:val="16"/>
          <w:szCs w:val="16"/>
          <w:u w:val="single" w:color="auto"/>
          <w:color w:val="0000FF"/>
        </w:rPr>
      </w:pPr>
    </w:p>
    <w:p>
      <w:pPr>
        <w:spacing w:after="0" w:line="305"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31.2</w:t>
      </w:r>
    </w:p>
    <w:p>
      <w:pPr>
        <w:spacing w:after="0" w:line="200" w:lineRule="exact"/>
        <w:rPr>
          <w:rFonts w:ascii="Arial" w:cs="Arial" w:eastAsia="Arial" w:hAnsi="Arial"/>
          <w:sz w:val="16"/>
          <w:szCs w:val="16"/>
          <w:u w:val="single" w:color="auto"/>
          <w:color w:val="0000FF"/>
        </w:rPr>
      </w:pPr>
    </w:p>
    <w:p>
      <w:pPr>
        <w:spacing w:after="0" w:line="305"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32.1**</w:t>
      </w:r>
    </w:p>
    <w:p>
      <w:pPr>
        <w:spacing w:after="0" w:line="200" w:lineRule="exact"/>
        <w:rPr>
          <w:rFonts w:ascii="Arial" w:cs="Arial" w:eastAsia="Arial" w:hAnsi="Arial"/>
          <w:sz w:val="16"/>
          <w:szCs w:val="16"/>
          <w:u w:val="single" w:color="auto"/>
          <w:color w:val="0000FF"/>
        </w:rPr>
      </w:pPr>
    </w:p>
    <w:p>
      <w:pPr>
        <w:spacing w:after="0" w:line="305"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32.2**</w:t>
      </w:r>
    </w:p>
    <w:p>
      <w:pPr>
        <w:spacing w:after="0" w:line="200" w:lineRule="exact"/>
        <w:rPr>
          <w:rFonts w:ascii="Arial" w:cs="Arial" w:eastAsia="Arial" w:hAnsi="Arial"/>
          <w:sz w:val="16"/>
          <w:szCs w:val="16"/>
          <w:u w:val="single" w:color="auto"/>
          <w:color w:val="0000FF"/>
        </w:rPr>
      </w:pPr>
    </w:p>
    <w:p>
      <w:pPr>
        <w:spacing w:after="0" w:line="305"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95.1</w:t>
      </w:r>
    </w:p>
    <w:p>
      <w:pPr>
        <w:spacing w:after="0" w:line="86"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101 INS</w:t>
      </w:r>
    </w:p>
    <w:p>
      <w:pPr>
        <w:spacing w:after="0" w:line="200" w:lineRule="exact"/>
        <w:rPr>
          <w:rFonts w:ascii="Arial" w:cs="Arial" w:eastAsia="Arial" w:hAnsi="Arial"/>
          <w:sz w:val="16"/>
          <w:szCs w:val="16"/>
          <w:u w:val="single" w:color="auto"/>
          <w:color w:val="0000FF"/>
        </w:rPr>
      </w:pPr>
    </w:p>
    <w:p>
      <w:pPr>
        <w:spacing w:after="0" w:line="305" w:lineRule="exact"/>
        <w:rPr>
          <w:rFonts w:ascii="Arial" w:cs="Arial" w:eastAsia="Arial" w:hAnsi="Arial"/>
          <w:sz w:val="16"/>
          <w:szCs w:val="16"/>
          <w:u w:val="single" w:color="auto"/>
          <w:color w:val="0000FF"/>
        </w:rPr>
      </w:pPr>
    </w:p>
    <w:p>
      <w:pPr>
        <w:ind w:left="420" w:hanging="306"/>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SCH</w:t>
      </w:r>
    </w:p>
    <w:p>
      <w:pPr>
        <w:spacing w:after="0" w:line="113" w:lineRule="exact"/>
        <w:rPr>
          <w:rFonts w:ascii="Arial" w:cs="Arial" w:eastAsia="Arial" w:hAnsi="Arial"/>
          <w:sz w:val="16"/>
          <w:szCs w:val="16"/>
          <w:color w:val="auto"/>
        </w:rPr>
      </w:pPr>
    </w:p>
    <w:p>
      <w:pPr>
        <w:ind w:left="420" w:hanging="306"/>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CAL</w:t>
      </w:r>
    </w:p>
    <w:p>
      <w:pPr>
        <w:spacing w:after="0" w:line="316"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101 DEF</w:t>
      </w:r>
    </w:p>
    <w:p>
      <w:pPr>
        <w:spacing w:after="0" w:line="316" w:lineRule="exact"/>
        <w:rPr>
          <w:rFonts w:ascii="Arial" w:cs="Arial" w:eastAsia="Arial" w:hAnsi="Arial"/>
          <w:sz w:val="16"/>
          <w:szCs w:val="16"/>
          <w:u w:val="single" w:color="auto"/>
          <w:color w:val="0000FF"/>
        </w:rPr>
      </w:pPr>
    </w:p>
    <w:p>
      <w:pPr>
        <w:ind w:left="420" w:hanging="306"/>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LAB</w:t>
      </w:r>
    </w:p>
    <w:p>
      <w:pPr>
        <w:spacing w:after="0" w:line="113" w:lineRule="exact"/>
        <w:rPr>
          <w:rFonts w:ascii="Arial" w:cs="Arial" w:eastAsia="Arial" w:hAnsi="Arial"/>
          <w:sz w:val="16"/>
          <w:szCs w:val="16"/>
          <w:color w:val="auto"/>
        </w:rPr>
      </w:pPr>
    </w:p>
    <w:p>
      <w:pPr>
        <w:ind w:left="420" w:hanging="306"/>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90"/>
        </w:trPr>
        <w:tc>
          <w:tcPr>
            <w:tcW w:w="4660" w:type="dxa"/>
            <w:vAlign w:val="bottom"/>
            <w:gridSpan w:val="12"/>
          </w:tcPr>
          <w:p>
            <w:pPr>
              <w:spacing w:after="0"/>
              <w:rPr>
                <w:rFonts w:ascii="Arial" w:cs="Arial" w:eastAsia="Arial" w:hAnsi="Arial"/>
                <w:sz w:val="16"/>
                <w:szCs w:val="16"/>
                <w:color w:val="0000FF"/>
              </w:rPr>
            </w:pPr>
            <w:hyperlink r:id="rId88">
              <w:r>
                <w:rPr>
                  <w:rFonts w:ascii="Arial" w:cs="Arial" w:eastAsia="Arial" w:hAnsi="Arial"/>
                  <w:sz w:val="16"/>
                  <w:szCs w:val="16"/>
                  <w:color w:val="0000FF"/>
                </w:rPr>
                <w:t>Third Amended and Restated Certificate of Incorporation of</w:t>
              </w:r>
            </w:hyperlink>
          </w:p>
        </w:tc>
        <w:tc>
          <w:tcPr>
            <w:tcW w:w="700" w:type="dxa"/>
            <w:vAlign w:val="bottom"/>
          </w:tcPr>
          <w:p>
            <w:pPr>
              <w:ind w:left="200"/>
              <w:spacing w:after="0"/>
              <w:rPr>
                <w:sz w:val="20"/>
                <w:szCs w:val="20"/>
                <w:color w:val="auto"/>
              </w:rPr>
            </w:pPr>
            <w:r>
              <w:rPr>
                <w:rFonts w:ascii="Arial" w:cs="Arial" w:eastAsia="Arial" w:hAnsi="Arial"/>
                <w:sz w:val="16"/>
                <w:szCs w:val="16"/>
                <w:color w:val="auto"/>
              </w:rPr>
              <w:t>8-K</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001-13726</w:t>
            </w: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3.1</w:t>
            </w:r>
          </w:p>
        </w:tc>
        <w:tc>
          <w:tcPr>
            <w:tcW w:w="1980" w:type="dxa"/>
            <w:vAlign w:val="bottom"/>
          </w:tcPr>
          <w:p>
            <w:pPr>
              <w:ind w:left="300"/>
              <w:spacing w:after="0"/>
              <w:rPr>
                <w:sz w:val="20"/>
                <w:szCs w:val="20"/>
                <w:color w:val="auto"/>
              </w:rPr>
            </w:pPr>
            <w:r>
              <w:rPr>
                <w:rFonts w:ascii="Arial" w:cs="Arial" w:eastAsia="Arial" w:hAnsi="Arial"/>
                <w:sz w:val="16"/>
                <w:szCs w:val="16"/>
                <w:color w:val="auto"/>
              </w:rPr>
              <w:t>10/1/2024</w:t>
            </w:r>
          </w:p>
        </w:tc>
        <w:tc>
          <w:tcPr>
            <w:tcW w:w="0" w:type="dxa"/>
            <w:vAlign w:val="bottom"/>
          </w:tcPr>
          <w:p>
            <w:pPr>
              <w:spacing w:after="0"/>
              <w:rPr>
                <w:sz w:val="1"/>
                <w:szCs w:val="1"/>
                <w:color w:val="auto"/>
              </w:rPr>
            </w:pPr>
          </w:p>
        </w:tc>
      </w:tr>
      <w:tr>
        <w:trPr>
          <w:trHeight w:val="169"/>
        </w:trPr>
        <w:tc>
          <w:tcPr>
            <w:tcW w:w="206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88">
              <w:r>
                <w:rPr>
                  <w:rFonts w:ascii="Arial" w:cs="Arial" w:eastAsia="Arial" w:hAnsi="Arial"/>
                  <w:sz w:val="16"/>
                  <w:szCs w:val="16"/>
                  <w:color w:val="0000FF"/>
                </w:rPr>
                <w:t>Expand Energy Corporation.</w:t>
              </w:r>
            </w:hyperlink>
          </w:p>
        </w:tc>
        <w:tc>
          <w:tcPr>
            <w:tcW w:w="218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660" w:type="dxa"/>
            <w:vAlign w:val="bottom"/>
            <w:gridSpan w:val="12"/>
          </w:tcPr>
          <w:p>
            <w:pPr>
              <w:spacing w:after="0"/>
              <w:rPr>
                <w:rFonts w:ascii="Arial" w:cs="Arial" w:eastAsia="Arial" w:hAnsi="Arial"/>
                <w:sz w:val="16"/>
                <w:szCs w:val="16"/>
                <w:color w:val="0000FF"/>
              </w:rPr>
            </w:pPr>
            <w:hyperlink r:id="rId89">
              <w:r>
                <w:rPr>
                  <w:rFonts w:ascii="Arial" w:cs="Arial" w:eastAsia="Arial" w:hAnsi="Arial"/>
                  <w:sz w:val="16"/>
                  <w:szCs w:val="16"/>
                  <w:color w:val="0000FF"/>
                </w:rPr>
                <w:t>Third Amended and Restated Bylaws of Expand Energy</w:t>
              </w:r>
            </w:hyperlink>
          </w:p>
        </w:tc>
        <w:tc>
          <w:tcPr>
            <w:tcW w:w="700" w:type="dxa"/>
            <w:vAlign w:val="bottom"/>
          </w:tcPr>
          <w:p>
            <w:pPr>
              <w:ind w:left="200"/>
              <w:spacing w:after="0"/>
              <w:rPr>
                <w:sz w:val="20"/>
                <w:szCs w:val="20"/>
                <w:color w:val="auto"/>
              </w:rPr>
            </w:pPr>
            <w:r>
              <w:rPr>
                <w:rFonts w:ascii="Arial" w:cs="Arial" w:eastAsia="Arial" w:hAnsi="Arial"/>
                <w:sz w:val="16"/>
                <w:szCs w:val="16"/>
                <w:color w:val="auto"/>
              </w:rPr>
              <w:t>8-K</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001-13726</w:t>
            </w: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3.2</w:t>
            </w:r>
          </w:p>
        </w:tc>
        <w:tc>
          <w:tcPr>
            <w:tcW w:w="1980" w:type="dxa"/>
            <w:vAlign w:val="bottom"/>
          </w:tcPr>
          <w:p>
            <w:pPr>
              <w:ind w:left="300"/>
              <w:spacing w:after="0"/>
              <w:rPr>
                <w:sz w:val="20"/>
                <w:szCs w:val="20"/>
                <w:color w:val="auto"/>
              </w:rPr>
            </w:pPr>
            <w:r>
              <w:rPr>
                <w:rFonts w:ascii="Arial" w:cs="Arial" w:eastAsia="Arial" w:hAnsi="Arial"/>
                <w:sz w:val="16"/>
                <w:szCs w:val="16"/>
                <w:color w:val="auto"/>
              </w:rPr>
              <w:t>10/1/2024</w:t>
            </w:r>
          </w:p>
        </w:tc>
        <w:tc>
          <w:tcPr>
            <w:tcW w:w="0" w:type="dxa"/>
            <w:vAlign w:val="bottom"/>
          </w:tcPr>
          <w:p>
            <w:pPr>
              <w:spacing w:after="0"/>
              <w:rPr>
                <w:sz w:val="1"/>
                <w:szCs w:val="1"/>
                <w:color w:val="auto"/>
              </w:rPr>
            </w:pPr>
          </w:p>
        </w:tc>
      </w:tr>
      <w:tr>
        <w:trPr>
          <w:trHeight w:val="169"/>
        </w:trPr>
        <w:tc>
          <w:tcPr>
            <w:tcW w:w="9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9"/>
              </w:rPr>
            </w:pPr>
            <w:hyperlink r:id="rId89">
              <w:r>
                <w:rPr>
                  <w:rFonts w:ascii="Arial" w:cs="Arial" w:eastAsia="Arial" w:hAnsi="Arial"/>
                  <w:sz w:val="16"/>
                  <w:szCs w:val="16"/>
                  <w:color w:val="0000FF"/>
                  <w:w w:val="99"/>
                </w:rPr>
                <w:t>Corporation.</w:t>
              </w:r>
            </w:hyperlink>
          </w:p>
        </w:tc>
        <w:tc>
          <w:tcPr>
            <w:tcW w:w="3120" w:type="dxa"/>
            <w:vAlign w:val="bottom"/>
            <w:tcBorders>
              <w:top w:val="single" w:sz="8" w:color="0000FF"/>
            </w:tcBorders>
            <w:gridSpan w:val="6"/>
          </w:tcPr>
          <w:p>
            <w:pPr>
              <w:spacing w:after="0"/>
              <w:rPr>
                <w:sz w:val="14"/>
                <w:szCs w:val="14"/>
                <w:color w:val="auto"/>
              </w:rPr>
            </w:pPr>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660" w:type="dxa"/>
            <w:vAlign w:val="bottom"/>
            <w:gridSpan w:val="12"/>
          </w:tcPr>
          <w:p>
            <w:pPr>
              <w:spacing w:after="0"/>
              <w:rPr>
                <w:sz w:val="20"/>
                <w:szCs w:val="20"/>
                <w:color w:val="auto"/>
              </w:rPr>
            </w:pPr>
            <w:r>
              <w:rPr>
                <w:rFonts w:ascii="Arial" w:cs="Arial" w:eastAsia="Arial" w:hAnsi="Arial"/>
                <w:sz w:val="16"/>
                <w:szCs w:val="16"/>
                <w:color w:val="0000FF"/>
              </w:rPr>
              <w:t>Michael Wichterich, Chairman of the Board, Interim President</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440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and Chief Executive Officer, Certification pursuant to Section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4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3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vMerge w:val="restart"/>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line="20" w:lineRule="exact"/>
              <w:rPr>
                <w:sz w:val="1"/>
                <w:szCs w:val="1"/>
                <w:color w:val="auto"/>
              </w:rPr>
            </w:pPr>
          </w:p>
        </w:tc>
      </w:tr>
      <w:tr>
        <w:trPr>
          <w:trHeight w:val="290"/>
        </w:trPr>
        <w:tc>
          <w:tcPr>
            <w:tcW w:w="4660" w:type="dxa"/>
            <w:vAlign w:val="bottom"/>
            <w:gridSpan w:val="12"/>
          </w:tcPr>
          <w:p>
            <w:pPr>
              <w:spacing w:after="0"/>
              <w:rPr>
                <w:sz w:val="20"/>
                <w:szCs w:val="20"/>
                <w:color w:val="auto"/>
              </w:rPr>
            </w:pPr>
            <w:r>
              <w:rPr>
                <w:rFonts w:ascii="Arial" w:cs="Arial" w:eastAsia="Arial" w:hAnsi="Arial"/>
                <w:sz w:val="16"/>
                <w:szCs w:val="16"/>
                <w:color w:val="0000FF"/>
              </w:rPr>
              <w:t>Marcel Teunissen, Executive Vice President and Chief</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Financial Officer, Certification pursuant to Section 302</w:t>
            </w:r>
          </w:p>
        </w:tc>
        <w:tc>
          <w:tcPr>
            <w:tcW w:w="780" w:type="dxa"/>
            <w:vAlign w:val="bottom"/>
            <w:gridSpan w:val="6"/>
          </w:tcPr>
          <w:p>
            <w:pPr>
              <w:ind w:left="40"/>
              <w:spacing w:after="0" w:line="169" w:lineRule="exact"/>
              <w:rPr>
                <w:sz w:val="20"/>
                <w:szCs w:val="20"/>
                <w:color w:val="auto"/>
              </w:rPr>
            </w:pPr>
            <w:r>
              <w:rPr>
                <w:rFonts w:ascii="Arial" w:cs="Arial" w:eastAsia="Arial" w:hAnsi="Arial"/>
                <w:sz w:val="16"/>
                <w:szCs w:val="16"/>
                <w:color w:val="0000FF"/>
              </w:rPr>
              <w:t>of the</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8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Sarbanes-Oxley Act of 2002.</w:t>
            </w:r>
          </w:p>
        </w:tc>
        <w:tc>
          <w:tcPr>
            <w:tcW w:w="2240" w:type="dxa"/>
            <w:vAlign w:val="bottom"/>
            <w:tcBorders>
              <w:top w:val="single" w:sz="8" w:color="0000FF"/>
            </w:tcBorders>
            <w:gridSpan w:val="5"/>
          </w:tcPr>
          <w:p>
            <w:pPr>
              <w:spacing w:after="0"/>
              <w:rPr>
                <w:sz w:val="14"/>
                <w:szCs w:val="14"/>
                <w:color w:val="auto"/>
              </w:rPr>
            </w:pPr>
          </w:p>
        </w:tc>
        <w:tc>
          <w:tcPr>
            <w:tcW w:w="34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660" w:type="dxa"/>
            <w:vAlign w:val="bottom"/>
            <w:gridSpan w:val="12"/>
          </w:tcPr>
          <w:p>
            <w:pPr>
              <w:spacing w:after="0"/>
              <w:rPr>
                <w:sz w:val="20"/>
                <w:szCs w:val="20"/>
                <w:color w:val="auto"/>
              </w:rPr>
            </w:pPr>
            <w:r>
              <w:rPr>
                <w:rFonts w:ascii="Arial" w:cs="Arial" w:eastAsia="Arial" w:hAnsi="Arial"/>
                <w:sz w:val="16"/>
                <w:szCs w:val="16"/>
                <w:color w:val="0000FF"/>
              </w:rPr>
              <w:t>Michael Wichterich, Chairman of the Board, Interim President</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440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and Chief Executive Officer, Certification pursuant to Section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4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906 of the Sarbanes-Oxley Act of 2002.</w:t>
            </w:r>
          </w:p>
        </w:tc>
        <w:tc>
          <w:tcPr>
            <w:tcW w:w="3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vMerge w:val="restart"/>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line="20" w:lineRule="exact"/>
              <w:rPr>
                <w:sz w:val="1"/>
                <w:szCs w:val="1"/>
                <w:color w:val="auto"/>
              </w:rPr>
            </w:pPr>
          </w:p>
        </w:tc>
      </w:tr>
      <w:tr>
        <w:trPr>
          <w:trHeight w:val="291"/>
        </w:trPr>
        <w:tc>
          <w:tcPr>
            <w:tcW w:w="4660" w:type="dxa"/>
            <w:vAlign w:val="bottom"/>
            <w:gridSpan w:val="12"/>
          </w:tcPr>
          <w:p>
            <w:pPr>
              <w:spacing w:after="0"/>
              <w:rPr>
                <w:sz w:val="20"/>
                <w:szCs w:val="20"/>
                <w:color w:val="auto"/>
              </w:rPr>
            </w:pPr>
            <w:r>
              <w:rPr>
                <w:rFonts w:ascii="Arial" w:cs="Arial" w:eastAsia="Arial" w:hAnsi="Arial"/>
                <w:sz w:val="16"/>
                <w:szCs w:val="16"/>
                <w:color w:val="0000FF"/>
              </w:rPr>
              <w:t>Marcel Teunissen, Executive Vice President and Chief</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Financial Officer, Certification pursuant to Section 906</w:t>
            </w:r>
          </w:p>
        </w:tc>
        <w:tc>
          <w:tcPr>
            <w:tcW w:w="780" w:type="dxa"/>
            <w:vAlign w:val="bottom"/>
            <w:gridSpan w:val="6"/>
          </w:tcPr>
          <w:p>
            <w:pPr>
              <w:ind w:left="40"/>
              <w:spacing w:after="0" w:line="169" w:lineRule="exact"/>
              <w:rPr>
                <w:sz w:val="20"/>
                <w:szCs w:val="20"/>
                <w:color w:val="auto"/>
              </w:rPr>
            </w:pPr>
            <w:r>
              <w:rPr>
                <w:rFonts w:ascii="Arial" w:cs="Arial" w:eastAsia="Arial" w:hAnsi="Arial"/>
                <w:sz w:val="16"/>
                <w:szCs w:val="16"/>
                <w:color w:val="0000FF"/>
              </w:rPr>
              <w:t>of the</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8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Sarbanes-Oxley Act of 2002.</w:t>
            </w:r>
          </w:p>
        </w:tc>
        <w:tc>
          <w:tcPr>
            <w:tcW w:w="2240" w:type="dxa"/>
            <w:vAlign w:val="bottom"/>
            <w:tcBorders>
              <w:top w:val="single" w:sz="8" w:color="0000FF"/>
            </w:tcBorders>
            <w:gridSpan w:val="5"/>
          </w:tcPr>
          <w:p>
            <w:pPr>
              <w:spacing w:after="0"/>
              <w:rPr>
                <w:sz w:val="14"/>
                <w:szCs w:val="14"/>
                <w:color w:val="auto"/>
              </w:rPr>
            </w:pPr>
          </w:p>
        </w:tc>
        <w:tc>
          <w:tcPr>
            <w:tcW w:w="34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60" w:type="dxa"/>
            <w:vAlign w:val="bottom"/>
            <w:gridSpan w:val="12"/>
          </w:tcPr>
          <w:p>
            <w:pPr>
              <w:spacing w:after="0"/>
              <w:rPr>
                <w:sz w:val="20"/>
                <w:szCs w:val="20"/>
                <w:color w:val="auto"/>
              </w:rPr>
            </w:pPr>
            <w:r>
              <w:rPr>
                <w:rFonts w:ascii="Arial" w:cs="Arial" w:eastAsia="Arial" w:hAnsi="Arial"/>
                <w:sz w:val="16"/>
                <w:szCs w:val="16"/>
                <w:color w:val="0000FF"/>
              </w:rPr>
              <w:t>Mine Safety Disclosure.</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700" w:type="dxa"/>
            <w:vAlign w:val="bottom"/>
            <w:gridSpan w:val="2"/>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vMerge w:val="restart"/>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line="20" w:lineRule="exact"/>
              <w:rPr>
                <w:sz w:val="1"/>
                <w:szCs w:val="1"/>
                <w:color w:val="auto"/>
              </w:rPr>
            </w:pPr>
          </w:p>
        </w:tc>
      </w:tr>
      <w:tr>
        <w:trPr>
          <w:trHeight w:val="276"/>
        </w:trPr>
        <w:tc>
          <w:tcPr>
            <w:tcW w:w="4660" w:type="dxa"/>
            <w:vAlign w:val="bottom"/>
            <w:gridSpan w:val="12"/>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60" w:type="dxa"/>
            <w:vAlign w:val="bottom"/>
            <w:gridSpan w:val="12"/>
          </w:tcPr>
          <w:p>
            <w:pPr>
              <w:spacing w:after="0"/>
              <w:rPr>
                <w:sz w:val="20"/>
                <w:szCs w:val="20"/>
                <w:color w:val="auto"/>
              </w:rPr>
            </w:pPr>
            <w:r>
              <w:rPr>
                <w:rFonts w:ascii="Arial" w:cs="Arial" w:eastAsia="Arial" w:hAnsi="Arial"/>
                <w:sz w:val="16"/>
                <w:szCs w:val="16"/>
                <w:color w:val="auto"/>
              </w:rPr>
              <w:t>not appear in the Interactive Data File because its XBRL tags</w:t>
            </w: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gridSpan w:val="12"/>
          </w:tcPr>
          <w:p>
            <w:pPr>
              <w:spacing w:after="0"/>
              <w:rPr>
                <w:sz w:val="20"/>
                <w:szCs w:val="20"/>
                <w:color w:val="auto"/>
              </w:rPr>
            </w:pPr>
            <w:r>
              <w:rPr>
                <w:rFonts w:ascii="Arial" w:cs="Arial" w:eastAsia="Arial" w:hAnsi="Arial"/>
                <w:sz w:val="16"/>
                <w:szCs w:val="16"/>
                <w:color w:val="auto"/>
              </w:rPr>
              <w:t>are embedded within the Inline XBRL document.</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66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71"/>
        </w:trPr>
        <w:tc>
          <w:tcPr>
            <w:tcW w:w="466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w:t>
            </w:r>
          </w:p>
        </w:tc>
        <w:tc>
          <w:tcPr>
            <w:tcW w:w="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466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66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466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66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71"/>
        </w:trPr>
        <w:tc>
          <w:tcPr>
            <w:tcW w:w="466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466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-4267200</wp:posOffset>
            </wp:positionV>
            <wp:extent cx="7020560" cy="4286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020560" cy="4286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380"/>
            <w:col w:w="10060"/>
          </w:cols>
          <w:pgMar w:left="320" w:top="125" w:right="35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Incorporated by Reference</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 or</w:t>
            </w:r>
          </w:p>
        </w:tc>
        <w:tc>
          <w:tcPr>
            <w:tcW w:w="0" w:type="dxa"/>
            <w:vAlign w:val="bottom"/>
          </w:tcPr>
          <w:p>
            <w:pPr>
              <w:spacing w:after="0"/>
              <w:rPr>
                <w:sz w:val="1"/>
                <w:szCs w:val="1"/>
                <w:color w:val="auto"/>
              </w:rPr>
            </w:pPr>
          </w:p>
        </w:tc>
      </w:tr>
      <w:tr>
        <w:trPr>
          <w:trHeight w:val="142"/>
        </w:trPr>
        <w:tc>
          <w:tcPr>
            <w:tcW w:w="1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Exhibit</w:t>
            </w: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SEC File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gridSpan w:val="2"/>
            <w:vMerge w:val="continue"/>
          </w:tcPr>
          <w:p>
            <w:pPr>
              <w:spacing w:after="0"/>
              <w:rPr>
                <w:sz w:val="14"/>
                <w:szCs w:val="14"/>
                <w:color w:val="auto"/>
              </w:rPr>
            </w:pPr>
          </w:p>
        </w:tc>
        <w:tc>
          <w:tcPr>
            <w:tcW w:w="4560" w:type="dxa"/>
            <w:vAlign w:val="bottom"/>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100" w:type="dxa"/>
            <w:vAlign w:val="bottom"/>
            <w:vMerge w:val="restart"/>
          </w:tcPr>
          <w:p>
            <w:pPr>
              <w:spacing w:after="0"/>
              <w:rPr>
                <w:sz w:val="14"/>
                <w:szCs w:val="14"/>
                <w:color w:val="auto"/>
              </w:rPr>
            </w:pPr>
          </w:p>
        </w:tc>
        <w:tc>
          <w:tcPr>
            <w:tcW w:w="6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Form</w:t>
            </w:r>
          </w:p>
        </w:tc>
        <w:tc>
          <w:tcPr>
            <w:tcW w:w="100" w:type="dxa"/>
            <w:vAlign w:val="bottom"/>
            <w:vMerge w:val="restart"/>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Exhibit</w:t>
            </w:r>
          </w:p>
        </w:tc>
        <w:tc>
          <w:tcPr>
            <w:tcW w:w="10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Filing Date</w:t>
            </w:r>
          </w:p>
        </w:tc>
        <w:tc>
          <w:tcPr>
            <w:tcW w:w="120" w:type="dxa"/>
            <w:vAlign w:val="bottom"/>
            <w:vMerge w:val="restart"/>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16"/>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20" w:type="dxa"/>
            <w:vAlign w:val="bottom"/>
            <w:tcBorders>
              <w:bottom w:val="single" w:sz="8" w:color="DBDBDB"/>
            </w:tcBorders>
          </w:tcPr>
          <w:p>
            <w:pPr>
              <w:spacing w:after="0"/>
              <w:rPr>
                <w:sz w:val="18"/>
                <w:szCs w:val="18"/>
                <w:color w:val="auto"/>
              </w:rPr>
            </w:pPr>
          </w:p>
        </w:tc>
        <w:tc>
          <w:tcPr>
            <w:tcW w:w="4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BDBDB"/>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BDBDB"/>
            </w:tcBorders>
            <w:vMerge w:val="continue"/>
          </w:tcPr>
          <w:p>
            <w:pPr>
              <w:spacing w:after="0"/>
              <w:rPr>
                <w:sz w:val="18"/>
                <w:szCs w:val="18"/>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Number</w:t>
            </w:r>
          </w:p>
        </w:tc>
        <w:tc>
          <w:tcPr>
            <w:tcW w:w="120" w:type="dxa"/>
            <w:vAlign w:val="bottom"/>
            <w:tcBorders>
              <w:bottom w:val="single" w:sz="8" w:color="DBDBDB"/>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BDBDB"/>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DBDBDB"/>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95"/>
        </w:trPr>
        <w:tc>
          <w:tcPr>
            <w:tcW w:w="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DBDBDB"/>
          </w:tcPr>
          <w:p>
            <w:pPr>
              <w:spacing w:after="0"/>
              <w:rPr>
                <w:sz w:val="16"/>
                <w:szCs w:val="16"/>
                <w:color w:val="auto"/>
              </w:rPr>
            </w:pPr>
          </w:p>
        </w:tc>
        <w:tc>
          <w:tcPr>
            <w:tcW w:w="466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Cover Page Interactive Data File (formatted as Inline XBRL</w:t>
            </w:r>
          </w:p>
        </w:tc>
        <w:tc>
          <w:tcPr>
            <w:tcW w:w="6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24"/>
        </w:trPr>
        <w:tc>
          <w:tcPr>
            <w:tcW w:w="94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466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and contained in Exhibit 101).</w:t>
            </w:r>
          </w:p>
        </w:tc>
        <w:tc>
          <w:tcPr>
            <w:tcW w:w="66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60" w:right="840" w:hanging="1046"/>
        <w:spacing w:after="0" w:line="281"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Annexes, schedules and certain exhibits have been omitted pursuant to Item 601(a)(5) of Regulation S-K. The Company hereby undertakes to furnish supplemental copies of any of the omitted annexes, schedules and exhibits upon request by the SEC.</w:t>
      </w:r>
    </w:p>
    <w:p>
      <w:pPr>
        <w:spacing w:after="0" w:line="15" w:lineRule="exact"/>
        <w:rPr>
          <w:sz w:val="20"/>
          <w:szCs w:val="20"/>
          <w:color w:val="auto"/>
        </w:rPr>
      </w:pPr>
    </w:p>
    <w:p>
      <w:pPr>
        <w:ind w:left="1160" w:hanging="1046"/>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EXPAND ENERGY CORPORATION</w:t>
      </w:r>
    </w:p>
    <w:p>
      <w:pPr>
        <w:spacing w:after="0" w:line="171" w:lineRule="exact"/>
        <w:rPr>
          <w:sz w:val="20"/>
          <w:szCs w:val="20"/>
          <w:color w:val="auto"/>
        </w:rPr>
      </w:pPr>
    </w:p>
    <w:p>
      <w:pPr>
        <w:ind w:left="60"/>
        <w:spacing w:after="0"/>
        <w:tabs>
          <w:tab w:leader="none" w:pos="5940" w:val="left"/>
          <w:tab w:leader="none" w:pos="6640" w:val="left"/>
        </w:tabs>
        <w:rPr>
          <w:sz w:val="20"/>
          <w:szCs w:val="20"/>
          <w:color w:val="auto"/>
        </w:rPr>
      </w:pPr>
      <w:r>
        <w:rPr>
          <w:rFonts w:ascii="Arial" w:cs="Arial" w:eastAsia="Arial" w:hAnsi="Arial"/>
          <w:sz w:val="18"/>
          <w:szCs w:val="18"/>
          <w:color w:val="auto"/>
        </w:rPr>
        <w:t>Date: April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MICHAEL A. WICHTERICH</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Michael A. Wichterich</w:t>
      </w:r>
    </w:p>
    <w:p>
      <w:pPr>
        <w:ind w:left="6660"/>
        <w:spacing w:after="0" w:line="203" w:lineRule="auto"/>
        <w:rPr>
          <w:sz w:val="20"/>
          <w:szCs w:val="20"/>
          <w:color w:val="auto"/>
        </w:rPr>
      </w:pPr>
      <w:r>
        <w:rPr>
          <w:rFonts w:ascii="Arial" w:cs="Arial" w:eastAsia="Arial" w:hAnsi="Arial"/>
          <w:sz w:val="18"/>
          <w:szCs w:val="18"/>
          <w:color w:val="auto"/>
        </w:rPr>
        <w:t>Chairman of the Board, Interim President and Chief</w:t>
      </w:r>
    </w:p>
    <w:p>
      <w:pPr>
        <w:ind w:left="666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5940" w:val="left"/>
          <w:tab w:leader="none" w:pos="6640" w:val="left"/>
        </w:tabs>
        <w:rPr>
          <w:sz w:val="20"/>
          <w:szCs w:val="20"/>
          <w:color w:val="auto"/>
        </w:rPr>
      </w:pPr>
      <w:r>
        <w:rPr>
          <w:rFonts w:ascii="Arial" w:cs="Arial" w:eastAsia="Arial" w:hAnsi="Arial"/>
          <w:sz w:val="18"/>
          <w:szCs w:val="18"/>
          <w:color w:val="auto"/>
        </w:rPr>
        <w:t>Date: April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MARCEL TEUNISSEN</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Marcel Teunissen</w:t>
      </w:r>
    </w:p>
    <w:p>
      <w:pPr>
        <w:ind w:left="66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0" w:name="page41"/>
    <w:bookmarkEnd w:id="40"/>
    <w:p>
      <w:pPr>
        <w:ind w:left="1016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A. Wichterich, certify that:</w:t>
      </w:r>
    </w:p>
    <w:p>
      <w:pPr>
        <w:spacing w:after="0" w:line="171"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Expand Energy Corporation;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0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7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87" w:lineRule="auto"/>
        <w:tabs>
          <w:tab w:leader="none" w:pos="10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April 28, 2026</w:t>
            </w:r>
          </w:p>
        </w:tc>
        <w:tc>
          <w:tcPr>
            <w:tcW w:w="7380" w:type="dxa"/>
            <w:vAlign w:val="bottom"/>
            <w:gridSpan w:val="2"/>
          </w:tcPr>
          <w:p>
            <w:pPr>
              <w:ind w:left="2700"/>
              <w:spacing w:after="0"/>
              <w:rPr>
                <w:sz w:val="20"/>
                <w:szCs w:val="20"/>
                <w:color w:val="auto"/>
              </w:rPr>
            </w:pPr>
            <w:r>
              <w:rPr>
                <w:rFonts w:ascii="Arial" w:cs="Arial" w:eastAsia="Arial" w:hAnsi="Arial"/>
                <w:sz w:val="18"/>
                <w:szCs w:val="18"/>
                <w:color w:val="auto"/>
              </w:rPr>
              <w:t>By: /s/ MICHAEL A. WICHTERICH</w:t>
            </w:r>
          </w:p>
        </w:tc>
      </w:tr>
      <w:tr>
        <w:trPr>
          <w:trHeight w:val="220"/>
        </w:trPr>
        <w:tc>
          <w:tcPr>
            <w:tcW w:w="3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A. Wichterich</w:t>
            </w:r>
          </w:p>
        </w:tc>
      </w:tr>
      <w:tr>
        <w:trPr>
          <w:trHeight w:val="189"/>
        </w:trPr>
        <w:tc>
          <w:tcPr>
            <w:tcW w:w="38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400" w:type="dxa"/>
            <w:vAlign w:val="bottom"/>
          </w:tcPr>
          <w:p>
            <w:pPr>
              <w:ind w:left="20"/>
              <w:spacing w:after="0" w:line="189" w:lineRule="exact"/>
              <w:rPr>
                <w:sz w:val="20"/>
                <w:szCs w:val="20"/>
                <w:color w:val="auto"/>
              </w:rPr>
            </w:pPr>
            <w:r>
              <w:rPr>
                <w:rFonts w:ascii="Arial" w:cs="Arial" w:eastAsia="Arial" w:hAnsi="Arial"/>
                <w:sz w:val="18"/>
                <w:szCs w:val="18"/>
                <w:i w:val="1"/>
                <w:iCs w:val="1"/>
                <w:color w:val="auto"/>
              </w:rPr>
              <w:t>Chairman of the Board, Interim President and Chief</w:t>
            </w:r>
          </w:p>
        </w:tc>
      </w:tr>
      <w:tr>
        <w:trPr>
          <w:trHeight w:val="237"/>
        </w:trPr>
        <w:tc>
          <w:tcPr>
            <w:tcW w:w="3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r>
    </w:tbl>
    <w:p>
      <w:pPr>
        <w:sectPr>
          <w:pgSz w:w="11900" w:h="16838" w:orient="portrait"/>
          <w:cols w:equalWidth="0" w:num="1">
            <w:col w:w="11240"/>
          </w:cols>
          <w:pgMar w:left="320" w:top="161" w:right="339" w:bottom="1440" w:gutter="0" w:footer="0" w:header="0"/>
        </w:sectPr>
      </w:pPr>
    </w:p>
    <w:bookmarkStart w:id="41" w:name="page42"/>
    <w:bookmarkEnd w:id="41"/>
    <w:p>
      <w:pPr>
        <w:ind w:left="1016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Marcel Teunissen, certify that:</w:t>
      </w:r>
    </w:p>
    <w:p>
      <w:pPr>
        <w:spacing w:after="0" w:line="171"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Expand Energy Corporation;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3"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0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7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87" w:lineRule="auto"/>
        <w:tabs>
          <w:tab w:leader="none" w:pos="109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April 28, 2026</w:t>
            </w:r>
          </w:p>
        </w:tc>
        <w:tc>
          <w:tcPr>
            <w:tcW w:w="7380" w:type="dxa"/>
            <w:vAlign w:val="bottom"/>
            <w:gridSpan w:val="2"/>
          </w:tcPr>
          <w:p>
            <w:pPr>
              <w:ind w:left="2700"/>
              <w:spacing w:after="0"/>
              <w:rPr>
                <w:sz w:val="20"/>
                <w:szCs w:val="20"/>
                <w:color w:val="auto"/>
              </w:rPr>
            </w:pPr>
            <w:r>
              <w:rPr>
                <w:rFonts w:ascii="Arial" w:cs="Arial" w:eastAsia="Arial" w:hAnsi="Arial"/>
                <w:sz w:val="18"/>
                <w:szCs w:val="18"/>
                <w:color w:val="auto"/>
              </w:rPr>
              <w:t>By: /s/ MARCEL TEUNISSEN</w:t>
            </w:r>
          </w:p>
        </w:tc>
      </w:tr>
      <w:tr>
        <w:trPr>
          <w:trHeight w:val="220"/>
        </w:trPr>
        <w:tc>
          <w:tcPr>
            <w:tcW w:w="3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Marcel Teunissen</w:t>
            </w:r>
          </w:p>
        </w:tc>
      </w:tr>
      <w:tr>
        <w:trPr>
          <w:trHeight w:val="237"/>
        </w:trPr>
        <w:tc>
          <w:tcPr>
            <w:tcW w:w="3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161" w:right="339" w:bottom="1440" w:gutter="0" w:footer="0" w:header="0"/>
        </w:sectPr>
      </w:pPr>
    </w:p>
    <w:bookmarkStart w:id="42" w:name="page43"/>
    <w:bookmarkEnd w:id="42"/>
    <w:p>
      <w:pPr>
        <w:ind w:left="1016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connection with the Quarterly Report of Expand Energy Corporation (the “Company”) on Form 10-Q for the quarterly period ended March 31, 2026 as filed with the Securities and Exchange Commission on the date hereof (the “Report”), I, Michael A. Wichterich, Chairman of the Board, Interim President and Chief Executive Officer of the Company, certify, pursuant to 18 U.S.C. § 1350, as adopted pursuant to</w:t>
      </w:r>
    </w:p>
    <w:p>
      <w:pPr>
        <w:spacing w:after="0" w:line="1"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906 of the Sarbanes-Oxley Act of 2002, that:</w:t>
      </w:r>
    </w:p>
    <w:p>
      <w:pPr>
        <w:spacing w:after="0" w:line="315" w:lineRule="exact"/>
        <w:rPr>
          <w:rFonts w:ascii="Arial" w:cs="Arial" w:eastAsia="Arial" w:hAnsi="Arial"/>
          <w:sz w:val="18"/>
          <w:szCs w:val="18"/>
          <w:color w:val="auto"/>
        </w:rPr>
      </w:pPr>
    </w:p>
    <w:p>
      <w:pPr>
        <w:ind w:left="960" w:hanging="628"/>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20" w:hanging="648"/>
        <w:spacing w:after="0" w:line="287" w:lineRule="auto"/>
        <w:tabs>
          <w:tab w:leader="none" w:pos="9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April 28, 2026</w:t>
            </w:r>
          </w:p>
        </w:tc>
        <w:tc>
          <w:tcPr>
            <w:tcW w:w="7380" w:type="dxa"/>
            <w:vAlign w:val="bottom"/>
            <w:gridSpan w:val="2"/>
          </w:tcPr>
          <w:p>
            <w:pPr>
              <w:ind w:left="2700"/>
              <w:spacing w:after="0"/>
              <w:rPr>
                <w:sz w:val="20"/>
                <w:szCs w:val="20"/>
                <w:color w:val="auto"/>
              </w:rPr>
            </w:pPr>
            <w:r>
              <w:rPr>
                <w:rFonts w:ascii="Arial" w:cs="Arial" w:eastAsia="Arial" w:hAnsi="Arial"/>
                <w:sz w:val="18"/>
                <w:szCs w:val="18"/>
                <w:color w:val="auto"/>
              </w:rPr>
              <w:t>By: /s/ MICHAEL A. WICHTERICH</w:t>
            </w:r>
          </w:p>
        </w:tc>
      </w:tr>
      <w:tr>
        <w:trPr>
          <w:trHeight w:val="220"/>
        </w:trPr>
        <w:tc>
          <w:tcPr>
            <w:tcW w:w="3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A. Wichterich</w:t>
            </w:r>
          </w:p>
        </w:tc>
      </w:tr>
      <w:tr>
        <w:trPr>
          <w:trHeight w:val="179"/>
        </w:trPr>
        <w:tc>
          <w:tcPr>
            <w:tcW w:w="38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400" w:type="dxa"/>
            <w:vAlign w:val="bottom"/>
          </w:tcPr>
          <w:p>
            <w:pPr>
              <w:ind w:left="20"/>
              <w:spacing w:after="0" w:line="179" w:lineRule="exact"/>
              <w:rPr>
                <w:sz w:val="20"/>
                <w:szCs w:val="20"/>
                <w:color w:val="auto"/>
              </w:rPr>
            </w:pPr>
            <w:r>
              <w:rPr>
                <w:rFonts w:ascii="Arial" w:cs="Arial" w:eastAsia="Arial" w:hAnsi="Arial"/>
                <w:sz w:val="18"/>
                <w:szCs w:val="18"/>
                <w:i w:val="1"/>
                <w:iCs w:val="1"/>
                <w:color w:val="auto"/>
              </w:rPr>
              <w:t>Chairman of the Board, Interim President and Chief</w:t>
            </w:r>
          </w:p>
        </w:tc>
      </w:tr>
      <w:tr>
        <w:trPr>
          <w:trHeight w:val="237"/>
        </w:trPr>
        <w:tc>
          <w:tcPr>
            <w:tcW w:w="3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r>
    </w:tbl>
    <w:p>
      <w:pPr>
        <w:sectPr>
          <w:pgSz w:w="11900" w:h="16838" w:orient="portrait"/>
          <w:cols w:equalWidth="0" w:num="1">
            <w:col w:w="11240"/>
          </w:cols>
          <w:pgMar w:left="320" w:top="161" w:right="339" w:bottom="1440" w:gutter="0" w:footer="0" w:header="0"/>
        </w:sectPr>
      </w:pPr>
    </w:p>
    <w:bookmarkStart w:id="43" w:name="page44"/>
    <w:bookmarkEnd w:id="43"/>
    <w:p>
      <w:pPr>
        <w:ind w:left="1016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Quarterly Report of Expand Energy Corporation (the “Company”) on Form 10-Q for the quarterly period ended March 31, 2026 as filed with the Securities and Exchange Commission on the date hereof (the “Report”), I, Marcel Teunissen, Executive Vice President and Chief Financial Officer of the Company, certify, pursuant to 18 U.S.C. § 1350, as adopted pursuant to § 906 of the Sarbanes-Oxley Act of 2002, that:</w:t>
      </w:r>
    </w:p>
    <w:p>
      <w:pPr>
        <w:spacing w:after="0" w:line="284" w:lineRule="exact"/>
        <w:rPr>
          <w:sz w:val="20"/>
          <w:szCs w:val="20"/>
          <w:color w:val="auto"/>
        </w:rPr>
      </w:pPr>
    </w:p>
    <w:p>
      <w:pPr>
        <w:ind w:left="960" w:hanging="62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20" w:hanging="648"/>
        <w:spacing w:after="0" w:line="287" w:lineRule="auto"/>
        <w:tabs>
          <w:tab w:leader="none" w:pos="9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April 28, 2026</w:t>
            </w:r>
          </w:p>
        </w:tc>
        <w:tc>
          <w:tcPr>
            <w:tcW w:w="7380" w:type="dxa"/>
            <w:vAlign w:val="bottom"/>
            <w:gridSpan w:val="2"/>
          </w:tcPr>
          <w:p>
            <w:pPr>
              <w:ind w:left="2700"/>
              <w:spacing w:after="0"/>
              <w:rPr>
                <w:sz w:val="20"/>
                <w:szCs w:val="20"/>
                <w:color w:val="auto"/>
              </w:rPr>
            </w:pPr>
            <w:r>
              <w:rPr>
                <w:rFonts w:ascii="Arial" w:cs="Arial" w:eastAsia="Arial" w:hAnsi="Arial"/>
                <w:sz w:val="18"/>
                <w:szCs w:val="18"/>
                <w:color w:val="auto"/>
              </w:rPr>
              <w:t>By: /s/ MARCEL TEUNISSEN</w:t>
            </w:r>
          </w:p>
        </w:tc>
      </w:tr>
      <w:tr>
        <w:trPr>
          <w:trHeight w:val="220"/>
        </w:trPr>
        <w:tc>
          <w:tcPr>
            <w:tcW w:w="3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Marcel Teunissen</w:t>
            </w:r>
          </w:p>
        </w:tc>
      </w:tr>
      <w:tr>
        <w:trPr>
          <w:trHeight w:val="237"/>
        </w:trPr>
        <w:tc>
          <w:tcPr>
            <w:tcW w:w="3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16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95.1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Section 1503(a) of the Dodd-Frank Wall Street Reform and Consumer Protection Act (the "Act") and Item 104 of Regulation S-K (17 CFR 229.104) require certain disclosures by companies required to file periodic reports under the Securities Exchange Act of 1934, as amended, that operate mines regulated under the Federal Mine Safety and Health Act of 1977 (as amended by the Mine Improvement and New Emergency Response Act of 2006, the "Mine Act").</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Geaux Prop LLC ("Geaux Prop") is a wholly owned indirect subsidiary of Expand Energy Corporation ("Expand Energy"). Between March 15, 2024 and October 31, 2024, Geaux Prop acquired surface and sand rights on approximately 700 acres in Red River Parish, Louisiana to construct and operate an in-field sand mine to support Expand Energy's exploration and development activities. Geaux Prop began operating the mine in January 2025 and is subject to regulation by the federal Mine Safety and Health Administration ("MSHA") under the Mine Act. MSHA inspects mining facilities on a regular basis and issues citations and orders when it believes a violation of the Mine Act has occurred.</w:t>
      </w:r>
    </w:p>
    <w:p>
      <w:pPr>
        <w:spacing w:after="0" w:line="12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 MSHA, upon determination that a violation of the Mine Act has occurred, may issue a citation or an order which generally proposes civil penalties or fines upon the mine operator. Citations and orders may be appealed with the potential of reduced or dismissed penalties.</w:t>
      </w:r>
    </w:p>
    <w:p>
      <w:pPr>
        <w:spacing w:after="0" w:line="9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table below reflects citations, orders, violations and proposed assessments issued to Geaux Prop by MSHA during the three month period ended March 31, 2026. Due to timing and other factors, the data may not agree with the mine data retrieval systems maintained by MSHA at www.MSHA.gov.</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Geaux Prop</w:t>
            </w:r>
          </w:p>
        </w:tc>
      </w:tr>
      <w:tr>
        <w:trPr>
          <w:trHeight w:val="181"/>
        </w:trPr>
        <w:tc>
          <w:tcPr>
            <w:tcW w:w="9840" w:type="dxa"/>
            <w:vAlign w:val="bottom"/>
          </w:tcPr>
          <w:p>
            <w:pPr>
              <w:spacing w:after="0"/>
              <w:rPr>
                <w:sz w:val="15"/>
                <w:szCs w:val="15"/>
                <w:color w:val="auto"/>
              </w:rPr>
            </w:pPr>
          </w:p>
        </w:tc>
        <w:tc>
          <w:tcPr>
            <w:tcW w:w="14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Sand Mine 16-</w:t>
            </w:r>
          </w:p>
        </w:tc>
      </w:tr>
      <w:tr>
        <w:trPr>
          <w:trHeight w:val="230"/>
        </w:trPr>
        <w:tc>
          <w:tcPr>
            <w:tcW w:w="9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01618</w:t>
            </w:r>
          </w:p>
        </w:tc>
      </w:tr>
      <w:tr>
        <w:trPr>
          <w:trHeight w:val="183"/>
        </w:trPr>
        <w:tc>
          <w:tcPr>
            <w:tcW w:w="9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104 significant and substantial violations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Section 104(b) orders</w:t>
            </w:r>
          </w:p>
        </w:tc>
        <w:tc>
          <w:tcPr>
            <w:tcW w:w="16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104(d) citations and orders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Section 110(b)(2) violations</w:t>
            </w:r>
          </w:p>
        </w:tc>
        <w:tc>
          <w:tcPr>
            <w:tcW w:w="16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107(a) orders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Total dollar value of MSHA proposed assessments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number of mining related fatalities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Received notice of pattern of violations under section 104(e)</w:t>
            </w:r>
          </w:p>
        </w:tc>
        <w:tc>
          <w:tcPr>
            <w:tcW w:w="16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95"/>
              </w:rPr>
              <w:t>No</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Received notice of potential to have such pattern under section 104(e)</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ind w:left="1000"/>
              <w:spacing w:after="0"/>
              <w:rPr>
                <w:sz w:val="20"/>
                <w:szCs w:val="20"/>
                <w:color w:val="auto"/>
              </w:rPr>
            </w:pPr>
            <w:r>
              <w:rPr>
                <w:rFonts w:ascii="Arial" w:cs="Arial" w:eastAsia="Arial" w:hAnsi="Arial"/>
                <w:sz w:val="18"/>
                <w:szCs w:val="18"/>
                <w:color w:val="auto"/>
                <w:w w:val="95"/>
              </w:rPr>
              <w:t>No</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Legal actions pending before the Federal Mine Safety and Health Review Commission as of last day of period</w:t>
            </w:r>
          </w:p>
        </w:tc>
        <w:tc>
          <w:tcPr>
            <w:tcW w:w="16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Legal actions instituted during period</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ind w:left="980"/>
              <w:spacing w:after="0"/>
              <w:rPr>
                <w:sz w:val="20"/>
                <w:szCs w:val="20"/>
                <w:color w:val="auto"/>
              </w:rPr>
            </w:pPr>
            <w:r>
              <w:rPr>
                <w:rFonts w:ascii="Arial" w:cs="Arial" w:eastAsia="Arial" w:hAnsi="Arial"/>
                <w:sz w:val="18"/>
                <w:szCs w:val="18"/>
                <w:color w:val="auto"/>
              </w:rPr>
              <w:t>—</w:t>
            </w:r>
          </w:p>
        </w:tc>
      </w:tr>
      <w:tr>
        <w:trPr>
          <w:trHeight w:val="239"/>
        </w:trPr>
        <w:tc>
          <w:tcPr>
            <w:tcW w:w="9840" w:type="dxa"/>
            <w:vAlign w:val="bottom"/>
          </w:tcPr>
          <w:p>
            <w:pPr>
              <w:ind w:left="20"/>
              <w:spacing w:after="0"/>
              <w:rPr>
                <w:sz w:val="20"/>
                <w:szCs w:val="20"/>
                <w:color w:val="auto"/>
              </w:rPr>
            </w:pPr>
            <w:r>
              <w:rPr>
                <w:rFonts w:ascii="Arial" w:cs="Arial" w:eastAsia="Arial" w:hAnsi="Arial"/>
                <w:sz w:val="18"/>
                <w:szCs w:val="18"/>
                <w:color w:val="auto"/>
              </w:rPr>
              <w:t>Legal actions resolved during period</w:t>
            </w:r>
          </w:p>
        </w:tc>
        <w:tc>
          <w:tcPr>
            <w:tcW w:w="160" w:type="dxa"/>
            <w:vAlign w:val="bottom"/>
          </w:tcPr>
          <w:p>
            <w:pPr>
              <w:spacing w:after="0"/>
              <w:rPr>
                <w:sz w:val="20"/>
                <w:szCs w:val="20"/>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sectPr>
      <w:pgSz w:w="11900" w:h="16838" w:orient="portrait"/>
      <w:cols w:equalWidth="0" w:num="1">
        <w:col w:w="11240"/>
      </w:cols>
      <w:pgMar w:left="320" w:top="12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9"/>
    </w:lvl>
  </w:abstractNum>
  <w:abstractNum w:abstractNumId="10">
    <w:nsid w:val="7C83E458"/>
    <w:multiLevelType w:val="hybridMultilevel"/>
    <w:lvl w:ilvl="0">
      <w:lvlJc w:val="left"/>
      <w:lvlText w:val="%1."/>
      <w:numFmt w:val="decimal"/>
      <w:start w:val="10"/>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decimal"/>
      <w:start w:val="13"/>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01"/>
    </w:lvl>
  </w:abstractNum>
  <w:abstractNum w:abstractNumId="18">
    <w:nsid w:val="2D1D5AE9"/>
    <w:multiLevelType w:val="hybridMultilevel"/>
    <w:lvl w:ilvl="0">
      <w:lvlJc w:val="left"/>
      <w:lvlText w:val="%1"/>
      <w:numFmt w:val="decimal"/>
      <w:start w:val="101"/>
    </w:lvl>
  </w:abstractNum>
  <w:abstractNum w:abstractNumId="19">
    <w:nsid w:val="6763845E"/>
    <w:multiLevelType w:val="hybridMultilevel"/>
    <w:lvl w:ilvl="0">
      <w:lvlJc w:val="left"/>
      <w:lvlText w:val="%1"/>
      <w:numFmt w:val="decimal"/>
      <w:start w:val="101"/>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
      <w:numFmt w:val="bullet"/>
      <w:start w:val="1"/>
    </w:lvl>
    <w:lvl w:ilvl="1">
      <w:lvlJc w:val="left"/>
      <w:lvlText w:val="%2."/>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6"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24" Type="http://schemas.openxmlformats.org/officeDocument/2006/relationships/hyperlink" Target="https://www.sec.gov/Archives/edgar/data/895126/000089512626000011/exe-20251231.htm" TargetMode="External"/><Relationship Id="rId85" Type="http://schemas.openxmlformats.org/officeDocument/2006/relationships/hyperlink" Target="https://www.sec.gov/Archives/edgar/data/0000895126/000089512621000016/ex212021-01x16confirmation.htm" TargetMode="External"/><Relationship Id="rId87" Type="http://schemas.openxmlformats.org/officeDocument/2006/relationships/hyperlink" Target="https://www.sec.gov/Archives/edgar/data/895126/000110465924003344/tm243107d1_ex2-1.htm" TargetMode="External"/><Relationship Id="rId88" Type="http://schemas.openxmlformats.org/officeDocument/2006/relationships/hyperlink" Target="https://www.sec.gov/Archives/edgar/data/895126/000110465924104976/tm2425151d1_ex3-1.htm" TargetMode="External"/><Relationship Id="rId89" Type="http://schemas.openxmlformats.org/officeDocument/2006/relationships/hyperlink" Target="https://www.sec.gov/Archives/edgar/data/895126/000110465924104976/tm2425151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2026-04-28T15:35:47Z</dcterms:created>
  <dcterms:modified xsi:type="dcterms:W3CDTF">2026-04-28T15:35:47Z</dcterms:modified>
</cp:coreProperties>
</file>