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83185</wp:posOffset>
            </wp:positionV>
            <wp:extent cx="166306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EXPAND ENERGY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51435</wp:posOffset>
            </wp:positionV>
            <wp:extent cx="7046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87"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4160" w:type="dxa"/>
            <w:vAlign w:val="bottom"/>
            <w:gridSpan w:val="5"/>
          </w:tcPr>
          <w:p>
            <w:pPr>
              <w:ind w:left="380"/>
              <w:spacing w:after="0"/>
              <w:rPr>
                <w:sz w:val="20"/>
                <w:szCs w:val="20"/>
                <w:color w:val="auto"/>
              </w:rPr>
            </w:pPr>
            <w:r>
              <w:rPr>
                <w:rFonts w:ascii="Arial" w:cs="Arial" w:eastAsia="Arial" w:hAnsi="Arial"/>
                <w:sz w:val="16"/>
                <w:szCs w:val="16"/>
                <w:color w:val="auto"/>
              </w:rPr>
              <w:t>(Exact name of registrant as specified in its Charter)</w:t>
            </w:r>
          </w:p>
        </w:tc>
        <w:tc>
          <w:tcPr>
            <w:tcW w:w="3640" w:type="dxa"/>
            <w:vAlign w:val="bottom"/>
          </w:tcPr>
          <w:p>
            <w:pPr>
              <w:spacing w:after="0"/>
              <w:rPr>
                <w:sz w:val="18"/>
                <w:szCs w:val="18"/>
                <w:color w:val="auto"/>
              </w:rPr>
            </w:pPr>
          </w:p>
        </w:tc>
      </w:tr>
      <w:tr>
        <w:trPr>
          <w:trHeight w:val="255"/>
        </w:trPr>
        <w:tc>
          <w:tcPr>
            <w:tcW w:w="330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b w:val="1"/>
                <w:bCs w:val="1"/>
                <w:color w:val="auto"/>
              </w:rPr>
              <w:t>Oklahoma</w:t>
            </w:r>
          </w:p>
        </w:tc>
        <w:tc>
          <w:tcPr>
            <w:tcW w:w="5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001-13726</w:t>
            </w:r>
          </w:p>
        </w:tc>
        <w:tc>
          <w:tcPr>
            <w:tcW w:w="140" w:type="dxa"/>
            <w:vAlign w:val="bottom"/>
          </w:tcPr>
          <w:p>
            <w:pPr>
              <w:spacing w:after="0"/>
              <w:rPr>
                <w:sz w:val="22"/>
                <w:szCs w:val="22"/>
                <w:color w:val="auto"/>
              </w:rPr>
            </w:pPr>
          </w:p>
        </w:tc>
        <w:tc>
          <w:tcPr>
            <w:tcW w:w="364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73-1395733</w:t>
            </w:r>
          </w:p>
        </w:tc>
      </w:tr>
      <w:tr>
        <w:trPr>
          <w:trHeight w:val="199"/>
        </w:trPr>
        <w:tc>
          <w:tcPr>
            <w:tcW w:w="3300" w:type="dxa"/>
            <w:vAlign w:val="bottom"/>
          </w:tcPr>
          <w:p>
            <w:pPr>
              <w:jc w:val="center"/>
              <w:ind w:left="459"/>
              <w:spacing w:after="0"/>
              <w:rPr>
                <w:sz w:val="20"/>
                <w:szCs w:val="20"/>
                <w:color w:val="auto"/>
              </w:rPr>
            </w:pPr>
            <w:r>
              <w:rPr>
                <w:rFonts w:ascii="Arial" w:cs="Arial" w:eastAsia="Arial" w:hAnsi="Arial"/>
                <w:sz w:val="16"/>
                <w:szCs w:val="16"/>
                <w:color w:val="auto"/>
              </w:rPr>
              <w:t>(State or other jurisdiction of</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gridSpan w:val="3"/>
          </w:tcPr>
          <w:p>
            <w:pPr>
              <w:jc w:val="center"/>
              <w:ind w:right="160"/>
              <w:spacing w:after="0"/>
              <w:rPr>
                <w:sz w:val="20"/>
                <w:szCs w:val="20"/>
                <w:color w:val="auto"/>
              </w:rPr>
            </w:pPr>
            <w:r>
              <w:rPr>
                <w:rFonts w:ascii="Arial" w:cs="Arial" w:eastAsia="Arial" w:hAnsi="Arial"/>
                <w:sz w:val="16"/>
                <w:szCs w:val="16"/>
                <w:color w:val="auto"/>
              </w:rPr>
              <w:t>(Commission File Number)</w:t>
            </w:r>
          </w:p>
        </w:tc>
        <w:tc>
          <w:tcPr>
            <w:tcW w:w="36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15"/>
        </w:trPr>
        <w:tc>
          <w:tcPr>
            <w:tcW w:w="3300" w:type="dxa"/>
            <w:vAlign w:val="bottom"/>
          </w:tcPr>
          <w:p>
            <w:pPr>
              <w:jc w:val="center"/>
              <w:ind w:left="459"/>
              <w:spacing w:after="0"/>
              <w:rPr>
                <w:sz w:val="20"/>
                <w:szCs w:val="20"/>
                <w:color w:val="auto"/>
              </w:rPr>
            </w:pPr>
            <w:r>
              <w:rPr>
                <w:rFonts w:ascii="Arial" w:cs="Arial" w:eastAsia="Arial" w:hAnsi="Arial"/>
                <w:sz w:val="16"/>
                <w:szCs w:val="16"/>
                <w:color w:val="auto"/>
              </w:rPr>
              <w:t>incorporation)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68"/>
        </w:trPr>
        <w:tc>
          <w:tcPr>
            <w:tcW w:w="3300" w:type="dxa"/>
            <w:vAlign w:val="bottom"/>
          </w:tcPr>
          <w:p>
            <w:pPr>
              <w:ind w:left="1240"/>
              <w:spacing w:after="0"/>
              <w:rPr>
                <w:sz w:val="20"/>
                <w:szCs w:val="20"/>
                <w:color w:val="auto"/>
              </w:rPr>
            </w:pPr>
            <w:r>
              <w:rPr>
                <w:rFonts w:ascii="Arial" w:cs="Arial" w:eastAsia="Arial" w:hAnsi="Arial"/>
                <w:sz w:val="16"/>
                <w:szCs w:val="16"/>
                <w:b w:val="1"/>
                <w:bCs w:val="1"/>
                <w:color w:val="auto"/>
              </w:rPr>
              <w:t>10000 Energy Drive</w:t>
            </w: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ind w:left="600"/>
              <w:spacing w:after="0"/>
              <w:rPr>
                <w:sz w:val="20"/>
                <w:szCs w:val="20"/>
                <w:color w:val="auto"/>
              </w:rPr>
            </w:pPr>
            <w:r>
              <w:rPr>
                <w:rFonts w:ascii="Arial" w:cs="Arial" w:eastAsia="Arial" w:hAnsi="Arial"/>
                <w:sz w:val="16"/>
                <w:szCs w:val="16"/>
                <w:b w:val="1"/>
                <w:bCs w:val="1"/>
                <w:color w:val="auto"/>
              </w:rPr>
              <w:t>Spring</w:t>
            </w:r>
          </w:p>
        </w:tc>
        <w:tc>
          <w:tcPr>
            <w:tcW w:w="2280" w:type="dxa"/>
            <w:vAlign w:val="bottom"/>
            <w:gridSpan w:val="2"/>
          </w:tcPr>
          <w:p>
            <w:pPr>
              <w:ind w:left="110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right"/>
              <w:ind w:right="1519"/>
              <w:spacing w:after="0"/>
              <w:rPr>
                <w:sz w:val="20"/>
                <w:szCs w:val="20"/>
                <w:color w:val="auto"/>
              </w:rPr>
            </w:pPr>
            <w:r>
              <w:rPr>
                <w:rFonts w:ascii="Arial" w:cs="Arial" w:eastAsia="Arial" w:hAnsi="Arial"/>
                <w:sz w:val="16"/>
                <w:szCs w:val="16"/>
                <w:b w:val="1"/>
                <w:bCs w:val="1"/>
                <w:color w:val="auto"/>
              </w:rPr>
              <w:t>77389</w:t>
            </w:r>
          </w:p>
        </w:tc>
      </w:tr>
      <w:tr>
        <w:trPr>
          <w:trHeight w:val="225"/>
        </w:trPr>
        <w:tc>
          <w:tcPr>
            <w:tcW w:w="5180" w:type="dxa"/>
            <w:vAlign w:val="bottom"/>
            <w:tcBorders>
              <w:top w:val="single" w:sz="8" w:color="auto"/>
            </w:tcBorders>
            <w:gridSpan w:val="4"/>
          </w:tcPr>
          <w:p>
            <w:pPr>
              <w:ind w:left="2260"/>
              <w:spacing w:after="0"/>
              <w:rPr>
                <w:sz w:val="20"/>
                <w:szCs w:val="20"/>
                <w:color w:val="auto"/>
              </w:rPr>
            </w:pPr>
            <w:r>
              <w:rPr>
                <w:rFonts w:ascii="Arial" w:cs="Arial" w:eastAsia="Arial" w:hAnsi="Arial"/>
                <w:sz w:val="16"/>
                <w:szCs w:val="16"/>
                <w:color w:val="auto"/>
              </w:rPr>
              <w:t>(Address of principal executive offices)</w:t>
            </w:r>
          </w:p>
        </w:tc>
        <w:tc>
          <w:tcPr>
            <w:tcW w:w="2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251"/>
        </w:trPr>
        <w:tc>
          <w:tcPr>
            <w:tcW w:w="3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140" w:type="dxa"/>
            <w:vAlign w:val="bottom"/>
          </w:tcPr>
          <w:p>
            <w:pPr>
              <w:jc w:val="right"/>
              <w:ind w:right="839"/>
              <w:spacing w:after="0"/>
              <w:rPr>
                <w:sz w:val="20"/>
                <w:szCs w:val="20"/>
                <w:color w:val="auto"/>
              </w:rPr>
            </w:pPr>
            <w:r>
              <w:rPr>
                <w:rFonts w:ascii="Arial" w:cs="Arial" w:eastAsia="Arial" w:hAnsi="Arial"/>
                <w:sz w:val="16"/>
                <w:szCs w:val="16"/>
                <w:b w:val="1"/>
                <w:bCs w:val="1"/>
                <w:color w:val="auto"/>
              </w:rPr>
              <w:t>(346) 535-0990</w:t>
            </w:r>
          </w:p>
        </w:tc>
        <w:tc>
          <w:tcPr>
            <w:tcW w:w="140" w:type="dxa"/>
            <w:vAlign w:val="bottom"/>
          </w:tcPr>
          <w:p>
            <w:pPr>
              <w:spacing w:after="0"/>
              <w:rPr>
                <w:sz w:val="21"/>
                <w:szCs w:val="21"/>
                <w:color w:val="auto"/>
              </w:rPr>
            </w:pPr>
          </w:p>
        </w:tc>
        <w:tc>
          <w:tcPr>
            <w:tcW w:w="36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5080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pacing w:after="0" w:line="311"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185"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Soliciting material pursuant to Rule 14a-12 under the Exchange Act (17 CFR 240.14a-12)</w:t>
      </w:r>
    </w:p>
    <w:p>
      <w:pPr>
        <w:spacing w:after="0" w:line="91"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91"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Trading Symbol</w:t>
            </w:r>
          </w:p>
        </w:tc>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 per share</w:t>
            </w:r>
          </w:p>
        </w:tc>
        <w:tc>
          <w:tcPr>
            <w:tcW w:w="160" w:type="dxa"/>
            <w:vAlign w:val="bottom"/>
          </w:tcPr>
          <w:p>
            <w:pPr>
              <w:spacing w:after="0"/>
              <w:rPr>
                <w:sz w:val="18"/>
                <w:szCs w:val="18"/>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EXE</w:t>
            </w:r>
          </w:p>
        </w:tc>
        <w:tc>
          <w:tcPr>
            <w:tcW w:w="140" w:type="dxa"/>
            <w:vAlign w:val="bottom"/>
          </w:tcPr>
          <w:p>
            <w:pPr>
              <w:spacing w:after="0"/>
              <w:rPr>
                <w:sz w:val="18"/>
                <w:szCs w:val="18"/>
                <w:color w:val="auto"/>
              </w:rPr>
            </w:pPr>
          </w:p>
        </w:tc>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The Nasdaq Stock Market LLC</w:t>
            </w:r>
          </w:p>
        </w:tc>
      </w:tr>
    </w:tbl>
    <w:p>
      <w:pPr>
        <w:spacing w:after="0" w:line="200" w:lineRule="exact"/>
        <w:rPr>
          <w:sz w:val="24"/>
          <w:szCs w:val="24"/>
          <w:color w:val="auto"/>
        </w:rPr>
      </w:pPr>
    </w:p>
    <w:p>
      <w:pPr>
        <w:sectPr>
          <w:pgSz w:w="11900" w:h="16838" w:orient="portrait"/>
          <w:cols w:equalWidth="0" w:num="1">
            <w:col w:w="11240"/>
          </w:cols>
          <w:pgMar w:left="320" w:top="1440" w:right="339" w:bottom="1440" w:gutter="0" w:footer="0" w:header="0"/>
        </w:sectPr>
      </w:pPr>
    </w:p>
    <w:p>
      <w:pPr>
        <w:spacing w:after="0" w:line="57" w:lineRule="exact"/>
        <w:rPr>
          <w:sz w:val="24"/>
          <w:szCs w:val="24"/>
          <w:color w:val="auto"/>
        </w:rPr>
      </w:pPr>
    </w:p>
    <w:p>
      <w:pPr>
        <w:ind w:left="20" w:right="220"/>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 w:lineRule="exact"/>
        <w:rPr>
          <w:sz w:val="24"/>
          <w:szCs w:val="24"/>
          <w:color w:val="auto"/>
        </w:rPr>
      </w:pPr>
    </w:p>
    <w:p>
      <w:pPr>
        <w:ind w:left="8660"/>
        <w:spacing w:after="0"/>
        <w:rPr>
          <w:sz w:val="20"/>
          <w:szCs w:val="20"/>
          <w:color w:val="auto"/>
        </w:rPr>
      </w:pPr>
      <w:r>
        <w:rPr>
          <w:rFonts w:ascii="Arial" w:cs="Arial" w:eastAsia="Arial" w:hAnsi="Arial"/>
          <w:sz w:val="16"/>
          <w:szCs w:val="16"/>
          <w:color w:val="auto"/>
        </w:rPr>
        <w:t>Emerging growth company</w:t>
      </w:r>
    </w:p>
    <w:p>
      <w:pPr>
        <w:spacing w:after="0" w:line="140" w:lineRule="exact"/>
        <w:rPr>
          <w:sz w:val="24"/>
          <w:szCs w:val="24"/>
          <w:color w:val="auto"/>
        </w:rPr>
      </w:pPr>
    </w:p>
    <w:p>
      <w:pPr>
        <w:ind w:left="20" w:right="300"/>
        <w:spacing w:after="0" w:line="30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580" w:space="220"/>
            <w:col w:w="4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Expand Energy Corporation (the "Company") held its 2026 Annual Meeting of Shareholders (the "Annual Meeting") on June 4, 2026. The final voting results for the three proposals voted on at the Annual Meeting are disclosed below.</w:t>
      </w:r>
    </w:p>
    <w:p>
      <w:pPr>
        <w:spacing w:after="0" w:line="180" w:lineRule="exact"/>
        <w:rPr>
          <w:sz w:val="20"/>
          <w:szCs w:val="20"/>
          <w:color w:val="auto"/>
        </w:rPr>
      </w:pPr>
    </w:p>
    <w:p>
      <w:pPr>
        <w:jc w:val="both"/>
        <w:ind w:left="340" w:hanging="332"/>
        <w:spacing w:after="0" w:line="268" w:lineRule="auto"/>
        <w:tabs>
          <w:tab w:leader="none" w:pos="366"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Election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elected each of the 9 directors nominated by the Company’s Board of Directors and listed below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as a director of the Company until the next annual meeting of shareholders or until his or her successor is duly elected and qualified.</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Director Nominee</w:t>
            </w:r>
          </w:p>
        </w:tc>
        <w:tc>
          <w:tcPr>
            <w:tcW w:w="100" w:type="dxa"/>
            <w:vAlign w:val="bottom"/>
          </w:tcPr>
          <w:p>
            <w:pPr>
              <w:spacing w:after="0"/>
              <w:rPr>
                <w:sz w:val="20"/>
                <w:szCs w:val="20"/>
                <w:color w:val="auto"/>
              </w:rPr>
            </w:pPr>
          </w:p>
        </w:tc>
        <w:tc>
          <w:tcPr>
            <w:tcW w:w="19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Votes For</w:t>
            </w:r>
          </w:p>
        </w:tc>
        <w:tc>
          <w:tcPr>
            <w:tcW w:w="80" w:type="dxa"/>
            <w:vAlign w:val="bottom"/>
          </w:tcPr>
          <w:p>
            <w:pPr>
              <w:spacing w:after="0"/>
              <w:rPr>
                <w:sz w:val="20"/>
                <w:szCs w:val="20"/>
                <w:color w:val="auto"/>
              </w:rPr>
            </w:pPr>
          </w:p>
        </w:tc>
        <w:tc>
          <w:tcPr>
            <w:tcW w:w="19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Votes Against</w:t>
            </w:r>
          </w:p>
        </w:tc>
        <w:tc>
          <w:tcPr>
            <w:tcW w:w="100" w:type="dxa"/>
            <w:vAlign w:val="bottom"/>
          </w:tcPr>
          <w:p>
            <w:pPr>
              <w:spacing w:after="0"/>
              <w:rPr>
                <w:sz w:val="20"/>
                <w:szCs w:val="20"/>
                <w:color w:val="auto"/>
              </w:rPr>
            </w:pPr>
          </w:p>
        </w:tc>
        <w:tc>
          <w:tcPr>
            <w:tcW w:w="19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Abstentions</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312"/>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Timothy S. Duncan</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182,032,950</w:t>
            </w:r>
          </w:p>
        </w:tc>
        <w:tc>
          <w:tcPr>
            <w:tcW w:w="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1,852,237</w:t>
            </w:r>
          </w:p>
        </w:tc>
        <w:tc>
          <w:tcPr>
            <w:tcW w:w="1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110,699</w:t>
            </w:r>
          </w:p>
        </w:tc>
        <w:tc>
          <w:tcPr>
            <w:tcW w:w="1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20,458,167</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Benjamin C. Duster, IV</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183,532,478</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354,559</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108,849</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20,458,167</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Sarah A. Emerson</w:t>
            </w:r>
          </w:p>
        </w:tc>
        <w:tc>
          <w:tcPr>
            <w:tcW w:w="1920" w:type="dxa"/>
            <w:vAlign w:val="bottom"/>
          </w:tcPr>
          <w:p>
            <w:pPr>
              <w:jc w:val="center"/>
              <w:spacing w:after="0"/>
              <w:rPr>
                <w:sz w:val="20"/>
                <w:szCs w:val="20"/>
                <w:color w:val="auto"/>
              </w:rPr>
            </w:pPr>
            <w:r>
              <w:rPr>
                <w:rFonts w:ascii="Arial" w:cs="Arial" w:eastAsia="Arial" w:hAnsi="Arial"/>
                <w:sz w:val="18"/>
                <w:szCs w:val="18"/>
                <w:color w:val="auto"/>
                <w:w w:val="97"/>
              </w:rPr>
              <w:t>183,111,038</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772,273</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112,575</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20,458,167</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Matthew M. Gallagher</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166,148,191</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17,736,193</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5"/>
              </w:rPr>
              <w:t>111,502</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20,458,167</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S.P. “Chip” Johnson, IV</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182,021,392</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1,862,391</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112,103</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20,458,167</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Catherine A. Kehr</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182,726,813</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1,155,084</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113,989</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20,458,167</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Shameek Konar</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183,400,504</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481,469</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113,913</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20,458,167</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Brian Steck</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181,913,924</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1,971,062</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110,900</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20,458,167</w:t>
            </w:r>
          </w:p>
        </w:tc>
      </w:tr>
      <w:tr>
        <w:trPr>
          <w:trHeight w:val="23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Michael A. Wichterich</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180,576,996</w:t>
            </w:r>
          </w:p>
        </w:tc>
        <w:tc>
          <w:tcPr>
            <w:tcW w:w="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3,294,869</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124,021</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20,458,167</w:t>
            </w:r>
          </w:p>
        </w:tc>
      </w:tr>
    </w:tbl>
    <w:p>
      <w:pPr>
        <w:spacing w:after="0" w:line="200" w:lineRule="exact"/>
        <w:rPr>
          <w:sz w:val="20"/>
          <w:szCs w:val="20"/>
          <w:color w:val="auto"/>
        </w:rPr>
      </w:pPr>
    </w:p>
    <w:p>
      <w:pPr>
        <w:spacing w:after="0" w:line="344" w:lineRule="exact"/>
        <w:rPr>
          <w:sz w:val="20"/>
          <w:szCs w:val="20"/>
          <w:color w:val="auto"/>
        </w:rPr>
      </w:pPr>
    </w:p>
    <w:p>
      <w:pPr>
        <w:ind w:left="340" w:hanging="332"/>
        <w:spacing w:after="0" w:line="28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Advisory Vote to Approve Named Executive Officer Compensation</w:t>
      </w:r>
      <w:r>
        <w:rPr>
          <w:rFonts w:ascii="Arial" w:cs="Arial" w:eastAsia="Arial" w:hAnsi="Arial"/>
          <w:sz w:val="18"/>
          <w:szCs w:val="18"/>
          <w:color w:val="auto"/>
        </w:rPr>
        <w:t>. Shareholders approved, on a non-binding advisory basis,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the Company’s named executive officers for 2025.</w:t>
      </w:r>
    </w:p>
    <w:p>
      <w:pPr>
        <w:spacing w:after="0" w:line="72" w:lineRule="exact"/>
        <w:rPr>
          <w:sz w:val="20"/>
          <w:szCs w:val="20"/>
          <w:color w:val="auto"/>
        </w:rPr>
      </w:pPr>
    </w:p>
    <w:tbl>
      <w:tblPr>
        <w:tblLayout w:type="fixed"/>
        <w:tblInd w:w="1300" w:type="dxa"/>
        <w:tblCellMar>
          <w:top w:w="0" w:type="dxa"/>
          <w:left w:w="0" w:type="dxa"/>
          <w:bottom w:w="0" w:type="dxa"/>
          <w:right w:w="0" w:type="dxa"/>
        </w:tblCellMar>
      </w:tblPr>
      <w:tr>
        <w:trPr>
          <w:trHeight w:val="235"/>
        </w:trPr>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Votes For</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Votes Against</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Abstentions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321"/>
        </w:trPr>
        <w:tc>
          <w:tcPr>
            <w:tcW w:w="20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178,548,194</w:t>
            </w:r>
          </w:p>
        </w:tc>
        <w:tc>
          <w:tcPr>
            <w:tcW w:w="200" w:type="dxa"/>
            <w:vAlign w:val="bottom"/>
          </w:tcPr>
          <w:p>
            <w:pPr>
              <w:spacing w:after="0"/>
              <w:rPr>
                <w:sz w:val="24"/>
                <w:szCs w:val="24"/>
                <w:color w:val="auto"/>
              </w:rPr>
            </w:pPr>
          </w:p>
        </w:tc>
        <w:tc>
          <w:tcPr>
            <w:tcW w:w="20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5,243,424</w:t>
            </w:r>
          </w:p>
        </w:tc>
        <w:tc>
          <w:tcPr>
            <w:tcW w:w="180" w:type="dxa"/>
            <w:vAlign w:val="bottom"/>
          </w:tcPr>
          <w:p>
            <w:pPr>
              <w:spacing w:after="0"/>
              <w:rPr>
                <w:sz w:val="24"/>
                <w:szCs w:val="24"/>
                <w:color w:val="auto"/>
              </w:rPr>
            </w:pPr>
          </w:p>
        </w:tc>
        <w:tc>
          <w:tcPr>
            <w:tcW w:w="20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204,268</w:t>
            </w:r>
          </w:p>
        </w:tc>
        <w:tc>
          <w:tcPr>
            <w:tcW w:w="180" w:type="dxa"/>
            <w:vAlign w:val="bottom"/>
          </w:tcPr>
          <w:p>
            <w:pPr>
              <w:spacing w:after="0"/>
              <w:rPr>
                <w:sz w:val="24"/>
                <w:szCs w:val="24"/>
                <w:color w:val="auto"/>
              </w:rPr>
            </w:pPr>
          </w:p>
        </w:tc>
        <w:tc>
          <w:tcPr>
            <w:tcW w:w="20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20,458,167</w:t>
            </w:r>
          </w:p>
        </w:tc>
      </w:tr>
    </w:tbl>
    <w:p>
      <w:pPr>
        <w:spacing w:after="0" w:line="200" w:lineRule="exact"/>
        <w:rPr>
          <w:sz w:val="20"/>
          <w:szCs w:val="20"/>
          <w:color w:val="auto"/>
        </w:rPr>
      </w:pPr>
    </w:p>
    <w:p>
      <w:pPr>
        <w:spacing w:after="0" w:line="358" w:lineRule="exact"/>
        <w:rPr>
          <w:sz w:val="20"/>
          <w:szCs w:val="20"/>
          <w:color w:val="auto"/>
        </w:rPr>
      </w:pPr>
    </w:p>
    <w:p>
      <w:pPr>
        <w:ind w:left="340" w:hanging="332"/>
        <w:spacing w:after="0" w:line="287" w:lineRule="auto"/>
        <w:tabs>
          <w:tab w:leader="none" w:pos="379"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 of Appointment of PwC as Independent Auditor for 2026</w:t>
      </w:r>
      <w:r>
        <w:rPr>
          <w:rFonts w:ascii="Arial" w:cs="Arial" w:eastAsia="Arial" w:hAnsi="Arial"/>
          <w:sz w:val="18"/>
          <w:szCs w:val="18"/>
          <w:color w:val="auto"/>
        </w:rPr>
        <w:t>. Shareholders approved the proposal to ratify the appointment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PricewaterhouseCoopers LLP as the Company’s independent registered public accounting firm for 2026.</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Votes For</w:t>
            </w:r>
          </w:p>
        </w:tc>
        <w:tc>
          <w:tcPr>
            <w:tcW w:w="20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Votes Against</w:t>
            </w:r>
          </w:p>
        </w:tc>
        <w:tc>
          <w:tcPr>
            <w:tcW w:w="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Abstentions</w:t>
            </w:r>
          </w:p>
        </w:tc>
        <w:tc>
          <w:tcPr>
            <w:tcW w:w="18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c>
          <w:tcPr>
            <w:tcW w:w="1220" w:type="dxa"/>
            <w:vAlign w:val="bottom"/>
          </w:tcPr>
          <w:p>
            <w:pPr>
              <w:spacing w:after="0"/>
              <w:rPr>
                <w:sz w:val="20"/>
                <w:szCs w:val="20"/>
                <w:color w:val="auto"/>
              </w:rPr>
            </w:pPr>
          </w:p>
        </w:tc>
      </w:tr>
      <w:tr>
        <w:trPr>
          <w:trHeight w:val="321"/>
        </w:trPr>
        <w:tc>
          <w:tcPr>
            <w:tcW w:w="3320" w:type="dxa"/>
            <w:vAlign w:val="bottom"/>
            <w:gridSpan w:val="2"/>
          </w:tcPr>
          <w:p>
            <w:pPr>
              <w:jc w:val="right"/>
              <w:ind w:right="410"/>
              <w:spacing w:after="0"/>
              <w:rPr>
                <w:sz w:val="20"/>
                <w:szCs w:val="20"/>
                <w:color w:val="auto"/>
              </w:rPr>
            </w:pPr>
            <w:r>
              <w:rPr>
                <w:rFonts w:ascii="Arial" w:cs="Arial" w:eastAsia="Arial" w:hAnsi="Arial"/>
                <w:sz w:val="18"/>
                <w:szCs w:val="18"/>
                <w:color w:val="auto"/>
              </w:rPr>
              <w:t>192,751,958</w:t>
            </w:r>
          </w:p>
        </w:tc>
        <w:tc>
          <w:tcPr>
            <w:tcW w:w="200" w:type="dxa"/>
            <w:vAlign w:val="bottom"/>
          </w:tcPr>
          <w:p>
            <w:pPr>
              <w:spacing w:after="0"/>
              <w:rPr>
                <w:sz w:val="24"/>
                <w:szCs w:val="24"/>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11,582,447</w:t>
            </w:r>
          </w:p>
        </w:tc>
        <w:tc>
          <w:tcPr>
            <w:tcW w:w="180" w:type="dxa"/>
            <w:vAlign w:val="bottom"/>
          </w:tcPr>
          <w:p>
            <w:pPr>
              <w:spacing w:after="0"/>
              <w:rPr>
                <w:sz w:val="24"/>
                <w:szCs w:val="24"/>
                <w:color w:val="auto"/>
              </w:rPr>
            </w:pPr>
          </w:p>
        </w:tc>
        <w:tc>
          <w:tcPr>
            <w:tcW w:w="2060" w:type="dxa"/>
            <w:vAlign w:val="bottom"/>
          </w:tcPr>
          <w:p>
            <w:pPr>
              <w:jc w:val="right"/>
              <w:ind w:right="610"/>
              <w:spacing w:after="0"/>
              <w:rPr>
                <w:sz w:val="20"/>
                <w:szCs w:val="20"/>
                <w:color w:val="auto"/>
              </w:rPr>
            </w:pPr>
            <w:r>
              <w:rPr>
                <w:rFonts w:ascii="Arial" w:cs="Arial" w:eastAsia="Arial" w:hAnsi="Arial"/>
                <w:sz w:val="18"/>
                <w:szCs w:val="18"/>
                <w:color w:val="auto"/>
              </w:rPr>
              <w:t>119,648</w:t>
            </w:r>
          </w:p>
        </w:tc>
        <w:tc>
          <w:tcPr>
            <w:tcW w:w="180" w:type="dxa"/>
            <w:vAlign w:val="bottom"/>
          </w:tcPr>
          <w:p>
            <w:pPr>
              <w:spacing w:after="0"/>
              <w:rPr>
                <w:sz w:val="24"/>
                <w:szCs w:val="24"/>
                <w:color w:val="auto"/>
              </w:rPr>
            </w:pPr>
          </w:p>
        </w:tc>
        <w:tc>
          <w:tcPr>
            <w:tcW w:w="326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w:t>
            </w:r>
          </w:p>
        </w:tc>
      </w:tr>
      <w:tr>
        <w:trPr>
          <w:trHeight w:val="1353"/>
        </w:trPr>
        <w:tc>
          <w:tcPr>
            <w:tcW w:w="1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EXPAND ENERGY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CHRIS LACY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34925</wp:posOffset>
            </wp:positionV>
            <wp:extent cx="302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 Lacy</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Executive Vice President, General Counsel and Corporate</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2026</w:t>
      </w:r>
    </w:p>
    <w:sectPr>
      <w:pgSz w:w="11900" w:h="16838" w:orient="portrait"/>
      <w:cols w:equalWidth="0" w:num="1">
        <w:col w:w="11120"/>
      </w:cols>
      <w:pgMar w:left="320" w:top="140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2026-06-04T15:09:27Z</dcterms:created>
  <dcterms:modified xsi:type="dcterms:W3CDTF">2026-06-04T15:09:27Z</dcterms:modified>
</cp:coreProperties>
</file>