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845206.xml.htm"/>
      <w:bookmarkStart w:id="1" w:name="kswkform4_17708452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Wichterich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N. WESTERN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OKLAHOMA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EXPAND ENERGY Corp</w:t>
              </w:r>
            </w:hyperlink>
            <w:r>
              <w:rPr/>
              <w:t xml:space="preserve"> [ </w:t>
            </w:r>
            <w:r>
              <w:rPr>
                <w:rFonts w:ascii="Times;serif" w:hAnsi="Times;serif"/>
                <w:color w:val="0000FF"/>
                <w:sz w:val="24"/>
                <w:shd w:fill="FFFFFF" w:val="clear"/>
              </w:rPr>
              <w:t>EXE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16,856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81,498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3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16,856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16,856</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Expand common stock. The number of RSUs that may vest is prorated based on the Reporting Person's time served as Interim President and Chief Executive Officer during the one-year period following the grant date, but in any event will be no less than 4,682 RSUs. Subject to continued service, the RSUs vest on the later of (a) the one-year anniversary of the grant date and (b) the date the Reporting Person's service as Interim President and Chief Executive Officer concludes.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share unit ("PSU") represents a contingent right to receive one share of Expand common stock, depending on Expand's achievement of the absolute total shareholder return ("aTSR") threshold during the applicable performance period. The number of PSUs that may be eligible to vest is prorated based on the Reporting Person's time served as Interim President and Chief Executive Officer during the one-year period following the grant date, but in any event will be no less than 4,682 PSUs, provided the aTSR threshold is met. Subject to continued service and achievement of the aTSR threshold, the PSUs vest on the later of (a) the one-year anniversary of the grant date and (b) the date on which the aTSR threshold is met.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Michael D. May For: MICHAEL WICHTERICH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0845" TargetMode="External"/><Relationship Id="rId5" Type="http://schemas.openxmlformats.org/officeDocument/2006/relationships/hyperlink" Target="http://www.sec.gov/cgi-bin/browse-edgar?action=getcompany&amp;CIK=00008951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796</Words>
  <Characters>4237</Characters>
  <CharactersWithSpaces>4963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