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49" w:before="180" w:after="283"/>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lineRule="auto" w:line="247" w:before="18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Pursuant to Section 13 or 15(d) of The Securities Exchange Act of 1934</w:t>
      </w:r>
    </w:p>
    <w:p>
      <w:pPr>
        <w:pStyle w:val="TextBody"/>
        <w:bidi w:val="0"/>
        <w:spacing w:lineRule="auto" w:line="288" w:before="180" w:after="283"/>
        <w:jc w:val="center"/>
        <w:rPr>
          <w:rFonts w:ascii="Arial;sans-serif" w:hAnsi="Arial;sans-serif"/>
          <w:b/>
          <w:color w:val="000000"/>
          <w:sz w:val="22"/>
        </w:rPr>
      </w:pPr>
      <w:r>
        <w:rPr>
          <w:rFonts w:ascii="Arial;sans-serif" w:hAnsi="Arial;sans-serif"/>
          <w:b/>
          <w:color w:val="000000"/>
          <w:sz w:val="22"/>
        </w:rPr>
        <w:t>Date of Report (Date of earliest event reported): June 5, 2025</w:t>
      </w:r>
    </w:p>
    <w:p>
      <w:pPr>
        <w:pStyle w:val="TextBody"/>
        <w:bidi w:val="0"/>
        <w:spacing w:before="120" w:after="283"/>
        <w:jc w:val="center"/>
        <w:rPr/>
      </w:pPr>
      <w:r>
        <w:rPr/>
        <w:drawing>
          <wp:inline distT="0" distB="0" distL="0" distR="0">
            <wp:extent cx="18478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57200"/>
                    </a:xfrm>
                    <a:prstGeom prst="rect">
                      <a:avLst/>
                    </a:prstGeom>
                  </pic:spPr>
                </pic:pic>
              </a:graphicData>
            </a:graphic>
          </wp:inline>
        </w:drawing>
      </w:r>
      <w:bookmarkStart w:id="0" w:name="i-1"/>
      <w:bookmarkEnd w:id="0"/>
    </w:p>
    <w:tbl>
      <w:tblPr>
        <w:tblW w:w="9187" w:type="dxa"/>
        <w:jc w:val="center"/>
        <w:tblInd w:w="0" w:type="dxa"/>
        <w:tblLayout w:type="fixed"/>
        <w:tblCellMar>
          <w:top w:w="28" w:type="dxa"/>
          <w:left w:w="28" w:type="dxa"/>
          <w:bottom w:w="28" w:type="dxa"/>
          <w:right w:w="28" w:type="dxa"/>
        </w:tblCellMar>
      </w:tblPr>
      <w:tblGrid>
        <w:gridCol w:w="445"/>
        <w:gridCol w:w="391"/>
        <w:gridCol w:w="391"/>
        <w:gridCol w:w="391"/>
        <w:gridCol w:w="391"/>
        <w:gridCol w:w="391"/>
        <w:gridCol w:w="245"/>
        <w:gridCol w:w="245"/>
        <w:gridCol w:w="245"/>
        <w:gridCol w:w="455"/>
        <w:gridCol w:w="455"/>
        <w:gridCol w:w="455"/>
        <w:gridCol w:w="382"/>
        <w:gridCol w:w="382"/>
        <w:gridCol w:w="382"/>
        <w:gridCol w:w="245"/>
        <w:gridCol w:w="245"/>
        <w:gridCol w:w="245"/>
        <w:gridCol w:w="427"/>
        <w:gridCol w:w="427"/>
        <w:gridCol w:w="427"/>
        <w:gridCol w:w="427"/>
        <w:gridCol w:w="427"/>
        <w:gridCol w:w="671"/>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918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36"/>
              </w:rPr>
            </w:pPr>
            <w:r>
              <w:rPr>
                <w:rFonts w:ascii="Arial;sans-serif" w:hAnsi="Arial;sans-serif"/>
                <w:b/>
                <w:color w:val="000000"/>
                <w:sz w:val="36"/>
              </w:rPr>
              <w:t>EXPAND ENERGY CORPORATION</w:t>
            </w:r>
          </w:p>
        </w:tc>
      </w:tr>
      <w:tr>
        <w:trPr/>
        <w:tc>
          <w:tcPr>
            <w:tcW w:w="9187"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24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Oklahoma</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001-13726</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73-1395733</w:t>
            </w:r>
          </w:p>
        </w:tc>
      </w:tr>
      <w:tr>
        <w:trPr/>
        <w:tc>
          <w:tcPr>
            <w:tcW w:w="24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1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6100 North Western Avenue</w:t>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Oklahoma City</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OK</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73118</w:t>
            </w:r>
          </w:p>
        </w:tc>
      </w:tr>
      <w:tr>
        <w:trPr/>
        <w:tc>
          <w:tcPr>
            <w:tcW w:w="56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(405)</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848-8000</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9566" w:type="dxa"/>
        <w:jc w:val="center"/>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878" w:type="dxa"/>
        <w:jc w:val="left"/>
        <w:tblInd w:w="0" w:type="dxa"/>
        <w:tblLayout w:type="fixed"/>
        <w:tblCellMar>
          <w:top w:w="28" w:type="dxa"/>
          <w:left w:w="28" w:type="dxa"/>
          <w:bottom w:w="28" w:type="dxa"/>
          <w:right w:w="28" w:type="dxa"/>
        </w:tblCellMar>
      </w:tblPr>
      <w:tblGrid>
        <w:gridCol w:w="1390"/>
        <w:gridCol w:w="1218"/>
        <w:gridCol w:w="1232"/>
        <w:gridCol w:w="109"/>
        <w:gridCol w:w="109"/>
        <w:gridCol w:w="109"/>
        <w:gridCol w:w="479"/>
        <w:gridCol w:w="479"/>
        <w:gridCol w:w="481"/>
        <w:gridCol w:w="109"/>
        <w:gridCol w:w="109"/>
        <w:gridCol w:w="109"/>
        <w:gridCol w:w="1154"/>
        <w:gridCol w:w="1154"/>
        <w:gridCol w:w="1637"/>
      </w:tblGrid>
      <w:tr>
        <w:trPr/>
        <w:tc>
          <w:tcPr>
            <w:tcW w:w="139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Class A 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EXEEW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Class B 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EXEEZ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Class C 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EXEEL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3442"/>
        <w:gridCol w:w="3022"/>
        <w:gridCol w:w="3040"/>
        <w:gridCol w:w="109"/>
        <w:gridCol w:w="109"/>
        <w:gridCol w:w="109"/>
        <w:gridCol w:w="109"/>
        <w:gridCol w:w="109"/>
        <w:gridCol w:w="156"/>
      </w:tblGrid>
      <w:tr>
        <w:trPr/>
        <w:tc>
          <w:tcPr>
            <w:tcW w:w="3442"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Expand Energy Corporation (the “Company”) held its 2025 Annual Meeting of Shareholders (the “Annual Meeting”) on June 5, 2025. The final voting results for the three proposals voted on at the Annual Meeting are disclosed below.</w:t>
      </w:r>
    </w:p>
    <w:p>
      <w:pPr>
        <w:pStyle w:val="TextBody"/>
        <w:bidi w:val="0"/>
        <w:spacing w:before="0" w:after="0"/>
        <w:jc w:val="left"/>
        <w:rPr/>
      </w:pPr>
      <w:r>
        <w:rPr/>
      </w:r>
    </w:p>
    <w:p>
      <w:pPr>
        <w:pStyle w:val="TextBody"/>
        <w:bidi w:val="0"/>
        <w:spacing w:lineRule="auto" w:line="256" w:before="0" w:after="0"/>
        <w:jc w:val="both"/>
        <w:rPr/>
      </w:pPr>
      <w:r>
        <w:rPr>
          <w:rFonts w:ascii="Arial;sans-serif" w:hAnsi="Arial;sans-serif"/>
          <w:b/>
          <w:color w:val="000000"/>
          <w:sz w:val="20"/>
        </w:rPr>
        <w:t>1.    </w:t>
      </w:r>
      <w:r>
        <w:rPr>
          <w:rFonts w:ascii="Arial;sans-serif" w:hAnsi="Arial;sans-serif"/>
          <w:b/>
          <w:color w:val="000000"/>
          <w:sz w:val="20"/>
          <w:u w:val="single"/>
        </w:rPr>
        <w:t>Election of Directors</w:t>
      </w:r>
      <w:r>
        <w:rPr>
          <w:rFonts w:ascii="Arial;sans-serif" w:hAnsi="Arial;sans-serif"/>
          <w:b w:val="false"/>
          <w:color w:val="000000"/>
          <w:sz w:val="20"/>
        </w:rPr>
        <w:t>. Shareholders elected each of the 11 directors nominated by the Company’s Board of Directors and listed below to serve as a director of the Company until the next annual meeting of shareholders or until his or her successor is duly elected and qualified.</w:t>
      </w:r>
    </w:p>
    <w:p>
      <w:pPr>
        <w:pStyle w:val="TextBody"/>
        <w:bidi w:val="0"/>
        <w:spacing w:before="0" w:after="0"/>
        <w:jc w:val="both"/>
        <w:rPr/>
      </w:pPr>
      <w:r>
        <w:rPr/>
      </w:r>
    </w:p>
    <w:tbl>
      <w:tblPr>
        <w:tblW w:w="9229" w:type="dxa"/>
        <w:jc w:val="center"/>
        <w:tblInd w:w="0" w:type="dxa"/>
        <w:tblLayout w:type="fixed"/>
        <w:tblCellMar>
          <w:top w:w="28" w:type="dxa"/>
          <w:left w:w="28" w:type="dxa"/>
          <w:bottom w:w="28" w:type="dxa"/>
          <w:right w:w="28" w:type="dxa"/>
        </w:tblCellMar>
      </w:tblPr>
      <w:tblGrid>
        <w:gridCol w:w="852"/>
        <w:gridCol w:w="749"/>
        <w:gridCol w:w="754"/>
        <w:gridCol w:w="109"/>
        <w:gridCol w:w="109"/>
        <w:gridCol w:w="109"/>
        <w:gridCol w:w="389"/>
        <w:gridCol w:w="389"/>
        <w:gridCol w:w="393"/>
        <w:gridCol w:w="109"/>
        <w:gridCol w:w="109"/>
        <w:gridCol w:w="109"/>
        <w:gridCol w:w="464"/>
        <w:gridCol w:w="464"/>
        <w:gridCol w:w="466"/>
        <w:gridCol w:w="109"/>
        <w:gridCol w:w="109"/>
        <w:gridCol w:w="109"/>
        <w:gridCol w:w="405"/>
        <w:gridCol w:w="405"/>
        <w:gridCol w:w="406"/>
        <w:gridCol w:w="109"/>
        <w:gridCol w:w="109"/>
        <w:gridCol w:w="109"/>
        <w:gridCol w:w="522"/>
        <w:gridCol w:w="522"/>
        <w:gridCol w:w="741"/>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Broker Non-Votes</w:t>
            </w:r>
          </w:p>
        </w:tc>
      </w:tr>
      <w:tr>
        <w:trPr/>
        <w:tc>
          <w:tcPr>
            <w:tcW w:w="23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Domenic J. Dell’Osso,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192,986,068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1,077,647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69,032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Timothy S. Duncan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190,322,387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3,742,115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68,245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Benjamin C. Duster,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192,931,607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1,132,306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68,834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Sarah A. Emerson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192,533,333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1,528,858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70,556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Matthew M. Gallagher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179,741,154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14,321,350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70,243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John D. Gass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193,005,533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1,055,185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S.P. “Chip” Johnson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193,069,589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990,777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72,381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Catherine A. Kehr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193,611,512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448,881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Shameek Konar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193,510,167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480,220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142,360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Brian Steck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189,235,594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4,827,459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69,694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Michael A. Wichterich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191,980,901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2,083,025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68,821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2.    </w:t>
      </w:r>
      <w:r>
        <w:rPr>
          <w:rFonts w:ascii="Arial;sans-serif" w:hAnsi="Arial;sans-serif"/>
          <w:b/>
          <w:color w:val="000000"/>
          <w:sz w:val="20"/>
          <w:u w:val="single"/>
        </w:rPr>
        <w:t>Advisory Vote to Approve Named Executive Officer Compensation</w:t>
      </w:r>
      <w:r>
        <w:rPr>
          <w:rFonts w:ascii="Arial;sans-serif" w:hAnsi="Arial;sans-serif"/>
          <w:b w:val="false"/>
          <w:color w:val="000000"/>
          <w:sz w:val="20"/>
        </w:rPr>
        <w:t>. Shareholders approved, on a non-binding advisory basis, the compensation of the Company’s named executive officers for 2024.</w:t>
      </w:r>
    </w:p>
    <w:p>
      <w:pPr>
        <w:pStyle w:val="TextBody"/>
        <w:bidi w:val="0"/>
        <w:spacing w:before="0" w:after="0"/>
        <w:jc w:val="both"/>
        <w:rPr/>
      </w:pPr>
      <w:r>
        <w:rPr/>
      </w:r>
    </w:p>
    <w:tbl>
      <w:tblPr>
        <w:tblW w:w="6562" w:type="dxa"/>
        <w:jc w:val="center"/>
        <w:tblInd w:w="0" w:type="dxa"/>
        <w:tblLayout w:type="fixed"/>
        <w:tblCellMar>
          <w:top w:w="28" w:type="dxa"/>
          <w:left w:w="28" w:type="dxa"/>
          <w:bottom w:w="28" w:type="dxa"/>
          <w:right w:w="28" w:type="dxa"/>
        </w:tblCellMar>
      </w:tblPr>
      <w:tblGrid>
        <w:gridCol w:w="429"/>
        <w:gridCol w:w="376"/>
        <w:gridCol w:w="381"/>
        <w:gridCol w:w="109"/>
        <w:gridCol w:w="109"/>
        <w:gridCol w:w="109"/>
        <w:gridCol w:w="464"/>
        <w:gridCol w:w="464"/>
        <w:gridCol w:w="466"/>
        <w:gridCol w:w="109"/>
        <w:gridCol w:w="109"/>
        <w:gridCol w:w="109"/>
        <w:gridCol w:w="405"/>
        <w:gridCol w:w="405"/>
        <w:gridCol w:w="406"/>
        <w:gridCol w:w="109"/>
        <w:gridCol w:w="109"/>
        <w:gridCol w:w="109"/>
        <w:gridCol w:w="522"/>
        <w:gridCol w:w="522"/>
        <w:gridCol w:w="741"/>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Broker Non-Votes</w:t>
            </w:r>
          </w:p>
        </w:tc>
      </w:tr>
      <w:tr>
        <w:trPr/>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188,140,098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5,868,346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124,303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12,811,230</w:t>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3.    </w:t>
      </w:r>
      <w:r>
        <w:rPr>
          <w:rFonts w:ascii="Arial;sans-serif" w:hAnsi="Arial;sans-serif"/>
          <w:b/>
          <w:color w:val="000000"/>
          <w:sz w:val="20"/>
          <w:u w:val="single"/>
        </w:rPr>
        <w:t>Ratification of Appointment of PwC as Independent Auditor for 2025</w:t>
      </w:r>
      <w:r>
        <w:rPr>
          <w:rFonts w:ascii="Arial;sans-serif" w:hAnsi="Arial;sans-serif"/>
          <w:b w:val="false"/>
          <w:color w:val="000000"/>
          <w:sz w:val="20"/>
        </w:rPr>
        <w:t>. Shareholders approved the proposal to ratify the appointment of PricewaterhouseCoopers LLP as the Company’s independent registered public accounting firm for 2025.</w:t>
      </w:r>
    </w:p>
    <w:p>
      <w:pPr>
        <w:pStyle w:val="TextBody"/>
        <w:bidi w:val="0"/>
        <w:spacing w:before="0" w:after="0"/>
        <w:jc w:val="both"/>
        <w:rPr/>
      </w:pPr>
      <w:r>
        <w:rPr/>
      </w:r>
    </w:p>
    <w:tbl>
      <w:tblPr>
        <w:tblW w:w="6562" w:type="dxa"/>
        <w:jc w:val="center"/>
        <w:tblInd w:w="0" w:type="dxa"/>
        <w:tblLayout w:type="fixed"/>
        <w:tblCellMar>
          <w:top w:w="28" w:type="dxa"/>
          <w:left w:w="28" w:type="dxa"/>
          <w:bottom w:w="28" w:type="dxa"/>
          <w:right w:w="28" w:type="dxa"/>
        </w:tblCellMar>
      </w:tblPr>
      <w:tblGrid>
        <w:gridCol w:w="429"/>
        <w:gridCol w:w="376"/>
        <w:gridCol w:w="381"/>
        <w:gridCol w:w="109"/>
        <w:gridCol w:w="109"/>
        <w:gridCol w:w="109"/>
        <w:gridCol w:w="464"/>
        <w:gridCol w:w="464"/>
        <w:gridCol w:w="466"/>
        <w:gridCol w:w="109"/>
        <w:gridCol w:w="109"/>
        <w:gridCol w:w="109"/>
        <w:gridCol w:w="405"/>
        <w:gridCol w:w="405"/>
        <w:gridCol w:w="406"/>
        <w:gridCol w:w="109"/>
        <w:gridCol w:w="109"/>
        <w:gridCol w:w="109"/>
        <w:gridCol w:w="522"/>
        <w:gridCol w:w="522"/>
        <w:gridCol w:w="741"/>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Broker Non-Votes</w:t>
            </w:r>
          </w:p>
        </w:tc>
      </w:tr>
      <w:tr>
        <w:trPr/>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200,516,600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6,355,554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2"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509" w:type="dxa"/>
        <w:jc w:val="right"/>
        <w:tblInd w:w="0" w:type="dxa"/>
        <w:tblLayout w:type="fixed"/>
        <w:tblCellMar>
          <w:top w:w="28" w:type="dxa"/>
          <w:left w:w="28" w:type="dxa"/>
          <w:bottom w:w="28" w:type="dxa"/>
          <w:right w:w="28" w:type="dxa"/>
        </w:tblCellMar>
      </w:tblPr>
      <w:tblGrid>
        <w:gridCol w:w="151"/>
        <w:gridCol w:w="134"/>
        <w:gridCol w:w="135"/>
        <w:gridCol w:w="1784"/>
        <w:gridCol w:w="1784"/>
        <w:gridCol w:w="252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EXPAND ENERGY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/s/ CHRIS LACY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Chris Lacy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General Counsel and Corporate Secretary</w:t>
            </w:r>
          </w:p>
        </w:tc>
      </w:tr>
    </w:tbl>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Date:  June 5, 2025</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3709</Characters>
  <CharactersWithSpaces>4224</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