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83185</wp:posOffset>
            </wp:positionV>
            <wp:extent cx="166306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EXPAND ENERGY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wp:posOffset>
            </wp:positionH>
            <wp:positionV relativeFrom="paragraph">
              <wp:posOffset>51435</wp:posOffset>
            </wp:positionV>
            <wp:extent cx="7046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87" w:lineRule="exact"/>
        <w:rPr>
          <w:sz w:val="24"/>
          <w:szCs w:val="24"/>
          <w:color w:val="auto"/>
        </w:rPr>
      </w:pPr>
    </w:p>
    <w:tbl>
      <w:tblPr>
        <w:tblLayout w:type="fixed"/>
        <w:tblInd w:w="8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4160" w:type="dxa"/>
            <w:vAlign w:val="bottom"/>
            <w:gridSpan w:val="5"/>
          </w:tcPr>
          <w:p>
            <w:pPr>
              <w:ind w:left="380"/>
              <w:spacing w:after="0"/>
              <w:rPr>
                <w:sz w:val="20"/>
                <w:szCs w:val="20"/>
                <w:color w:val="auto"/>
              </w:rPr>
            </w:pPr>
            <w:r>
              <w:rPr>
                <w:rFonts w:ascii="Arial" w:cs="Arial" w:eastAsia="Arial" w:hAnsi="Arial"/>
                <w:sz w:val="16"/>
                <w:szCs w:val="16"/>
                <w:color w:val="auto"/>
              </w:rPr>
              <w:t>(Exact name of registrant as specified in its Charter)</w:t>
            </w:r>
          </w:p>
        </w:tc>
        <w:tc>
          <w:tcPr>
            <w:tcW w:w="3640" w:type="dxa"/>
            <w:vAlign w:val="bottom"/>
          </w:tcPr>
          <w:p>
            <w:pPr>
              <w:spacing w:after="0"/>
              <w:rPr>
                <w:sz w:val="18"/>
                <w:szCs w:val="18"/>
                <w:color w:val="auto"/>
              </w:rPr>
            </w:pPr>
          </w:p>
        </w:tc>
      </w:tr>
      <w:tr>
        <w:trPr>
          <w:trHeight w:val="255"/>
        </w:trPr>
        <w:tc>
          <w:tcPr>
            <w:tcW w:w="3300" w:type="dxa"/>
            <w:vAlign w:val="bottom"/>
            <w:tcBorders>
              <w:bottom w:val="single" w:sz="8" w:color="auto"/>
            </w:tcBorders>
          </w:tcPr>
          <w:p>
            <w:pPr>
              <w:jc w:val="center"/>
              <w:ind w:left="459"/>
              <w:spacing w:after="0"/>
              <w:rPr>
                <w:sz w:val="20"/>
                <w:szCs w:val="20"/>
                <w:color w:val="auto"/>
              </w:rPr>
            </w:pPr>
            <w:r>
              <w:rPr>
                <w:rFonts w:ascii="Arial" w:cs="Arial" w:eastAsia="Arial" w:hAnsi="Arial"/>
                <w:sz w:val="16"/>
                <w:szCs w:val="16"/>
                <w:b w:val="1"/>
                <w:bCs w:val="1"/>
                <w:color w:val="auto"/>
              </w:rPr>
              <w:t>Oklahoma</w:t>
            </w:r>
          </w:p>
        </w:tc>
        <w:tc>
          <w:tcPr>
            <w:tcW w:w="5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001-13726</w:t>
            </w:r>
          </w:p>
        </w:tc>
        <w:tc>
          <w:tcPr>
            <w:tcW w:w="140" w:type="dxa"/>
            <w:vAlign w:val="bottom"/>
          </w:tcPr>
          <w:p>
            <w:pPr>
              <w:spacing w:after="0"/>
              <w:rPr>
                <w:sz w:val="22"/>
                <w:szCs w:val="22"/>
                <w:color w:val="auto"/>
              </w:rPr>
            </w:pPr>
          </w:p>
        </w:tc>
        <w:tc>
          <w:tcPr>
            <w:tcW w:w="364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b w:val="1"/>
                <w:bCs w:val="1"/>
                <w:color w:val="auto"/>
              </w:rPr>
              <w:t>73-1395733</w:t>
            </w:r>
          </w:p>
        </w:tc>
      </w:tr>
      <w:tr>
        <w:trPr>
          <w:trHeight w:val="199"/>
        </w:trPr>
        <w:tc>
          <w:tcPr>
            <w:tcW w:w="3300" w:type="dxa"/>
            <w:vAlign w:val="bottom"/>
          </w:tcPr>
          <w:p>
            <w:pPr>
              <w:jc w:val="center"/>
              <w:ind w:left="459"/>
              <w:spacing w:after="0"/>
              <w:rPr>
                <w:sz w:val="20"/>
                <w:szCs w:val="20"/>
                <w:color w:val="auto"/>
              </w:rPr>
            </w:pPr>
            <w:r>
              <w:rPr>
                <w:rFonts w:ascii="Arial" w:cs="Arial" w:eastAsia="Arial" w:hAnsi="Arial"/>
                <w:sz w:val="16"/>
                <w:szCs w:val="16"/>
                <w:color w:val="auto"/>
              </w:rPr>
              <w:t>(State or other jurisdiction of</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gridSpan w:val="3"/>
          </w:tcPr>
          <w:p>
            <w:pPr>
              <w:jc w:val="center"/>
              <w:ind w:right="160"/>
              <w:spacing w:after="0"/>
              <w:rPr>
                <w:sz w:val="20"/>
                <w:szCs w:val="20"/>
                <w:color w:val="auto"/>
              </w:rPr>
            </w:pPr>
            <w:r>
              <w:rPr>
                <w:rFonts w:ascii="Arial" w:cs="Arial" w:eastAsia="Arial" w:hAnsi="Arial"/>
                <w:sz w:val="16"/>
                <w:szCs w:val="16"/>
                <w:color w:val="auto"/>
              </w:rPr>
              <w:t>(Commission File Number)</w:t>
            </w:r>
          </w:p>
        </w:tc>
        <w:tc>
          <w:tcPr>
            <w:tcW w:w="36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215"/>
        </w:trPr>
        <w:tc>
          <w:tcPr>
            <w:tcW w:w="3300" w:type="dxa"/>
            <w:vAlign w:val="bottom"/>
          </w:tcPr>
          <w:p>
            <w:pPr>
              <w:jc w:val="center"/>
              <w:ind w:left="459"/>
              <w:spacing w:after="0"/>
              <w:rPr>
                <w:sz w:val="20"/>
                <w:szCs w:val="20"/>
                <w:color w:val="auto"/>
              </w:rPr>
            </w:pPr>
            <w:r>
              <w:rPr>
                <w:rFonts w:ascii="Arial" w:cs="Arial" w:eastAsia="Arial" w:hAnsi="Arial"/>
                <w:sz w:val="16"/>
                <w:szCs w:val="16"/>
                <w:color w:val="auto"/>
              </w:rPr>
              <w:t>incorporation)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68"/>
        </w:trPr>
        <w:tc>
          <w:tcPr>
            <w:tcW w:w="3300" w:type="dxa"/>
            <w:vAlign w:val="bottom"/>
          </w:tcPr>
          <w:p>
            <w:pPr>
              <w:ind w:left="1240"/>
              <w:spacing w:after="0"/>
              <w:rPr>
                <w:sz w:val="20"/>
                <w:szCs w:val="20"/>
                <w:color w:val="auto"/>
              </w:rPr>
            </w:pPr>
            <w:r>
              <w:rPr>
                <w:rFonts w:ascii="Arial" w:cs="Arial" w:eastAsia="Arial" w:hAnsi="Arial"/>
                <w:sz w:val="16"/>
                <w:szCs w:val="16"/>
                <w:b w:val="1"/>
                <w:bCs w:val="1"/>
                <w:color w:val="auto"/>
              </w:rPr>
              <w:t>10000 Energy Drive</w:t>
            </w: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ind w:left="600"/>
              <w:spacing w:after="0"/>
              <w:rPr>
                <w:sz w:val="20"/>
                <w:szCs w:val="20"/>
                <w:color w:val="auto"/>
              </w:rPr>
            </w:pPr>
            <w:r>
              <w:rPr>
                <w:rFonts w:ascii="Arial" w:cs="Arial" w:eastAsia="Arial" w:hAnsi="Arial"/>
                <w:sz w:val="16"/>
                <w:szCs w:val="16"/>
                <w:b w:val="1"/>
                <w:bCs w:val="1"/>
                <w:color w:val="auto"/>
              </w:rPr>
              <w:t>Spring</w:t>
            </w:r>
          </w:p>
        </w:tc>
        <w:tc>
          <w:tcPr>
            <w:tcW w:w="2280" w:type="dxa"/>
            <w:vAlign w:val="bottom"/>
            <w:gridSpan w:val="2"/>
          </w:tcPr>
          <w:p>
            <w:pPr>
              <w:ind w:left="1100"/>
              <w:spacing w:after="0"/>
              <w:rPr>
                <w:sz w:val="20"/>
                <w:szCs w:val="20"/>
                <w:color w:val="auto"/>
              </w:rPr>
            </w:pPr>
            <w:r>
              <w:rPr>
                <w:rFonts w:ascii="Arial" w:cs="Arial" w:eastAsia="Arial" w:hAnsi="Arial"/>
                <w:sz w:val="16"/>
                <w:szCs w:val="16"/>
                <w:b w:val="1"/>
                <w:bCs w:val="1"/>
                <w:color w:val="auto"/>
              </w:rPr>
              <w:t>Texas</w:t>
            </w:r>
          </w:p>
        </w:tc>
        <w:tc>
          <w:tcPr>
            <w:tcW w:w="3640" w:type="dxa"/>
            <w:vAlign w:val="bottom"/>
          </w:tcPr>
          <w:p>
            <w:pPr>
              <w:jc w:val="right"/>
              <w:ind w:right="1519"/>
              <w:spacing w:after="0"/>
              <w:rPr>
                <w:sz w:val="20"/>
                <w:szCs w:val="20"/>
                <w:color w:val="auto"/>
              </w:rPr>
            </w:pPr>
            <w:r>
              <w:rPr>
                <w:rFonts w:ascii="Arial" w:cs="Arial" w:eastAsia="Arial" w:hAnsi="Arial"/>
                <w:sz w:val="16"/>
                <w:szCs w:val="16"/>
                <w:b w:val="1"/>
                <w:bCs w:val="1"/>
                <w:color w:val="auto"/>
              </w:rPr>
              <w:t>77389</w:t>
            </w:r>
          </w:p>
        </w:tc>
      </w:tr>
      <w:tr>
        <w:trPr>
          <w:trHeight w:val="225"/>
        </w:trPr>
        <w:tc>
          <w:tcPr>
            <w:tcW w:w="5180" w:type="dxa"/>
            <w:vAlign w:val="bottom"/>
            <w:tcBorders>
              <w:top w:val="single" w:sz="8" w:color="auto"/>
            </w:tcBorders>
            <w:gridSpan w:val="4"/>
          </w:tcPr>
          <w:p>
            <w:pPr>
              <w:ind w:left="2260"/>
              <w:spacing w:after="0"/>
              <w:rPr>
                <w:sz w:val="20"/>
                <w:szCs w:val="20"/>
                <w:color w:val="auto"/>
              </w:rPr>
            </w:pPr>
            <w:r>
              <w:rPr>
                <w:rFonts w:ascii="Arial" w:cs="Arial" w:eastAsia="Arial" w:hAnsi="Arial"/>
                <w:sz w:val="16"/>
                <w:szCs w:val="16"/>
                <w:color w:val="auto"/>
              </w:rPr>
              <w:t>(Address of principal executive offices)</w:t>
            </w:r>
          </w:p>
        </w:tc>
        <w:tc>
          <w:tcPr>
            <w:tcW w:w="2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r>
        <w:trPr>
          <w:trHeight w:val="251"/>
        </w:trPr>
        <w:tc>
          <w:tcPr>
            <w:tcW w:w="3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140" w:type="dxa"/>
            <w:vAlign w:val="bottom"/>
          </w:tcPr>
          <w:p>
            <w:pPr>
              <w:jc w:val="right"/>
              <w:ind w:right="839"/>
              <w:spacing w:after="0"/>
              <w:rPr>
                <w:sz w:val="20"/>
                <w:szCs w:val="20"/>
                <w:color w:val="auto"/>
              </w:rPr>
            </w:pPr>
            <w:r>
              <w:rPr>
                <w:rFonts w:ascii="Arial" w:cs="Arial" w:eastAsia="Arial" w:hAnsi="Arial"/>
                <w:sz w:val="16"/>
                <w:szCs w:val="16"/>
                <w:b w:val="1"/>
                <w:bCs w:val="1"/>
                <w:color w:val="auto"/>
              </w:rPr>
              <w:t>(346) 535-0990</w:t>
            </w:r>
          </w:p>
        </w:tc>
        <w:tc>
          <w:tcPr>
            <w:tcW w:w="140" w:type="dxa"/>
            <w:vAlign w:val="bottom"/>
          </w:tcPr>
          <w:p>
            <w:pPr>
              <w:spacing w:after="0"/>
              <w:rPr>
                <w:sz w:val="21"/>
                <w:szCs w:val="21"/>
                <w:color w:val="auto"/>
              </w:rPr>
            </w:pPr>
          </w:p>
        </w:tc>
        <w:tc>
          <w:tcPr>
            <w:tcW w:w="364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5080</wp:posOffset>
            </wp:positionV>
            <wp:extent cx="2108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pacing w:after="0" w:line="311"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185" w:lineRule="exact"/>
        <w:rPr>
          <w:rFonts w:ascii="MS PGothic" w:cs="MS PGothic" w:eastAsia="MS PGothic" w:hAnsi="MS PGothic"/>
          <w:sz w:val="20"/>
          <w:szCs w:val="20"/>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Soliciting material pursuant to Rule 14a-12 under the Exchange Act (17 CFR 240.14a-12)</w:t>
      </w:r>
    </w:p>
    <w:p>
      <w:pPr>
        <w:spacing w:after="0" w:line="91" w:lineRule="exact"/>
        <w:rPr>
          <w:rFonts w:ascii="MS PGothic" w:cs="MS PGothic" w:eastAsia="MS PGothic" w:hAnsi="MS PGothic"/>
          <w:sz w:val="20"/>
          <w:szCs w:val="20"/>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91" w:lineRule="exact"/>
        <w:rPr>
          <w:rFonts w:ascii="MS PGothic" w:cs="MS PGothic" w:eastAsia="MS PGothic" w:hAnsi="MS PGothic"/>
          <w:sz w:val="20"/>
          <w:szCs w:val="20"/>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2"/>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2080" w:type="dxa"/>
            <w:vAlign w:val="bottom"/>
            <w:gridSpan w:val="2"/>
          </w:tcPr>
          <w:p>
            <w:pPr>
              <w:ind w:left="20"/>
              <w:spacing w:after="0"/>
              <w:rPr>
                <w:sz w:val="20"/>
                <w:szCs w:val="20"/>
                <w:color w:val="auto"/>
              </w:rPr>
            </w:pPr>
            <w:r>
              <w:rPr>
                <w:rFonts w:ascii="Arial" w:cs="Arial" w:eastAsia="Arial" w:hAnsi="Arial"/>
                <w:sz w:val="16"/>
                <w:szCs w:val="16"/>
                <w:b w:val="1"/>
                <w:bCs w:val="1"/>
                <w:color w:val="auto"/>
              </w:rPr>
              <w:t>Trading Symbol</w:t>
            </w:r>
          </w:p>
        </w:tc>
        <w:tc>
          <w:tcPr>
            <w:tcW w:w="4500" w:type="dxa"/>
            <w:vAlign w:val="bottom"/>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4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 $0.01 par value per share</w:t>
            </w:r>
          </w:p>
        </w:tc>
        <w:tc>
          <w:tcPr>
            <w:tcW w:w="160" w:type="dxa"/>
            <w:vAlign w:val="bottom"/>
          </w:tcPr>
          <w:p>
            <w:pPr>
              <w:spacing w:after="0"/>
              <w:rPr>
                <w:sz w:val="18"/>
                <w:szCs w:val="18"/>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EXE</w:t>
            </w:r>
          </w:p>
        </w:tc>
        <w:tc>
          <w:tcPr>
            <w:tcW w:w="140" w:type="dxa"/>
            <w:vAlign w:val="bottom"/>
          </w:tcPr>
          <w:p>
            <w:pPr>
              <w:spacing w:after="0"/>
              <w:rPr>
                <w:sz w:val="18"/>
                <w:szCs w:val="18"/>
                <w:color w:val="auto"/>
              </w:rPr>
            </w:pPr>
          </w:p>
        </w:tc>
        <w:tc>
          <w:tcPr>
            <w:tcW w:w="4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The Nasdaq Stock Market LLC</w:t>
            </w:r>
          </w:p>
        </w:tc>
      </w:tr>
    </w:tbl>
    <w:p>
      <w:pPr>
        <w:spacing w:after="0" w:line="200" w:lineRule="exact"/>
        <w:rPr>
          <w:sz w:val="24"/>
          <w:szCs w:val="24"/>
          <w:color w:val="auto"/>
        </w:rPr>
      </w:pPr>
    </w:p>
    <w:p>
      <w:pPr>
        <w:sectPr>
          <w:pgSz w:w="11900" w:h="16838" w:orient="portrait"/>
          <w:cols w:equalWidth="0" w:num="1">
            <w:col w:w="11240"/>
          </w:cols>
          <w:pgMar w:left="320" w:top="1440" w:right="339" w:bottom="1440" w:gutter="0" w:footer="0" w:header="0"/>
        </w:sectPr>
      </w:pPr>
    </w:p>
    <w:p>
      <w:pPr>
        <w:spacing w:after="0" w:line="57" w:lineRule="exact"/>
        <w:rPr>
          <w:sz w:val="24"/>
          <w:szCs w:val="24"/>
          <w:color w:val="auto"/>
        </w:rPr>
      </w:pPr>
    </w:p>
    <w:p>
      <w:pPr>
        <w:ind w:left="20" w:right="220"/>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 w:lineRule="exact"/>
        <w:rPr>
          <w:sz w:val="24"/>
          <w:szCs w:val="24"/>
          <w:color w:val="auto"/>
        </w:rPr>
      </w:pPr>
    </w:p>
    <w:p>
      <w:pPr>
        <w:ind w:left="8660"/>
        <w:spacing w:after="0"/>
        <w:rPr>
          <w:sz w:val="20"/>
          <w:szCs w:val="20"/>
          <w:color w:val="auto"/>
        </w:rPr>
      </w:pPr>
      <w:r>
        <w:rPr>
          <w:rFonts w:ascii="Arial" w:cs="Arial" w:eastAsia="Arial" w:hAnsi="Arial"/>
          <w:sz w:val="16"/>
          <w:szCs w:val="16"/>
          <w:color w:val="auto"/>
        </w:rPr>
        <w:t>Emerging growth company</w:t>
      </w:r>
    </w:p>
    <w:p>
      <w:pPr>
        <w:spacing w:after="0" w:line="140" w:lineRule="exact"/>
        <w:rPr>
          <w:sz w:val="24"/>
          <w:szCs w:val="24"/>
          <w:color w:val="auto"/>
        </w:rPr>
      </w:pPr>
    </w:p>
    <w:p>
      <w:pPr>
        <w:ind w:left="20" w:right="300"/>
        <w:spacing w:after="0" w:line="30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10580" w:space="220"/>
            <w:col w:w="440"/>
          </w:cols>
          <w:pgMar w:left="320" w:top="1440" w:right="339" w:bottom="1440" w:gutter="0" w:footer="0" w:header="0"/>
          <w:type w:val="continuous"/>
        </w:sectPr>
      </w:pPr>
    </w:p>
    <w:bookmarkStart w:id="1" w:name="page2"/>
    <w:bookmarkEnd w:id="1"/>
    <w:p>
      <w:pPr>
        <w:jc w:val="both"/>
        <w:ind w:right="20"/>
        <w:spacing w:after="0" w:line="28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23, 2026, Gregory M. Larson, Vice President – Accounting &amp; Controller of Expand Energy Corporation (the “Company”) informed the Company of his intention to resign from the Company. The decision of Mr. Larson to resign was not the result of any disagreement with the Company on any matter relating to its operations, policies or practices.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Marcel Teunissen, the Company’s current Executive Vice President and Chief Financial Officer, has assumed the duties as principal accounting officer of the Company on an interim basis, effective June 23, 2026, while the Company conducts a search for a permanent Vice President – Accounting &amp; Controller. Mr. Teunissen was appointed as Executive Vice President and Chief Financial Officer on April 6, 2026.</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are no arrangements or understandings between Mr. Teunissen and any other person pursuant to which he was appointed interim principal accounting officer. Mr. Teunissen does not have any family relationships with any director or executive officer of the Company, or person nominated or chosen by the Company to become a director or executive officer, and he has no direct or indirect material interest in any transaction required to be disclosed pursuant to Item 404(a) of Regulation S-K.</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previously entered into an indemnification agreement with Mr. Teunissen in connection with his appointment as Executive Vice President and Chief Financial Officer, in the form filed by the Company as Exhibit 10.7 to the Company’s Annual Report on Form 10-K filed on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EXPAND ENERGY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CHRIS LACY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34925</wp:posOffset>
            </wp:positionV>
            <wp:extent cx="3025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Chris Lacy</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Executive Vice President, General Counsel and Corporate</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2026</w:t>
      </w:r>
    </w:p>
    <w:sectPr>
      <w:pgSz w:w="11900" w:h="16838" w:orient="portrait"/>
      <w:cols w:equalWidth="0" w:num="1">
        <w:col w:w="11120"/>
      </w:cols>
      <w:pgMar w:left="320" w:top="140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2026-06-26T06:56:47Z</dcterms:created>
  <dcterms:modified xsi:type="dcterms:W3CDTF">2026-06-26T06:56:47Z</dcterms:modified>
</cp:coreProperties>
</file>