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Washington, D.C. 20549</w:t>
      </w:r>
    </w:p>
    <w:p>
      <w:pPr>
        <w:pStyle w:val="TextBody"/>
        <w:bidi w:val="0"/>
        <w:spacing w:lineRule="auto" w:line="288" w:before="100" w:after="40"/>
        <w:jc w:val="center"/>
        <w:rPr>
          <w:rFonts w:ascii="Arial;sans-serif" w:hAnsi="Arial;sans-serif"/>
          <w:b/>
          <w:color w:val="000000"/>
          <w:sz w:val="32"/>
        </w:rPr>
      </w:pPr>
      <w:r>
        <w:rPr>
          <w:rFonts w:ascii="Arial;sans-serif" w:hAnsi="Arial;sans-serif"/>
          <w:b/>
          <w:color w:val="000000"/>
          <w:sz w:val="32"/>
        </w:rPr>
        <w:t xml:space="preserve">FORM 10-Q </w:t>
      </w:r>
    </w:p>
    <w:p>
      <w:pPr>
        <w:pStyle w:val="TextBody"/>
        <w:bidi w:val="0"/>
        <w:spacing w:lineRule="auto" w:line="288" w:before="0" w:after="0"/>
        <w:jc w:val="center"/>
        <w:rPr/>
      </w:pPr>
      <w:r>
        <w:rPr>
          <w:color w:val="000000"/>
        </w:rPr>
        <w:t>☒    </w:t>
      </w:r>
      <w:r>
        <w:rPr>
          <w:rFonts w:ascii="Arial;sans-serif" w:hAnsi="Arial;sans-serif"/>
          <w:b/>
          <w:color w:val="000000"/>
          <w:sz w:val="18"/>
        </w:rPr>
        <w:t>QUARTERLY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quarterly period ended March 31, 2025 </w:t>
      </w:r>
    </w:p>
    <w:p>
      <w:pPr>
        <w:pStyle w:val="TextBody"/>
        <w:bidi w:val="0"/>
        <w:spacing w:lineRule="auto" w:line="288" w:before="60" w:after="283"/>
        <w:jc w:val="center"/>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Commission File No. 001-13726 </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p>
    <w:p>
      <w:pPr>
        <w:pStyle w:val="TextBody"/>
        <w:bidi w:val="0"/>
        <w:spacing w:lineRule="auto" w:line="288" w:before="100" w:after="283"/>
        <w:jc w:val="center"/>
        <w:rPr>
          <w:rFonts w:ascii="Arial;sans-serif" w:hAnsi="Arial;sans-serif"/>
          <w:b/>
          <w:color w:val="000000"/>
          <w:sz w:val="32"/>
        </w:rPr>
      </w:pPr>
      <w:r>
        <w:rPr>
          <w:rFonts w:ascii="Arial;sans-serif" w:hAnsi="Arial;sans-serif"/>
          <w:b/>
          <w:color w:val="000000"/>
          <w:sz w:val="32"/>
        </w:rPr>
        <w:t>EXPAND ENERGY CORPORATION</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727" w:type="dxa"/>
        <w:jc w:val="center"/>
        <w:tblInd w:w="0" w:type="dxa"/>
        <w:tblLayout w:type="fixed"/>
        <w:tblCellMar>
          <w:top w:w="28" w:type="dxa"/>
          <w:left w:w="28" w:type="dxa"/>
          <w:bottom w:w="28" w:type="dxa"/>
          <w:right w:w="28" w:type="dxa"/>
        </w:tblCellMar>
      </w:tblPr>
      <w:tblGrid>
        <w:gridCol w:w="936"/>
        <w:gridCol w:w="822"/>
        <w:gridCol w:w="822"/>
        <w:gridCol w:w="526"/>
        <w:gridCol w:w="526"/>
        <w:gridCol w:w="526"/>
        <w:gridCol w:w="526"/>
        <w:gridCol w:w="526"/>
        <w:gridCol w:w="578"/>
        <w:gridCol w:w="456"/>
        <w:gridCol w:w="456"/>
        <w:gridCol w:w="456"/>
        <w:gridCol w:w="456"/>
        <w:gridCol w:w="456"/>
        <w:gridCol w:w="659"/>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57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Oklahoma</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73-1395733</w:t>
            </w:r>
          </w:p>
        </w:tc>
      </w:tr>
      <w:tr>
        <w:trPr/>
        <w:tc>
          <w:tcPr>
            <w:tcW w:w="5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6100 North Western Avenue,</w:t>
            </w:r>
          </w:p>
        </w:tc>
        <w:tc>
          <w:tcPr>
            <w:tcW w:w="15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Oklahoma City,</w:t>
            </w:r>
          </w:p>
        </w:tc>
        <w:tc>
          <w:tcPr>
            <w:tcW w:w="16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Oklahoma</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73118</w:t>
            </w:r>
          </w:p>
        </w:tc>
      </w:tr>
      <w:tr>
        <w:trPr/>
        <w:tc>
          <w:tcPr>
            <w:tcW w:w="5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(405)</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color w:val="000000"/>
                <w:sz w:val="18"/>
              </w:rPr>
              <w:t>848-8000</w:t>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bl>
    <w:tbl>
      <w:tblPr>
        <w:tblW w:w="10205" w:type="dxa"/>
        <w:jc w:val="center"/>
        <w:tblInd w:w="0" w:type="dxa"/>
        <w:tblLayout w:type="fixed"/>
        <w:tblCellMar>
          <w:top w:w="28" w:type="dxa"/>
          <w:left w:w="28" w:type="dxa"/>
          <w:bottom w:w="28" w:type="dxa"/>
          <w:right w:w="28" w:type="dxa"/>
        </w:tblCellMar>
      </w:tblPr>
      <w:tblGrid>
        <w:gridCol w:w="1338"/>
        <w:gridCol w:w="1157"/>
        <w:gridCol w:w="1151"/>
        <w:gridCol w:w="291"/>
        <w:gridCol w:w="291"/>
        <w:gridCol w:w="291"/>
        <w:gridCol w:w="447"/>
        <w:gridCol w:w="445"/>
        <w:gridCol w:w="432"/>
        <w:gridCol w:w="291"/>
        <w:gridCol w:w="291"/>
        <w:gridCol w:w="291"/>
        <w:gridCol w:w="1022"/>
        <w:gridCol w:w="1022"/>
        <w:gridCol w:w="1445"/>
      </w:tblGrid>
      <w:tr>
        <w:trPr/>
        <w:tc>
          <w:tcPr>
            <w:tcW w:w="13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Securities registered pursuant to Section 12(b) of the Act:</w:t>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Title of each class</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Trading Symbol</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Name of each exchange on which registered</w:t>
            </w:r>
          </w:p>
        </w:tc>
      </w:tr>
      <w:tr>
        <w:trPr/>
        <w:tc>
          <w:tcPr>
            <w:tcW w:w="3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Warrants to purchase Common Stock</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EXEEW</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 Warrants to purchase Common Stock</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EXEEZ</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 Warrants to purchase Common Stock</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EXEEL</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100" w:after="80"/>
        <w:ind w:left="0" w:right="0" w:firstLine="18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 </w:t>
      </w:r>
      <w:r>
        <w:rPr>
          <w:color w:val="000000"/>
        </w:rPr>
        <w:t>☐ </w:t>
      </w:r>
    </w:p>
    <w:p>
      <w:pPr>
        <w:pStyle w:val="TextBody"/>
        <w:bidi w:val="0"/>
        <w:spacing w:lineRule="auto" w:line="288" w:before="120" w:after="80"/>
        <w:ind w:left="0" w:right="0" w:firstLine="18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 </w:t>
      </w:r>
      <w:r>
        <w:rPr>
          <w:color w:val="000000"/>
        </w:rPr>
        <w:t>☐ </w:t>
      </w:r>
    </w:p>
    <w:p>
      <w:pPr>
        <w:pStyle w:val="TextBody"/>
        <w:bidi w:val="0"/>
        <w:spacing w:lineRule="auto" w:line="288" w:before="120" w:after="80"/>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80" w:after="283"/>
        <w:ind w:left="0" w:right="0" w:firstLine="450"/>
        <w:jc w:val="center"/>
        <w:rPr/>
      </w:pPr>
      <w:r>
        <w:rPr>
          <w:rFonts w:ascii="Arial;sans-serif" w:hAnsi="Arial;sans-serif"/>
          <w:b w:val="false"/>
          <w:color w:val="000000"/>
          <w:sz w:val="18"/>
        </w:rPr>
        <w:t xml:space="preserve">Large Accelerated Filer </w:t>
      </w:r>
      <w:r>
        <w:rPr>
          <w:color w:val="000000"/>
        </w:rPr>
        <w:t xml:space="preserve">☒  </w:t>
      </w:r>
      <w:r>
        <w:rPr>
          <w:rFonts w:ascii="Arial;sans-serif" w:hAnsi="Arial;sans-serif"/>
          <w:b w:val="false"/>
          <w:color w:val="000000"/>
          <w:sz w:val="18"/>
        </w:rPr>
        <w:t xml:space="preserve">Accelerated Filer </w:t>
      </w:r>
      <w:r>
        <w:rPr>
          <w:color w:val="000000"/>
        </w:rPr>
        <w:t xml:space="preserve">☐  </w:t>
      </w:r>
      <w:r>
        <w:rPr>
          <w:rFonts w:ascii="Arial;sans-serif" w:hAnsi="Arial;sans-serif"/>
          <w:b w:val="false"/>
          <w:color w:val="000000"/>
          <w:sz w:val="18"/>
        </w:rPr>
        <w:t>Non-accelerated Filer</w:t>
      </w:r>
      <w:r>
        <w:rPr>
          <w:color w:val="000000"/>
        </w:rPr>
        <w:t xml:space="preserve"> ☐  </w:t>
      </w:r>
    </w:p>
    <w:p>
      <w:pPr>
        <w:pStyle w:val="TextBody"/>
        <w:bidi w:val="0"/>
        <w:spacing w:lineRule="auto" w:line="288" w:before="60" w:after="283"/>
        <w:ind w:left="0" w:right="0" w:firstLine="450"/>
        <w:jc w:val="center"/>
        <w:rPr/>
      </w:pPr>
      <w:r>
        <w:rPr>
          <w:rFonts w:ascii="Arial;sans-serif" w:hAnsi="Arial;sans-serif"/>
          <w:b w:val="false"/>
          <w:color w:val="000000"/>
          <w:sz w:val="18"/>
        </w:rPr>
        <w:t xml:space="preserve">Smaller Reporting Company </w:t>
      </w:r>
      <w:r>
        <w:rPr>
          <w:color w:val="000000"/>
        </w:rPr>
        <w:t xml:space="preserve">☐  </w:t>
      </w:r>
      <w:r>
        <w:rPr>
          <w:rFonts w:ascii="Arial;sans-serif" w:hAnsi="Arial;sans-serif"/>
          <w:b w:val="false"/>
          <w:color w:val="000000"/>
          <w:sz w:val="18"/>
        </w:rPr>
        <w:t>Emerging Growth Company</w:t>
      </w:r>
      <w:r>
        <w:rPr>
          <w:color w:val="000000"/>
        </w:rPr>
        <w:t xml:space="preserve"> ☐ </w:t>
      </w:r>
    </w:p>
    <w:p>
      <w:pPr>
        <w:pStyle w:val="TextBody"/>
        <w:bidi w:val="0"/>
        <w:spacing w:lineRule="auto" w:line="288" w:before="120" w:after="80"/>
        <w:ind w:left="0" w:right="0" w:firstLine="18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80"/>
        <w:ind w:left="0" w:right="0" w:firstLine="180"/>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8"/>
        </w:rPr>
        <w:t>No </w:t>
      </w:r>
      <w:r>
        <w:rPr>
          <w:color w:val="000000"/>
        </w:rPr>
        <w:t>☒ </w:t>
      </w:r>
    </w:p>
    <w:p>
      <w:pPr>
        <w:pStyle w:val="TextBody"/>
        <w:bidi w:val="0"/>
        <w:spacing w:lineRule="auto" w:line="288" w:before="120" w:after="80"/>
        <w:ind w:left="0" w:right="0" w:firstLine="180"/>
        <w:jc w:val="both"/>
        <w:rPr/>
      </w:pPr>
      <w:r>
        <w:rPr>
          <w:rFonts w:ascii="Arial;sans-serif" w:hAnsi="Arial;sans-serif"/>
          <w:b w:val="false"/>
          <w:color w:val="000000"/>
          <w:sz w:val="18"/>
        </w:rPr>
        <w:t>Indicate by check mark whether the registrant has filed all documents and reports required to be filed by Sections 12, 13 or 15(d) of the Securities Exchange Act of 1934 subsequent to the distribution of securities under a plan confirmed by a court.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120" w:after="60"/>
        <w:ind w:left="0" w:right="0" w:firstLine="180"/>
        <w:jc w:val="both"/>
        <w:rPr>
          <w:rFonts w:ascii="Arial;sans-serif" w:hAnsi="Arial;sans-serif"/>
          <w:b w:val="false"/>
          <w:color w:val="000000"/>
          <w:sz w:val="18"/>
        </w:rPr>
      </w:pPr>
      <w:r>
        <w:rPr>
          <w:rFonts w:ascii="Arial;sans-serif" w:hAnsi="Arial;sans-serif"/>
          <w:b w:val="false"/>
          <w:color w:val="000000"/>
          <w:sz w:val="18"/>
        </w:rPr>
        <w:t>As of April 24, 2025, there were 237,979,439 shares of our $0.01 par value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INDEX TO FORM 10-Q FOR THE QUARTER ENDED MARCH 31, 2025</w:t>
      </w:r>
    </w:p>
    <w:tbl>
      <w:tblPr>
        <w:tblW w:w="9523" w:type="dxa"/>
        <w:jc w:val="left"/>
        <w:tblInd w:w="0" w:type="dxa"/>
        <w:tblLayout w:type="fixed"/>
        <w:tblCellMar>
          <w:top w:w="28" w:type="dxa"/>
          <w:left w:w="28" w:type="dxa"/>
          <w:bottom w:w="28" w:type="dxa"/>
          <w:right w:w="28" w:type="dxa"/>
        </w:tblCellMar>
      </w:tblPr>
      <w:tblGrid>
        <w:gridCol w:w="315"/>
        <w:gridCol w:w="276"/>
        <w:gridCol w:w="279"/>
        <w:gridCol w:w="2613"/>
        <w:gridCol w:w="2613"/>
        <w:gridCol w:w="2619"/>
        <w:gridCol w:w="109"/>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e336afd30b40464eac7d81391acfd742_13">
              <w:r>
                <w:rPr>
                  <w:rStyle w:val="InternetLink"/>
                  <w:rFonts w:ascii="Arial;sans-serif" w:hAnsi="Arial;sans-serif"/>
                  <w:b/>
                  <w:color w:val="0000FF"/>
                  <w:sz w:val="20"/>
                  <w:u w:val="single"/>
                </w:rPr>
                <w:t>PART I. FINANCIAL INFORMATION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6">
              <w:r>
                <w:rPr>
                  <w:rStyle w:val="InternetLink"/>
                  <w:rFonts w:ascii="Arial;sans-serif" w:hAnsi="Arial;sans-serif"/>
                  <w:b w:val="false"/>
                  <w:color w:val="0000FF"/>
                  <w:sz w:val="20"/>
                  <w:u w:val="single"/>
                </w:rPr>
                <w:t>Item 1.</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6">
              <w:r>
                <w:rPr>
                  <w:rStyle w:val="InternetLink"/>
                  <w:rFonts w:ascii="Arial;sans-serif" w:hAnsi="Arial;sans-serif"/>
                  <w:b w:val="false"/>
                  <w:color w:val="0000FF"/>
                  <w:sz w:val="20"/>
                  <w:u w:val="single"/>
                </w:rPr>
                <w:t>Condensed Consolidated Financial Statements (Unaudited)</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e336afd30b40464eac7d81391acfd742_19">
              <w:r>
                <w:rPr>
                  <w:rStyle w:val="InternetLink"/>
                  <w:rFonts w:ascii="Arial;sans-serif" w:hAnsi="Arial;sans-serif"/>
                  <w:b w:val="false"/>
                  <w:color w:val="0000FF"/>
                  <w:sz w:val="20"/>
                  <w:u w:val="single"/>
                </w:rPr>
                <w:t>Condensed Consolidated Balance Sheets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9">
              <w:r>
                <w:rPr>
                  <w:rStyle w:val="InternetLink"/>
                  <w:rFonts w:ascii="Arial;sans-serif" w:hAnsi="Arial;sans-serif"/>
                  <w:b w:val="false"/>
                  <w:color w:val="0000FF"/>
                  <w:sz w:val="20"/>
                  <w:u w:val="single"/>
                </w:rPr>
                <w:t>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e336afd30b40464eac7d81391acfd742_22">
              <w:r>
                <w:rPr>
                  <w:rStyle w:val="InternetLink"/>
                  <w:rFonts w:ascii="Arial;sans-serif" w:hAnsi="Arial;sans-serif"/>
                  <w:b w:val="false"/>
                  <w:color w:val="0000FF"/>
                  <w:sz w:val="20"/>
                  <w:u w:val="single"/>
                </w:rPr>
                <w:t>Condensed Consolidated Statements of Operations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22">
              <w:r>
                <w:rPr>
                  <w:rStyle w:val="InternetLink"/>
                  <w:rFonts w:ascii="Arial;sans-serif" w:hAnsi="Arial;sans-serif"/>
                  <w:b w:val="false"/>
                  <w:color w:val="0000FF"/>
                  <w:sz w:val="20"/>
                  <w:u w:val="single"/>
                </w:rPr>
                <w:t>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336afd30b40464eac7d81391acfd742_25">
              <w:r>
                <w:rPr>
                  <w:rStyle w:val="InternetLink"/>
                  <w:rFonts w:ascii="Arial;sans-serif" w:hAnsi="Arial;sans-serif"/>
                  <w:b w:val="false"/>
                  <w:color w:val="0000FF"/>
                  <w:sz w:val="20"/>
                  <w:u w:val="single"/>
                </w:rPr>
                <w:t>Condensed Consolidated Statements of Cash Flows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25">
              <w:r>
                <w:rPr>
                  <w:rStyle w:val="InternetLink"/>
                  <w:rFonts w:ascii="Arial;sans-serif" w:hAnsi="Arial;sans-serif"/>
                  <w:b w:val="false"/>
                  <w:color w:val="0000FF"/>
                  <w:sz w:val="20"/>
                  <w:u w:val="singl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336afd30b40464eac7d81391acfd742_28">
              <w:r>
                <w:rPr>
                  <w:rStyle w:val="InternetLink"/>
                  <w:rFonts w:ascii="Arial;sans-serif" w:hAnsi="Arial;sans-serif"/>
                  <w:b w:val="false"/>
                  <w:color w:val="0000FF"/>
                  <w:sz w:val="20"/>
                  <w:u w:val="single"/>
                </w:rPr>
                <w:t>Condensed Consolidated Statements of Stockholders’ Equity</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28">
              <w:r>
                <w:rPr>
                  <w:rStyle w:val="InternetLink"/>
                  <w:rFonts w:ascii="Arial;sans-serif" w:hAnsi="Arial;sans-serif"/>
                  <w:b w:val="false"/>
                  <w:color w:val="0000FF"/>
                  <w:sz w:val="20"/>
                  <w:u w:val="single"/>
                </w:rPr>
                <w:t>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31">
              <w:r>
                <w:rPr>
                  <w:rStyle w:val="InternetLink"/>
                  <w:rFonts w:ascii="Arial;sans-serif" w:hAnsi="Arial;sans-serif"/>
                  <w:b w:val="false"/>
                  <w:color w:val="0000FF"/>
                  <w:sz w:val="20"/>
                  <w:u w:val="single"/>
                </w:rPr>
                <w:t>Notes to Condensed Consolidated Financial Statements (Unaudited)</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34">
              <w:r>
                <w:rPr>
                  <w:rStyle w:val="InternetLink"/>
                  <w:rFonts w:ascii="Arial;sans-serif" w:hAnsi="Arial;sans-serif"/>
                  <w:b w:val="false"/>
                  <w:color w:val="0000FF"/>
                  <w:sz w:val="20"/>
                  <w:u w:val="single"/>
                </w:rPr>
                <w:t>Note 1. Basis of Presentation and Summary of Significant Accounting Policies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34">
              <w:r>
                <w:rPr>
                  <w:rStyle w:val="InternetLink"/>
                  <w:rFonts w:ascii="Arial;sans-serif" w:hAnsi="Arial;sans-serif"/>
                  <w:b w:val="false"/>
                  <w:color w:val="0000FF"/>
                  <w:sz w:val="20"/>
                  <w:u w:val="single"/>
                </w:rPr>
                <w:t>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37">
              <w:r>
                <w:rPr>
                  <w:rStyle w:val="InternetLink"/>
                  <w:rFonts w:ascii="Arial;sans-serif" w:hAnsi="Arial;sans-serif"/>
                  <w:b w:val="false"/>
                  <w:color w:val="0000FF"/>
                  <w:sz w:val="20"/>
                  <w:u w:val="single"/>
                </w:rPr>
                <w:t>Note 2. Natural Gas and Oil Property Transactions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37">
              <w:r>
                <w:rPr>
                  <w:rStyle w:val="InternetLink"/>
                  <w:rFonts w:ascii="Arial;sans-serif" w:hAnsi="Arial;sans-serif"/>
                  <w:b w:val="false"/>
                  <w:color w:val="0000FF"/>
                  <w:sz w:val="20"/>
                  <w:u w:val="single"/>
                </w:rPr>
                <w:t>10</w:t>
              </w:r>
            </w:hyperlink>
          </w:p>
        </w:tc>
        <w:tc>
          <w:tcPr>
            <w:tcW w:w="154" w:type="dxa"/>
            <w:tcBorders/>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40">
              <w:r>
                <w:rPr>
                  <w:rStyle w:val="InternetLink"/>
                  <w:rFonts w:ascii="Arial;sans-serif" w:hAnsi="Arial;sans-serif"/>
                  <w:b w:val="false"/>
                  <w:color w:val="0000FF"/>
                  <w:sz w:val="20"/>
                  <w:u w:val="single"/>
                </w:rPr>
                <w:t>Note 3. Earnings Per Share</w:t>
              </w:r>
            </w:hyperlink>
            <w:r>
              <w:rPr>
                <w:color w:val="000000"/>
              </w:rPr>
              <w:t xml:space="preserve"> </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40">
              <w:r>
                <w:rPr>
                  <w:rStyle w:val="InternetLink"/>
                  <w:rFonts w:ascii="Arial;sans-serif" w:hAnsi="Arial;sans-serif"/>
                  <w:b w:val="false"/>
                  <w:color w:val="0000FF"/>
                  <w:sz w:val="20"/>
                  <w:u w:val="singl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43">
              <w:r>
                <w:rPr>
                  <w:rStyle w:val="InternetLink"/>
                  <w:rFonts w:ascii="Arial;sans-serif" w:hAnsi="Arial;sans-serif"/>
                  <w:b w:val="false"/>
                  <w:color w:val="0000FF"/>
                  <w:sz w:val="20"/>
                  <w:u w:val="single"/>
                </w:rPr>
                <w:t>Note 4. Debt</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43">
              <w:r>
                <w:rPr>
                  <w:rStyle w:val="InternetLink"/>
                  <w:rFonts w:ascii="Arial;sans-serif" w:hAnsi="Arial;sans-serif"/>
                  <w:b w:val="false"/>
                  <w:color w:val="0000FF"/>
                  <w:sz w:val="20"/>
                  <w:u w:val="single"/>
                </w:rPr>
                <w:t>14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46">
              <w:r>
                <w:rPr>
                  <w:rStyle w:val="InternetLink"/>
                  <w:rFonts w:ascii="Arial;sans-serif" w:hAnsi="Arial;sans-serif"/>
                  <w:b w:val="false"/>
                  <w:color w:val="0000FF"/>
                  <w:sz w:val="20"/>
                  <w:u w:val="single"/>
                </w:rPr>
                <w:t>Note 5. Contingencies and Commitments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46">
              <w:r>
                <w:rPr>
                  <w:rStyle w:val="InternetLink"/>
                  <w:rFonts w:ascii="Arial;sans-serif" w:hAnsi="Arial;sans-serif"/>
                  <w:b w:val="false"/>
                  <w:color w:val="0000FF"/>
                  <w:sz w:val="20"/>
                  <w:u w:val="singl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52">
              <w:r>
                <w:rPr>
                  <w:rStyle w:val="InternetLink"/>
                  <w:rFonts w:ascii="Arial;sans-serif" w:hAnsi="Arial;sans-serif"/>
                  <w:b w:val="false"/>
                  <w:color w:val="0000FF"/>
                  <w:sz w:val="20"/>
                  <w:u w:val="single"/>
                </w:rPr>
                <w:t>Note 6. Other Current Liabilities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52">
              <w:r>
                <w:rPr>
                  <w:rStyle w:val="InternetLink"/>
                  <w:rFonts w:ascii="Arial;sans-serif" w:hAnsi="Arial;sans-serif"/>
                  <w:b w:val="false"/>
                  <w:color w:val="0000FF"/>
                  <w:sz w:val="20"/>
                  <w:u w:val="singl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55">
              <w:r>
                <w:rPr>
                  <w:rStyle w:val="InternetLink"/>
                  <w:rFonts w:ascii="Arial;sans-serif" w:hAnsi="Arial;sans-serif"/>
                  <w:b w:val="false"/>
                  <w:color w:val="0000FF"/>
                  <w:sz w:val="20"/>
                  <w:u w:val="single"/>
                </w:rPr>
                <w:t>Note 7. Revenue</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55">
              <w:r>
                <w:rPr>
                  <w:rStyle w:val="InternetLink"/>
                  <w:rFonts w:ascii="Arial;sans-serif" w:hAnsi="Arial;sans-serif"/>
                  <w:b w:val="false"/>
                  <w:color w:val="0000FF"/>
                  <w:sz w:val="20"/>
                  <w:u w:val="singl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336afd30b40464eac7d81391acfd742_58">
              <w:r>
                <w:rPr>
                  <w:rStyle w:val="InternetLink"/>
                  <w:rFonts w:ascii="Arial;sans-serif" w:hAnsi="Arial;sans-serif"/>
                  <w:b w:val="false"/>
                  <w:color w:val="0000FF"/>
                  <w:sz w:val="20"/>
                  <w:u w:val="single"/>
                </w:rPr>
                <w:t>Note 8. Income Taxes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58">
              <w:r>
                <w:rPr>
                  <w:rStyle w:val="InternetLink"/>
                  <w:rFonts w:ascii="Arial;sans-serif" w:hAnsi="Arial;sans-serif"/>
                  <w:b w:val="false"/>
                  <w:color w:val="0000FF"/>
                  <w:sz w:val="20"/>
                  <w:u w:val="single"/>
                </w:rPr>
                <w:t>17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61">
              <w:r>
                <w:rPr>
                  <w:rStyle w:val="InternetLink"/>
                  <w:rFonts w:ascii="Arial;sans-serif" w:hAnsi="Arial;sans-serif"/>
                  <w:b w:val="false"/>
                  <w:color w:val="0000FF"/>
                  <w:sz w:val="20"/>
                  <w:u w:val="single"/>
                </w:rPr>
                <w:t>Note 9. Equity</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61">
              <w:r>
                <w:rPr>
                  <w:rStyle w:val="InternetLink"/>
                  <w:rFonts w:ascii="Arial;sans-serif" w:hAnsi="Arial;sans-serif"/>
                  <w:b w:val="false"/>
                  <w:color w:val="0000FF"/>
                  <w:sz w:val="20"/>
                  <w:u w:val="single"/>
                </w:rPr>
                <w:t>18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64">
              <w:r>
                <w:rPr>
                  <w:rStyle w:val="InternetLink"/>
                  <w:rFonts w:ascii="Arial;sans-serif" w:hAnsi="Arial;sans-serif"/>
                  <w:b w:val="false"/>
                  <w:color w:val="0000FF"/>
                  <w:sz w:val="20"/>
                  <w:u w:val="single"/>
                </w:rPr>
                <w:t>Note 10. Share-Based Compensation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64">
              <w:r>
                <w:rPr>
                  <w:rStyle w:val="InternetLink"/>
                  <w:rFonts w:ascii="Arial;sans-serif" w:hAnsi="Arial;sans-serif"/>
                  <w:b w:val="false"/>
                  <w:color w:val="0000FF"/>
                  <w:sz w:val="20"/>
                  <w:u w:val="single"/>
                </w:rPr>
                <w:t>19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67">
              <w:r>
                <w:rPr>
                  <w:rStyle w:val="InternetLink"/>
                  <w:rFonts w:ascii="Arial;sans-serif" w:hAnsi="Arial;sans-serif"/>
                  <w:b w:val="false"/>
                  <w:color w:val="0000FF"/>
                  <w:sz w:val="20"/>
                  <w:u w:val="single"/>
                </w:rPr>
                <w:t>Note 11. Derivative and Hedging Activities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67">
              <w:r>
                <w:rPr>
                  <w:rStyle w:val="InternetLink"/>
                  <w:rFonts w:ascii="Arial;sans-serif" w:hAnsi="Arial;sans-serif"/>
                  <w:b w:val="false"/>
                  <w:color w:val="0000FF"/>
                  <w:sz w:val="20"/>
                  <w:u w:val="singl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70">
              <w:r>
                <w:rPr>
                  <w:rStyle w:val="InternetLink"/>
                  <w:rFonts w:ascii="Arial;sans-serif" w:hAnsi="Arial;sans-serif"/>
                  <w:b w:val="false"/>
                  <w:color w:val="0000FF"/>
                  <w:sz w:val="20"/>
                  <w:u w:val="single"/>
                </w:rPr>
                <w:t>Note 12. Investments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70">
              <w:r>
                <w:rPr>
                  <w:rStyle w:val="InternetLink"/>
                  <w:rFonts w:ascii="Arial;sans-serif" w:hAnsi="Arial;sans-serif"/>
                  <w:b w:val="false"/>
                  <w:color w:val="0000FF"/>
                  <w:sz w:val="20"/>
                  <w:u w:val="single"/>
                </w:rPr>
                <w:t>22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60">
              <w:r>
                <w:rPr>
                  <w:rStyle w:val="InternetLink"/>
                  <w:rFonts w:ascii="Arial;sans-serif" w:hAnsi="Arial;sans-serif"/>
                  <w:b w:val="false"/>
                  <w:color w:val="0000FF"/>
                  <w:sz w:val="20"/>
                  <w:u w:val="single"/>
                </w:rPr>
                <w:t>Note 13. Supplemental Cash Flow Information</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060">
              <w:r>
                <w:rPr>
                  <w:rStyle w:val="InternetLink"/>
                  <w:rFonts w:ascii="Arial;sans-serif" w:hAnsi="Arial;sans-serif"/>
                  <w:b w:val="false"/>
                  <w:color w:val="0000FF"/>
                  <w:sz w:val="20"/>
                  <w:u w:val="single"/>
                </w:rPr>
                <w:t>23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66">
              <w:r>
                <w:rPr>
                  <w:rStyle w:val="InternetLink"/>
                  <w:rFonts w:ascii="Arial;sans-serif" w:hAnsi="Arial;sans-serif"/>
                  <w:b w:val="false"/>
                  <w:color w:val="0000FF"/>
                  <w:sz w:val="20"/>
                  <w:u w:val="single"/>
                </w:rPr>
                <w:t>Note 14. Segment Information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066">
              <w:r>
                <w:rPr>
                  <w:rStyle w:val="InternetLink"/>
                  <w:rFonts w:ascii="Arial;sans-serif" w:hAnsi="Arial;sans-serif"/>
                  <w:b w:val="false"/>
                  <w:color w:val="0000FF"/>
                  <w:sz w:val="20"/>
                  <w:u w:val="single"/>
                </w:rPr>
                <w:t>23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73">
              <w:r>
                <w:rPr>
                  <w:rStyle w:val="InternetLink"/>
                  <w:rFonts w:ascii="Arial;sans-serif" w:hAnsi="Arial;sans-serif"/>
                  <w:b w:val="false"/>
                  <w:color w:val="0000FF"/>
                  <w:sz w:val="20"/>
                  <w:u w:val="single"/>
                </w:rPr>
                <w:t>Item 2.</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73">
              <w:r>
                <w:rPr>
                  <w:rStyle w:val="InternetLink"/>
                  <w:rFonts w:ascii="Arial;sans-serif" w:hAnsi="Arial;sans-serif"/>
                  <w:b w:val="false"/>
                  <w:color w:val="0000FF"/>
                  <w:sz w:val="20"/>
                  <w:u w:val="single"/>
                </w:rPr>
                <w:t>Management’s Discussion and Analysis of Financial Condition and Results of Operations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73">
              <w:r>
                <w:rPr>
                  <w:rStyle w:val="InternetLink"/>
                  <w:rFonts w:ascii="Arial;sans-serif" w:hAnsi="Arial;sans-serif"/>
                  <w:b w:val="false"/>
                  <w:color w:val="0000FF"/>
                  <w:sz w:val="20"/>
                  <w:u w:val="single"/>
                </w:rPr>
                <w:t>24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82">
              <w:r>
                <w:rPr>
                  <w:rStyle w:val="InternetLink"/>
                  <w:rFonts w:ascii="Arial;sans-serif" w:hAnsi="Arial;sans-serif"/>
                  <w:b w:val="false"/>
                  <w:color w:val="0000FF"/>
                  <w:sz w:val="20"/>
                  <w:u w:val="single"/>
                </w:rPr>
                <w:t>Liquidity and Capital Resources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82">
              <w:r>
                <w:rPr>
                  <w:rStyle w:val="InternetLink"/>
                  <w:rFonts w:ascii="Arial;sans-serif" w:hAnsi="Arial;sans-serif"/>
                  <w:b w:val="false"/>
                  <w:color w:val="0000FF"/>
                  <w:sz w:val="20"/>
                  <w:u w:val="single"/>
                </w:rPr>
                <w:t>26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85">
              <w:r>
                <w:rPr>
                  <w:rStyle w:val="InternetLink"/>
                  <w:rFonts w:ascii="Arial;sans-serif" w:hAnsi="Arial;sans-serif"/>
                  <w:b w:val="false"/>
                  <w:color w:val="0000FF"/>
                  <w:sz w:val="20"/>
                  <w:u w:val="single"/>
                </w:rPr>
                <w:t>Results of Operations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85">
              <w:r>
                <w:rPr>
                  <w:rStyle w:val="InternetLink"/>
                  <w:rFonts w:ascii="Arial;sans-serif" w:hAnsi="Arial;sans-serif"/>
                  <w:b w:val="false"/>
                  <w:color w:val="0000FF"/>
                  <w:sz w:val="20"/>
                  <w:u w:val="single"/>
                </w:rPr>
                <w:t>29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91">
              <w:r>
                <w:rPr>
                  <w:rStyle w:val="InternetLink"/>
                  <w:rFonts w:ascii="Arial;sans-serif" w:hAnsi="Arial;sans-serif"/>
                  <w:b w:val="false"/>
                  <w:color w:val="0000FF"/>
                  <w:sz w:val="20"/>
                  <w:u w:val="single"/>
                </w:rPr>
                <w:t>Item 3.</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91">
              <w:r>
                <w:rPr>
                  <w:rStyle w:val="InternetLink"/>
                  <w:rFonts w:ascii="Arial;sans-serif" w:hAnsi="Arial;sans-serif"/>
                  <w:b w:val="false"/>
                  <w:color w:val="0000FF"/>
                  <w:sz w:val="20"/>
                  <w:u w:val="single"/>
                </w:rPr>
                <w:t>Quantitative and Qualitative Disclosures About Market Risk</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91">
              <w:r>
                <w:rPr>
                  <w:rStyle w:val="InternetLink"/>
                  <w:rFonts w:ascii="Arial;sans-serif" w:hAnsi="Arial;sans-serif"/>
                  <w:b w:val="false"/>
                  <w:color w:val="0000FF"/>
                  <w:sz w:val="20"/>
                  <w:u w:val="single"/>
                </w:rPr>
                <w:t>35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94">
              <w:r>
                <w:rPr>
                  <w:rStyle w:val="InternetLink"/>
                  <w:rFonts w:ascii="Arial;sans-serif" w:hAnsi="Arial;sans-serif"/>
                  <w:b w:val="false"/>
                  <w:color w:val="0000FF"/>
                  <w:sz w:val="20"/>
                  <w:u w:val="single"/>
                </w:rPr>
                <w:t>Item 4.</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94">
              <w:r>
                <w:rPr>
                  <w:rStyle w:val="InternetLink"/>
                  <w:rFonts w:ascii="Arial;sans-serif" w:hAnsi="Arial;sans-serif"/>
                  <w:b w:val="false"/>
                  <w:color w:val="0000FF"/>
                  <w:sz w:val="20"/>
                  <w:u w:val="single"/>
                </w:rPr>
                <w:t>Controls and Procedures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94">
              <w:r>
                <w:rPr>
                  <w:rStyle w:val="InternetLink"/>
                  <w:rFonts w:ascii="Arial;sans-serif" w:hAnsi="Arial;sans-serif"/>
                  <w:b w:val="false"/>
                  <w:color w:val="0000FF"/>
                  <w:sz w:val="20"/>
                  <w:u w:val="single"/>
                </w:rPr>
                <w:t>36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97">
              <w:r>
                <w:rPr>
                  <w:rStyle w:val="InternetLink"/>
                  <w:rFonts w:ascii="Arial;sans-serif" w:hAnsi="Arial;sans-serif"/>
                  <w:b/>
                  <w:color w:val="0000FF"/>
                  <w:sz w:val="20"/>
                  <w:u w:val="single"/>
                </w:rPr>
                <w:t>PART II. OTHER INFORMATION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0">
              <w:r>
                <w:rPr>
                  <w:rStyle w:val="InternetLink"/>
                  <w:rFonts w:ascii="Arial;sans-serif" w:hAnsi="Arial;sans-serif"/>
                  <w:b w:val="false"/>
                  <w:color w:val="0000FF"/>
                  <w:sz w:val="20"/>
                  <w:u w:val="single"/>
                </w:rPr>
                <w:t>Item 1.</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0">
              <w:r>
                <w:rPr>
                  <w:rStyle w:val="InternetLink"/>
                  <w:rFonts w:ascii="Arial;sans-serif" w:hAnsi="Arial;sans-serif"/>
                  <w:b w:val="false"/>
                  <w:color w:val="0000FF"/>
                  <w:sz w:val="20"/>
                  <w:u w:val="single"/>
                </w:rPr>
                <w:t>Legal Proceedings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00">
              <w:r>
                <w:rPr>
                  <w:rStyle w:val="InternetLink"/>
                  <w:rFonts w:ascii="Arial;sans-serif" w:hAnsi="Arial;sans-serif"/>
                  <w:b w:val="false"/>
                  <w:color w:val="0000FF"/>
                  <w:sz w:val="20"/>
                  <w:u w:val="singl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3">
              <w:r>
                <w:rPr>
                  <w:rStyle w:val="InternetLink"/>
                  <w:rFonts w:ascii="Arial;sans-serif" w:hAnsi="Arial;sans-serif"/>
                  <w:b w:val="false"/>
                  <w:color w:val="0000FF"/>
                  <w:sz w:val="20"/>
                  <w:u w:val="single"/>
                </w:rPr>
                <w:t>Item 1A.</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3">
              <w:r>
                <w:rPr>
                  <w:rStyle w:val="InternetLink"/>
                  <w:rFonts w:ascii="Arial;sans-serif" w:hAnsi="Arial;sans-serif"/>
                  <w:b w:val="false"/>
                  <w:color w:val="0000FF"/>
                  <w:sz w:val="20"/>
                  <w:u w:val="single"/>
                </w:rPr>
                <w:t>Risk Factors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03">
              <w:r>
                <w:rPr>
                  <w:rStyle w:val="InternetLink"/>
                  <w:rFonts w:ascii="Arial;sans-serif" w:hAnsi="Arial;sans-serif"/>
                  <w:b w:val="false"/>
                  <w:color w:val="0000FF"/>
                  <w:sz w:val="20"/>
                  <w:u w:val="singl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6">
              <w:r>
                <w:rPr>
                  <w:rStyle w:val="InternetLink"/>
                  <w:rFonts w:ascii="Arial;sans-serif" w:hAnsi="Arial;sans-serif"/>
                  <w:b w:val="false"/>
                  <w:color w:val="0000FF"/>
                  <w:sz w:val="20"/>
                  <w:u w:val="single"/>
                </w:rPr>
                <w:t>Item 2.</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6">
              <w:r>
                <w:rPr>
                  <w:rStyle w:val="InternetLink"/>
                  <w:rFonts w:ascii="Arial;sans-serif" w:hAnsi="Arial;sans-serif"/>
                  <w:b w:val="false"/>
                  <w:color w:val="0000FF"/>
                  <w:sz w:val="20"/>
                  <w:u w:val="single"/>
                </w:rPr>
                <w:t>Unregistered Sales of Equity Securities and Use of Proceeds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06">
              <w:r>
                <w:rPr>
                  <w:rStyle w:val="InternetLink"/>
                  <w:rFonts w:ascii="Arial;sans-serif" w:hAnsi="Arial;sans-serif"/>
                  <w:b w:val="false"/>
                  <w:color w:val="0000FF"/>
                  <w:sz w:val="20"/>
                  <w:u w:val="singl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9">
              <w:r>
                <w:rPr>
                  <w:rStyle w:val="InternetLink"/>
                  <w:rFonts w:ascii="Arial;sans-serif" w:hAnsi="Arial;sans-serif"/>
                  <w:b w:val="false"/>
                  <w:color w:val="0000FF"/>
                  <w:sz w:val="20"/>
                  <w:u w:val="single"/>
                </w:rPr>
                <w:t>Item 3.</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09">
              <w:r>
                <w:rPr>
                  <w:rStyle w:val="InternetLink"/>
                  <w:rFonts w:ascii="Arial;sans-serif" w:hAnsi="Arial;sans-serif"/>
                  <w:b w:val="false"/>
                  <w:color w:val="0000FF"/>
                  <w:sz w:val="20"/>
                  <w:u w:val="single"/>
                </w:rPr>
                <w:t>Defaults Upon Senior Securities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09">
              <w:r>
                <w:rPr>
                  <w:rStyle w:val="InternetLink"/>
                  <w:rFonts w:ascii="Arial;sans-serif" w:hAnsi="Arial;sans-serif"/>
                  <w:b w:val="false"/>
                  <w:color w:val="0000FF"/>
                  <w:sz w:val="20"/>
                  <w:u w:val="singl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12">
              <w:r>
                <w:rPr>
                  <w:rStyle w:val="InternetLink"/>
                  <w:rFonts w:ascii="Arial;sans-serif" w:hAnsi="Arial;sans-serif"/>
                  <w:b w:val="false"/>
                  <w:color w:val="0000FF"/>
                  <w:sz w:val="20"/>
                  <w:u w:val="single"/>
                </w:rPr>
                <w:t>Item 4.</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12">
              <w:r>
                <w:rPr>
                  <w:rStyle w:val="InternetLink"/>
                  <w:rFonts w:ascii="Arial;sans-serif" w:hAnsi="Arial;sans-serif"/>
                  <w:b w:val="false"/>
                  <w:color w:val="0000FF"/>
                  <w:sz w:val="20"/>
                  <w:u w:val="single"/>
                </w:rPr>
                <w:t>Mine Safety Disclosures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12">
              <w:r>
                <w:rPr>
                  <w:rStyle w:val="InternetLink"/>
                  <w:rFonts w:ascii="Arial;sans-serif" w:hAnsi="Arial;sans-serif"/>
                  <w:b w:val="false"/>
                  <w:color w:val="0000FF"/>
                  <w:sz w:val="20"/>
                  <w:u w:val="single"/>
                </w:rPr>
                <w:t>38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15">
              <w:r>
                <w:rPr>
                  <w:rStyle w:val="InternetLink"/>
                  <w:rFonts w:ascii="Arial;sans-serif" w:hAnsi="Arial;sans-serif"/>
                  <w:b w:val="false"/>
                  <w:color w:val="0000FF"/>
                  <w:sz w:val="20"/>
                  <w:u w:val="single"/>
                </w:rPr>
                <w:t>Item 5.</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15">
              <w:r>
                <w:rPr>
                  <w:rStyle w:val="InternetLink"/>
                  <w:rFonts w:ascii="Arial;sans-serif" w:hAnsi="Arial;sans-serif"/>
                  <w:b w:val="false"/>
                  <w:color w:val="0000FF"/>
                  <w:sz w:val="20"/>
                  <w:u w:val="single"/>
                </w:rPr>
                <w:t>Other Information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15">
              <w:r>
                <w:rPr>
                  <w:rStyle w:val="InternetLink"/>
                  <w:rFonts w:ascii="Arial;sans-serif" w:hAnsi="Arial;sans-serif"/>
                  <w:b w:val="false"/>
                  <w:color w:val="0000FF"/>
                  <w:sz w:val="20"/>
                  <w:u w:val="single"/>
                </w:rPr>
                <w:t>38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18">
              <w:r>
                <w:rPr>
                  <w:rStyle w:val="InternetLink"/>
                  <w:rFonts w:ascii="Arial;sans-serif" w:hAnsi="Arial;sans-serif"/>
                  <w:b w:val="false"/>
                  <w:color w:val="0000FF"/>
                  <w:sz w:val="20"/>
                  <w:u w:val="single"/>
                </w:rPr>
                <w:t>Item 6.</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18">
              <w:r>
                <w:rPr>
                  <w:rStyle w:val="InternetLink"/>
                  <w:rFonts w:ascii="Arial;sans-serif" w:hAnsi="Arial;sans-serif"/>
                  <w:b w:val="false"/>
                  <w:color w:val="0000FF"/>
                  <w:sz w:val="20"/>
                  <w:u w:val="single"/>
                </w:rPr>
                <w:t>Exhibits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18">
              <w:r>
                <w:rPr>
                  <w:rStyle w:val="InternetLink"/>
                  <w:rFonts w:ascii="Arial;sans-serif" w:hAnsi="Arial;sans-serif"/>
                  <w:b w:val="false"/>
                  <w:color w:val="0000FF"/>
                  <w:sz w:val="20"/>
                  <w:u w:val="single"/>
                </w:rPr>
                <w:t>38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15"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e336afd30b40464eac7d81391acfd742_121">
              <w:r>
                <w:rPr>
                  <w:rStyle w:val="InternetLink"/>
                  <w:rFonts w:ascii="Arial;sans-serif" w:hAnsi="Arial;sans-serif"/>
                  <w:b w:val="false"/>
                  <w:color w:val="0000FF"/>
                  <w:sz w:val="20"/>
                  <w:u w:val="single"/>
                </w:rPr>
                <w:t>Signatures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e336afd30b40464eac7d81391acfd742_121">
              <w:r>
                <w:rPr>
                  <w:rStyle w:val="InternetLink"/>
                  <w:rFonts w:ascii="Arial;sans-serif" w:hAnsi="Arial;sans-serif"/>
                  <w:b w:val="false"/>
                  <w:color w:val="0000FF"/>
                  <w:sz w:val="20"/>
                  <w:u w:val="single"/>
                </w:rPr>
                <w:t>40</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450"/>
        <w:jc w:val="both"/>
        <w:rPr/>
      </w:pPr>
      <w:r>
        <w:rPr/>
      </w:r>
    </w:p>
    <w:tbl>
      <w:tblPr>
        <w:tblW w:w="3224" w:type="dxa"/>
        <w:jc w:val="left"/>
        <w:tblInd w:w="0" w:type="dxa"/>
        <w:tblLayout w:type="fixed"/>
        <w:tblCellMar>
          <w:top w:w="28" w:type="dxa"/>
          <w:left w:w="28" w:type="dxa"/>
          <w:bottom w:w="28" w:type="dxa"/>
          <w:right w:w="28" w:type="dxa"/>
        </w:tblCellMar>
      </w:tblPr>
      <w:tblGrid>
        <w:gridCol w:w="1031"/>
        <w:gridCol w:w="907"/>
        <w:gridCol w:w="1286"/>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Explanatory Note and Definitions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October 1, 2024, Chesapeake Energy Corporation completed its previously announced merger with Southwestern Energy Company. In connection with the Southwestern Merger (as defined below), Chesapeake Energy Corporation changed its name to Expand Energy Corporation.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Unless the context otherwise indicates, references to “us,” “we,” “our,” “ours,” “Expand Energy,” the “Company” and “Registrant” refer to Expand Energy Corporation and its consolidated subsidiaries. All monetary values, other than per unit and per share amounts, are stated in millions of U.S. dollars unless otherwise specified. The following are other abbreviations and definitions of certain terms used within this Quarterly Report on Form 10-Q:</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ASU” means Accounting Standards Update.</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Bankruptcy Code” means Title 11 of the United States Code, 11 U.S.C. §§ 101–1532, as amended.</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Bankruptcy Court” means the United States Bankruptcy Court for the Southern District of Texas.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Bbl” or “Bbls” means one stock tank barrel, or 42 U.S. gallons liquid volume, used in reference to oil or other liquid hydrocarbons.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Bcf” means billion cubic feet.</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Bcfe” means billion cubic feet of natural gas equivalent.</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Chapter 11 Cases” means, when used with reference to a particular Debtor, the case pending for that Debtor under Chapter 11 of the Bankruptcy Code in the Bankruptcy Court, and when used with reference to all the Debtors, the procedurally consolidated Chapter 11 cases pending for the Debtors in the Bankruptcy Court.</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Chesapeake” means Chesapeake Energy Corporation, prior to the Southwestern Merger.</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Class A Warrants” means warrants to purchase 10 percent of the common stock (after giving effect to the Rights Offering, but subject to dilution by the Management Incentive Plan, the Class B Warrants, and the Class C Warrants), at an initial exercise price per share of $27.63. The Class A Warrants are exercisable from the Effective Date until February 9, 2026.</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Class B Warrants” means warrants to purchase 10 percent of the common stock (after giving effect to the Rights Offering, but subject to dilution by the Management Incentive Plan and the Class C Warrants), at an initial exercise price per share of $32.13. The Class B Warrants are exercisable from the Effective Date until February 9, 2026.</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Class C Warrants” means warrants to purchase 10 percent of the common stock (after giving effect to the Rights Offering, but subject to dilution by the Management Incentive Plan), at an initial exercise price per share of $36.18. The Class C Warrants are exercisable from the Effective Date until February 9, 2026.</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Confirmation Order” means the order confirming the Fifth Amended Joint Chapter 11 Plan of Reorganization of Chesapeake Energy Corporation and its Debtor Affiliates, Docket No. 2915, entered by the Bankruptcy Court on January 16, 2021.</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Credit Facility” means the reserve-based credit facility entered into on December 9, 2022.</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Current Quarter” means the three months ended March 31, 2025.</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DD&amp;A” means depreciation, depletion and amortization.</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Debtors” means Chesapeake Energy Corporation prior to the Southwestern Merger, together with all of its direct and indirect subsidiaries that have filed the Chapter 11 Cases.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Effective Date” means February 9, 2021.</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ESG” means environmental, social and governance.</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FASB” means the Financial Accounting Standards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450"/>
        <w:jc w:val="both"/>
        <w:rPr/>
      </w:pPr>
      <w:r>
        <w:rPr/>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G&amp;A” means general and administrative expenses.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GAAP” means U.S. generally accepted accounting principles.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Facility Claim, a Second Lien Notes Claim, an Unsecured Notes Claim, an Intercompany Claim, or a Section 510(b) Claim.</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LNG” means liquefied natural gas.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LTIP” means the Expand Energy Corporation 2021 Long Term Incentive Plan.</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MBbls” means one thousand barrels of oil or other liquid hydrocarbons.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MMBbls” means one million barrels of oil or other liquid hydrocarbons.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Mcf” means thousand cubic feet.</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 xml:space="preserve">Mcfe” means one thousand cubic feet of natural gas equivalent, with one barrel of oil or NGL converted to an equivalent volume of natural gas using the ratio of one barrel of oil or NGL to six Mcf of natural gas. </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MMcf” means million cubic feet.</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MMcfe” means million cubic feet of natural gas equivalent.</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NGL” means natural gas liquids.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NYMEX” means New York Mercantile Exchange.</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OPEC+” means the Organization of the Petroleum Exporting Countries Plus.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Petition Date” means June 28, 2020, the date on which the Debtors commenced the Chapter 11 Cases.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Plan” means the Fifth Amended Joint Chapter 11 Plan of Reorganization of Chesapeake Energy Corporation and its Debtor Affiliates, attached as Exhibit A to the Confirmation Order.</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Prior Quarter” means the three months ended March 31, 2024.</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Rights Offering” means the common stock rights offering for the Rights Offering Amount consummated by the Debtors on the Effective Date.</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SEC” means United States Securities and Exchange Commission.</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SOFR” means a rate equal to the secured overnight financing rate as administered by the SOFR Administrator, the Federal Reserve Bank of New York (or a successor administrator of the secured overnight financing rate).</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Southwestern” means Southwestern Energy Company.</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Southwestern Merger” means Chesapeake’s merger with Southwestern, which closed on October 1, 2024.</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Warrants” means, collectively, the Class A Warrants, Class B Warrants and Class C Warrants.</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WTI” means West Texas Intermediate.</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/Bbl” means per barrel.</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/Mcf” means per Mcf.</w:t>
      </w:r>
    </w:p>
    <w:p>
      <w:pPr>
        <w:pStyle w:val="TextBody"/>
        <w:bidi w:val="0"/>
        <w:spacing w:lineRule="auto" w:line="288" w:before="180" w:after="283"/>
        <w:ind w:left="0" w:right="0" w:firstLine="450"/>
        <w:jc w:val="both"/>
        <w:rPr>
          <w:color w:val="000000"/>
        </w:rPr>
      </w:pPr>
      <w:r>
        <w:rPr>
          <w:color w:val="000000"/>
        </w:rPr>
        <w:t>“</w:t>
      </w:r>
      <w:r>
        <w:rPr>
          <w:rFonts w:ascii="Arial;sans-serif" w:hAnsi="Arial;sans-serif"/>
          <w:b w:val="false"/>
          <w:color w:val="000000"/>
          <w:sz w:val="20"/>
        </w:rPr>
        <w:t xml:space="preserve">/Mcfe” means per Mcfe.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tbl>
      <w:tblPr>
        <w:tblW w:w="5324" w:type="dxa"/>
        <w:jc w:val="left"/>
        <w:tblInd w:w="0" w:type="dxa"/>
        <w:tblLayout w:type="fixed"/>
        <w:tblCellMar>
          <w:top w:w="28" w:type="dxa"/>
          <w:left w:w="28" w:type="dxa"/>
          <w:bottom w:w="28" w:type="dxa"/>
          <w:right w:w="28" w:type="dxa"/>
        </w:tblCellMar>
      </w:tblPr>
      <w:tblGrid>
        <w:gridCol w:w="298"/>
        <w:gridCol w:w="262"/>
        <w:gridCol w:w="265"/>
        <w:gridCol w:w="1318"/>
        <w:gridCol w:w="1318"/>
        <w:gridCol w:w="186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1.</w:t>
            </w:r>
          </w:p>
        </w:tc>
        <w:tc>
          <w:tcPr>
            <w:tcW w:w="449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color w:val="00386C"/>
                <w:sz w:val="20"/>
              </w:rPr>
            </w:pPr>
            <w:r>
              <w:rPr>
                <w:rFonts w:ascii="Arial;sans-serif" w:hAnsi="Arial;sans-serif"/>
                <w:b/>
                <w:color w:val="00386C"/>
                <w:sz w:val="20"/>
              </w:rPr>
              <w:t>Condensed Consolidated Financial Statements</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CONDENSED CONSOLIDATED BALANCE SHEETS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548"/>
        <w:gridCol w:w="2027"/>
        <w:gridCol w:w="2035"/>
        <w:gridCol w:w="109"/>
        <w:gridCol w:w="109"/>
        <w:gridCol w:w="109"/>
        <w:gridCol w:w="262"/>
        <w:gridCol w:w="935"/>
        <w:gridCol w:w="135"/>
        <w:gridCol w:w="109"/>
        <w:gridCol w:w="109"/>
        <w:gridCol w:w="109"/>
        <w:gridCol w:w="303"/>
        <w:gridCol w:w="1081"/>
        <w:gridCol w:w="225"/>
      </w:tblGrid>
      <w:tr>
        <w:trPr/>
        <w:tc>
          <w:tcPr>
            <w:tcW w:w="254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w:t>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and oil properties, successful efforts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Proved natural gas and oil properties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30,326 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27,934 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27,894 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5,243 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 net of current portion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Contingencies and commitments (</w:t>
            </w:r>
            <w:hyperlink w:anchor="ie336afd30b40464eac7d81391acfd742_46">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450,000,000 shares authorized: 237,476,127 and 231,769,886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27,934 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27,894 </w:t>
            </w:r>
          </w:p>
        </w:tc>
        <w:tc>
          <w:tcPr>
            <w:tcW w:w="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tbl>
      <w:tblPr>
        <w:tblW w:w="9756" w:type="dxa"/>
        <w:jc w:val="center"/>
        <w:tblInd w:w="0" w:type="dxa"/>
        <w:tblLayout w:type="fixed"/>
        <w:tblCellMar>
          <w:top w:w="28" w:type="dxa"/>
          <w:left w:w="28" w:type="dxa"/>
          <w:bottom w:w="28" w:type="dxa"/>
          <w:right w:w="28" w:type="dxa"/>
        </w:tblCellMar>
      </w:tblPr>
      <w:tblGrid>
        <w:gridCol w:w="2154"/>
        <w:gridCol w:w="1895"/>
        <w:gridCol w:w="1905"/>
        <w:gridCol w:w="109"/>
        <w:gridCol w:w="109"/>
        <w:gridCol w:w="109"/>
        <w:gridCol w:w="293"/>
        <w:gridCol w:w="900"/>
        <w:gridCol w:w="151"/>
        <w:gridCol w:w="151"/>
        <w:gridCol w:w="151"/>
        <w:gridCol w:w="151"/>
        <w:gridCol w:w="293"/>
        <w:gridCol w:w="753"/>
        <w:gridCol w:w="151"/>
        <w:gridCol w:w="109"/>
        <w:gridCol w:w="109"/>
        <w:gridCol w:w="109"/>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Gathering, processing and transportation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ad valorem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from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234,434 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130,893 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234,434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283"/>
        <w:jc w:val="right"/>
        <w:rPr/>
      </w:pPr>
      <w:r>
        <w:rPr/>
      </w:r>
    </w:p>
    <w:tbl>
      <w:tblPr>
        <w:tblW w:w="10205" w:type="dxa"/>
        <w:jc w:val="center"/>
        <w:tblInd w:w="0" w:type="dxa"/>
        <w:tblLayout w:type="fixed"/>
        <w:tblCellMar>
          <w:top w:w="28" w:type="dxa"/>
          <w:left w:w="28" w:type="dxa"/>
          <w:bottom w:w="28" w:type="dxa"/>
          <w:right w:w="28" w:type="dxa"/>
        </w:tblCellMar>
      </w:tblPr>
      <w:tblGrid>
        <w:gridCol w:w="2543"/>
        <w:gridCol w:w="2194"/>
        <w:gridCol w:w="2205"/>
        <w:gridCol w:w="109"/>
        <w:gridCol w:w="109"/>
        <w:gridCol w:w="109"/>
        <w:gridCol w:w="282"/>
        <w:gridCol w:w="717"/>
        <w:gridCol w:w="145"/>
        <w:gridCol w:w="145"/>
        <w:gridCol w:w="145"/>
        <w:gridCol w:w="145"/>
        <w:gridCol w:w="282"/>
        <w:gridCol w:w="864"/>
        <w:gridCol w:w="211"/>
      </w:tblGrid>
      <w:tr>
        <w:trPr/>
        <w:tc>
          <w:tcPr>
            <w:tcW w:w="254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receipts (payments) on derivative settlements,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w:t>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Receipts of deferred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Contributions to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w:t>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Credit Facility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warrant exercise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to purchase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common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w:t>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r>
      <w:tr>
        <w:trPr/>
        <w:tc>
          <w:tcPr>
            <w:tcW w:w="6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932"/>
        <w:gridCol w:w="596"/>
        <w:gridCol w:w="558"/>
        <w:gridCol w:w="593"/>
        <w:gridCol w:w="593"/>
        <w:gridCol w:w="251"/>
        <w:gridCol w:w="117"/>
        <w:gridCol w:w="117"/>
        <w:gridCol w:w="117"/>
        <w:gridCol w:w="308"/>
        <w:gridCol w:w="373"/>
        <w:gridCol w:w="160"/>
        <w:gridCol w:w="109"/>
        <w:gridCol w:w="109"/>
        <w:gridCol w:w="109"/>
        <w:gridCol w:w="304"/>
        <w:gridCol w:w="1041"/>
        <w:gridCol w:w="157"/>
        <w:gridCol w:w="109"/>
        <w:gridCol w:w="109"/>
        <w:gridCol w:w="109"/>
        <w:gridCol w:w="272"/>
        <w:gridCol w:w="797"/>
        <w:gridCol w:w="142"/>
        <w:gridCol w:w="109"/>
        <w:gridCol w:w="109"/>
        <w:gridCol w:w="109"/>
        <w:gridCol w:w="347"/>
        <w:gridCol w:w="1187"/>
        <w:gridCol w:w="262"/>
      </w:tblGrid>
      <w:tr>
        <w:trPr/>
        <w:tc>
          <w:tcPr>
            <w:tcW w:w="9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2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2023</w:t>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130,789,936 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4,974 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10,729 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warrant exercise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130,958,675 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2024</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231,769,886 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warrant exercise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5,320,216 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2025</w:t>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237,476,127 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13,700 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17,191 </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9"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77" w:type="dxa"/>
        <w:jc w:val="left"/>
        <w:tblInd w:w="0" w:type="dxa"/>
        <w:tblLayout w:type="fixed"/>
        <w:tblCellMar>
          <w:top w:w="28" w:type="dxa"/>
          <w:left w:w="28" w:type="dxa"/>
          <w:bottom w:w="28" w:type="dxa"/>
          <w:right w:w="28" w:type="dxa"/>
        </w:tblCellMar>
      </w:tblPr>
      <w:tblGrid>
        <w:gridCol w:w="124"/>
        <w:gridCol w:w="109"/>
        <w:gridCol w:w="109"/>
        <w:gridCol w:w="1973"/>
        <w:gridCol w:w="1973"/>
        <w:gridCol w:w="27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w:t>
            </w:r>
          </w:p>
        </w:tc>
        <w:tc>
          <w:tcPr>
            <w:tcW w:w="673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Basis of Presentation and Summary of Significant Accounting Policies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Description of Company</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Expand Energy Corporation (“Expand Energy,” “we,” “our,” “us” or the “Company”) is the largest natural gas producer in the U.S., based on net daily production, and is focused on responsibly developing an abundant supply of natural gas, oil and NGL to expand energy access for all. We have operations in Louisiana, Pennsylvania, West Virginia and Ohio, with all of our operations located onshore in the United States.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of Expand Energy were prepared in accordance with GAAP and the rules and regulations of the SEC. Pursuant to such rules and regulations, certain disclosures have been condensed or omitted.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This Quarterly Report on Form 10-Q (this “Form 10-Q”) relates to our financial position as of March 31, 2025 and December 31, 2024, and our results of operations for the three months ended March 31, 2025 (“Current Quarter”) and the three months ended March 31, 2024 (“Prior Quarter”). Our </w:t>
      </w:r>
      <w:hyperlink r:id="rId3">
        <w:r>
          <w:rPr>
            <w:rStyle w:val="InternetLink"/>
            <w:rFonts w:ascii="Arial;sans-serif" w:hAnsi="Arial;sans-serif"/>
            <w:b w:val="false"/>
            <w:color w:val="0000FF"/>
            <w:sz w:val="20"/>
            <w:u w:val="single"/>
          </w:rPr>
          <w:t xml:space="preserve">annual report on Form 10-K </w:t>
        </w:r>
      </w:hyperlink>
      <w:r>
        <w:rPr>
          <w:rFonts w:ascii="Arial;sans-serif" w:hAnsi="Arial;sans-serif"/>
          <w:b w:val="false"/>
          <w:color w:val="000000"/>
          <w:sz w:val="20"/>
        </w:rPr>
        <w:t>for the year ended December 31, 2024 (“2024 Form 10-K”) should be read in conjunction with this Form 10-Q. The accompanying unaudited condensed consolidated financial statements reflect all normal recurring adjustments that, in the opinion of management, are necessary for a fair statement of our condensed consolidated financial statements and accompanying notes and include the accounts of our direct and indirect wholly owned subsidiaries and entities in which we have a controlling financial interest. Intercompany accounts and balances have been eliminated. For the time periods covered by this Form 10-Q, we did not have any changes or items impacting other comprehensive income.</w:t>
      </w:r>
    </w:p>
    <w:p>
      <w:pPr>
        <w:pStyle w:val="TextBody"/>
        <w:bidi w:val="0"/>
        <w:spacing w:lineRule="auto" w:line="288" w:before="180" w:after="160"/>
        <w:ind w:left="0" w:right="0" w:firstLine="450"/>
        <w:jc w:val="both"/>
        <w:rPr>
          <w:rFonts w:ascii="Arial;sans-serif" w:hAnsi="Arial;sans-serif"/>
          <w:b w:val="false"/>
          <w:i/>
          <w:color w:val="000000"/>
          <w:sz w:val="20"/>
        </w:rPr>
      </w:pPr>
      <w:r>
        <w:rPr>
          <w:rFonts w:ascii="Arial;sans-serif" w:hAnsi="Arial;sans-serif"/>
          <w:b w:val="false"/>
          <w:i/>
          <w:color w:val="000000"/>
          <w:sz w:val="20"/>
        </w:rPr>
        <w:t>Restricted Cash</w:t>
      </w:r>
    </w:p>
    <w:p>
      <w:pPr>
        <w:pStyle w:val="TextBody"/>
        <w:bidi w:val="0"/>
        <w:spacing w:lineRule="auto" w:line="288" w:before="180" w:after="160"/>
        <w:ind w:left="0" w:right="0" w:firstLine="450"/>
        <w:jc w:val="both"/>
        <w:rPr>
          <w:rFonts w:ascii="Arial;sans-serif" w:hAnsi="Arial;sans-serif"/>
          <w:b w:val="false"/>
          <w:color w:val="000000"/>
          <w:sz w:val="20"/>
        </w:rPr>
      </w:pPr>
      <w:r>
        <w:rPr>
          <w:rFonts w:ascii="Arial;sans-serif" w:hAnsi="Arial;sans-serif"/>
          <w:b w:val="false"/>
          <w:color w:val="000000"/>
          <w:sz w:val="20"/>
        </w:rPr>
        <w:t>As of March 31, 2025, we had restricted cash of $78 million. Our restricted cash represents funds legally restricted for future payment of certain royalties, as well as for payment of certain convenience class unsecured claims.</w:t>
      </w:r>
    </w:p>
    <w:p>
      <w:pPr>
        <w:pStyle w:val="TextBody"/>
        <w:bidi w:val="0"/>
        <w:spacing w:lineRule="auto" w:line="288" w:before="180" w:after="160"/>
        <w:ind w:left="0" w:right="0" w:firstLine="450"/>
        <w:jc w:val="both"/>
        <w:rPr>
          <w:rFonts w:ascii="Arial;sans-serif" w:hAnsi="Arial;sans-serif"/>
          <w:b w:val="false"/>
          <w:i/>
          <w:color w:val="000000"/>
          <w:sz w:val="20"/>
        </w:rPr>
      </w:pPr>
      <w:r>
        <w:rPr>
          <w:rFonts w:ascii="Arial;sans-serif" w:hAnsi="Arial;sans-serif"/>
          <w:b w:val="false"/>
          <w:i/>
          <w:color w:val="000000"/>
          <w:sz w:val="20"/>
        </w:rPr>
        <w:t>Recently Issued Accounting Standards</w:t>
      </w:r>
    </w:p>
    <w:p>
      <w:pPr>
        <w:pStyle w:val="TextBody"/>
        <w:bidi w:val="0"/>
        <w:spacing w:lineRule="auto" w:line="288" w:before="180" w:after="160"/>
        <w:ind w:left="0" w:right="0" w:firstLine="45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ASU 2024-03 expands disclosures about specific costs and expenses presented on the face of the income statement. This ASU is effective for annual reporting periods beginning after December 15, 2026 and for interim reporting periods within annual reporting periods beginning after December 15, 2027, with early adoption permitted. We are evaluating the impact this ASU will have on our disclosures.</w:t>
      </w:r>
    </w:p>
    <w:p>
      <w:pPr>
        <w:pStyle w:val="TextBody"/>
        <w:bidi w:val="0"/>
        <w:spacing w:lineRule="auto" w:line="288" w:before="180" w:after="160"/>
        <w:ind w:left="0" w:right="0" w:firstLine="450"/>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ASU 2023-09 intends to provide investors with additional information about an entity’s income taxes by requiring disclosure of items such as disaggregation of the effective tax rate reconciliation as well as information regarding income taxes paid. This ASU is effective for annual reporting periods beginning after December 15, 2024, with early adoption permitted for annual financial statements that have not yet been issued or made available for issuance. We are evaluating the impact this ASU will have on our disclosures.</w:t>
      </w:r>
    </w:p>
    <w:p>
      <w:pPr>
        <w:pStyle w:val="TextBody"/>
        <w:bidi w:val="0"/>
        <w:spacing w:lineRule="auto" w:line="288" w:before="0" w:after="0"/>
        <w:ind w:left="0" w:right="0" w:firstLine="450"/>
        <w:jc w:val="both"/>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 Improvements to Reportable Segments Disclosures</w:t>
      </w:r>
      <w:r>
        <w:rPr>
          <w:rFonts w:ascii="Arial;sans-serif" w:hAnsi="Arial;sans-serif"/>
          <w:b w:val="false"/>
          <w:color w:val="000000"/>
          <w:sz w:val="20"/>
        </w:rPr>
        <w:t xml:space="preserve">. Under ASU 2023-07, the scope and frequency of segment disclosures is increased to provide investors with additional detail about information utilized by an entity’s CODM, including information about significant segment expenses. This ASU became effective beginning with our 2024 Form 10-K and is also effective for interim periods beginning with this quarterly report on Form 10-Q. See </w:t>
      </w:r>
      <w:hyperlink w:anchor="ie336afd30b40464eac7d81391acfd742_1066">
        <w:r>
          <w:rPr>
            <w:rStyle w:val="InternetLink"/>
            <w:rFonts w:ascii="Arial;sans-serif" w:hAnsi="Arial;sans-serif"/>
            <w:b w:val="false"/>
            <w:color w:val="0000FF"/>
            <w:sz w:val="20"/>
            <w:u w:val="single"/>
          </w:rPr>
          <w:t>Note 14</w:t>
        </w:r>
      </w:hyperlink>
      <w:r>
        <w:rPr>
          <w:color w:val="000000"/>
        </w:rPr>
        <w:t xml:space="preserve"> </w:t>
      </w:r>
      <w:r>
        <w:rPr>
          <w:rFonts w:ascii="Arial;sans-serif" w:hAnsi="Arial;sans-serif"/>
          <w:b w:val="false"/>
          <w:color w:val="000000"/>
          <w:sz w:val="20"/>
        </w:rPr>
        <w:t>for further discussion on our segment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2" w:type="dxa"/>
        <w:jc w:val="left"/>
        <w:tblInd w:w="0" w:type="dxa"/>
        <w:tblLayout w:type="fixed"/>
        <w:tblCellMar>
          <w:top w:w="28" w:type="dxa"/>
          <w:left w:w="28" w:type="dxa"/>
          <w:bottom w:w="28" w:type="dxa"/>
          <w:right w:w="28" w:type="dxa"/>
        </w:tblCellMar>
      </w:tblPr>
      <w:tblGrid>
        <w:gridCol w:w="124"/>
        <w:gridCol w:w="109"/>
        <w:gridCol w:w="109"/>
        <w:gridCol w:w="1193"/>
        <w:gridCol w:w="1193"/>
        <w:gridCol w:w="16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2.</w:t>
            </w:r>
          </w:p>
        </w:tc>
        <w:tc>
          <w:tcPr>
            <w:tcW w:w="408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Natural Gas and Oil Property Transactions</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Southwestern Merger</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On January 10, 2024, Chesapeake and Southwestern entered into an all-stock agreement and plan of merger (the “Merger Agreement”). Southwestern was an independent energy company engaged in development, exploration and production activities, including related marketing activities, within its operating areas in the Appalachia and Haynesville shale plays. Our Board of Directors and the Board of Directors of Southwestern both approved the Merger Agreement. At separate special meetings each held on June 18, 2024, Chesapeake’s stockholders approved the issuance of Chesapeake’s common stock to the stockholders of Southwestern in connection with the Southwestern Merger, and Southwestern’s stockholders approved the Merger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On October 1, 2024, the Southwestern Merger was completed, and we issued approximately 95.7 million shares of our common stock to Southwestern’s shareholders in connection with the Merger Agreement. Under the terms of the Merger Agreement, subject to certain exceptions, each share of Southwestern common stock was converted into the right to receive 0.0867 of a share of the Company’s common stock. Based on the closing price of our common stock, the total value of the shares of our common stock issued to Southwestern’s shareholders was approximately $7.9 billion. During the Current Quarter, we recognized approximately $27 million of costs related to the Southwestern Merger, which primarily consisted of employee expenses. These acquisition-related costs are included within other operating expense, net within our condensed consolidated statements of operations. The Southwestern Merger was structured as a tax-free reorganization for United States federal income tax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Preliminary Southwestern Merger Purchase Price Allocation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shd w:fill="FFFFFF" w:val="clear"/>
        </w:rPr>
        <w:t xml:space="preserve">We have accounted for the Southwestern Merger as a business combination, using the acquisition method, with Expand Energy (formerly Chesapeake) treated as the accounting acquirer. </w:t>
      </w:r>
      <w:r>
        <w:rPr>
          <w:rFonts w:ascii="Arial;sans-serif" w:hAnsi="Arial;sans-serif"/>
          <w:b w:val="false"/>
          <w:color w:val="000000"/>
          <w:sz w:val="20"/>
        </w:rPr>
        <w:t>The following table represents the preliminary allocation of the total purchase price of Southwestern to the identifiable assets acquired and the liabilities assumed based on the fair values as of the acquisition date. Certain data necessary to complete the purchase price allocation is not yet available, and includes, but is not limited to, final tax returns that provide the underlying tax basis of Southwestern’s assets and liabilities and final appraisals of assets acquired and liabilities assumed. We expect to complete the purchase price allocation during the 12-month period following the acquisition date, during which time the value of the assets and liabilities may be revised as appropriate.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tbl>
      <w:tblPr>
        <w:tblW w:w="9848" w:type="dxa"/>
        <w:jc w:val="left"/>
        <w:tblInd w:w="0" w:type="dxa"/>
        <w:tblLayout w:type="fixed"/>
        <w:tblCellMar>
          <w:top w:w="28" w:type="dxa"/>
          <w:left w:w="28" w:type="dxa"/>
          <w:bottom w:w="28" w:type="dxa"/>
          <w:right w:w="28" w:type="dxa"/>
        </w:tblCellMar>
      </w:tblPr>
      <w:tblGrid>
        <w:gridCol w:w="764"/>
        <w:gridCol w:w="672"/>
        <w:gridCol w:w="672"/>
        <w:gridCol w:w="672"/>
        <w:gridCol w:w="672"/>
        <w:gridCol w:w="672"/>
        <w:gridCol w:w="672"/>
        <w:gridCol w:w="672"/>
        <w:gridCol w:w="676"/>
        <w:gridCol w:w="698"/>
        <w:gridCol w:w="2492"/>
        <w:gridCol w:w="514"/>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Preliminary Purchase Price Allocation</w:t>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Consideration:</w:t>
            </w:r>
          </w:p>
        </w:tc>
        <w:tc>
          <w:tcPr>
            <w:tcW w:w="37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w:t>
            </w:r>
            <w:r>
              <w:rPr>
                <w:rFonts w:ascii="Arial;sans-serif" w:hAnsi="Arial;sans-serif"/>
                <w:b w:val="false"/>
                <w:color w:val="000000"/>
                <w:sz w:val="13"/>
              </w:rPr>
              <w:t>(a)</w:t>
            </w:r>
          </w:p>
        </w:tc>
        <w:tc>
          <w:tcPr>
            <w:tcW w:w="6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Fair value of Expand Energy common stock issued</w:t>
            </w:r>
            <w:r>
              <w:rPr>
                <w:rFonts w:ascii="Arial;sans-serif" w:hAnsi="Arial;sans-serif"/>
                <w:b w:val="false"/>
                <w:color w:val="000000"/>
                <w:sz w:val="13"/>
              </w:rPr>
              <w:t>(b)</w:t>
            </w:r>
          </w:p>
        </w:tc>
        <w:tc>
          <w:tcPr>
            <w:tcW w:w="3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7,871 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 and performance stock unit replacement awards</w:t>
            </w:r>
          </w:p>
        </w:tc>
        <w:tc>
          <w:tcPr>
            <w:tcW w:w="3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8,473 </w:t>
            </w:r>
          </w:p>
        </w:tc>
        <w:tc>
          <w:tcPr>
            <w:tcW w:w="5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of Assets Acquired:</w:t>
            </w:r>
          </w:p>
        </w:tc>
        <w:tc>
          <w:tcPr>
            <w:tcW w:w="37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Proved natural gas and oil properties</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properties</w:t>
            </w:r>
          </w:p>
        </w:tc>
        <w:tc>
          <w:tcPr>
            <w:tcW w:w="3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attributable to assets acquired</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15,850 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of Liabilities Assumed:</w:t>
            </w:r>
          </w:p>
        </w:tc>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6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contract liabilities</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attributable to liabilities assumed</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7,377 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identifiable net assets</w:t>
            </w:r>
          </w:p>
        </w:tc>
        <w:tc>
          <w:tcPr>
            <w:tcW w:w="6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8,473 </w:t>
            </w:r>
          </w:p>
        </w:tc>
        <w:tc>
          <w:tcPr>
            <w:tcW w:w="5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____________________________________________</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(a)Reflects the repayment of $585 million outstanding on Southwestern's 2022 revolving credit facility including $2 million of accrued interest and fees, as the facility was repaid and retired upon close of the Southwestern Merger.</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(b)The fair value of our common stock is a Level 1 input, as our stock price is a quoted price in an active market as of the acquisition date.</w:t>
      </w:r>
    </w:p>
    <w:p>
      <w:pPr>
        <w:pStyle w:val="TextBody"/>
        <w:bidi w:val="0"/>
        <w:spacing w:lineRule="auto" w:line="288" w:before="180" w:after="283"/>
        <w:ind w:left="0" w:right="0" w:firstLine="45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Natural Gas and Oil Properties</w:t>
      </w:r>
    </w:p>
    <w:p>
      <w:pPr>
        <w:pStyle w:val="TextBody"/>
        <w:bidi w:val="0"/>
        <w:spacing w:lineRule="auto" w:line="288" w:before="180" w:after="283"/>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For the Southwestern Merger, we applied the business combination guidance, under which an acquirer should recognize the identifiable assets acquired and the liabilities assumed on the acquisition date at fair value. The fair value estimate of proved and unproved natural gas and oil properties as of the acquisition date was based on estimated natural gas and oil reserves and related future net cash flows discounted using a weighted average cost of capital, including estimates of future production rates and future development costs. We utilized NYMEX strip pricing adjusted for inflation to value the reserves. We then applied various discount rates depending on the classification of reserves and other risk characteristics. Management utilized the assistance of a third-party valuation expert to estimate the value of the natural gas and oil properties acquired. Additionally, the fair value estimate of proved and unproved natural gas and oil properties was corroborated by utilizing a market approach, which considers recent comparable transactions for similar assets.</w:t>
      </w:r>
    </w:p>
    <w:p>
      <w:pPr>
        <w:pStyle w:val="TextBody"/>
        <w:bidi w:val="0"/>
        <w:spacing w:lineRule="auto" w:line="288" w:before="120" w:after="283"/>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inputs used to value natural gas and oil properties require significant judgment and estimates made by management and represent Level 3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part of the Southwestern Merger, we assumed gathering, processing and transportation contracts, certain of which were deemed to be above or below current market rates. We recognized assets and liabilities for the difference in the contractual and market rates of these contracts, as of the date of the Southwestern Merger. The terms of the contracts extend through 2035.</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Pro Forma Financial Information</w:t>
      </w:r>
    </w:p>
    <w:p>
      <w:pPr>
        <w:pStyle w:val="TextBody"/>
        <w:bidi w:val="0"/>
        <w:spacing w:lineRule="auto" w:line="288" w:before="180" w:after="283"/>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the Southwestern Merger closed on October 1, 2024, all activity in 2025 is included in our condensed consolidated statements of operations for the Current Quarter. The following unaudited pro forma financial information is based on our historical consolidated financial statements adjusted to reflect as if the Southwestern Merger had occurred on January 1, 2023. The information below reflects pro forma adjustments based on available information and certain assumptions that we believe are reasonable, including the estimated tax impact of the pro forma adjustments.</w:t>
      </w:r>
    </w:p>
    <w:tbl>
      <w:tblPr>
        <w:tblW w:w="7991" w:type="dxa"/>
        <w:jc w:val="left"/>
        <w:tblInd w:w="0" w:type="dxa"/>
        <w:tblLayout w:type="fixed"/>
        <w:tblCellMar>
          <w:top w:w="28" w:type="dxa"/>
          <w:left w:w="28" w:type="dxa"/>
          <w:bottom w:w="28" w:type="dxa"/>
          <w:right w:w="28" w:type="dxa"/>
        </w:tblCellMar>
      </w:tblPr>
      <w:tblGrid>
        <w:gridCol w:w="1496"/>
        <w:gridCol w:w="1315"/>
        <w:gridCol w:w="1328"/>
        <w:gridCol w:w="109"/>
        <w:gridCol w:w="109"/>
        <w:gridCol w:w="109"/>
        <w:gridCol w:w="735"/>
        <w:gridCol w:w="2253"/>
        <w:gridCol w:w="537"/>
      </w:tblGrid>
      <w:tr>
        <w:trPr/>
        <w:tc>
          <w:tcPr>
            <w:tcW w:w="149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5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5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Eagle Ford Divestitures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During 2023, we divested our Eagle Ford assets through three separate transactions. In each of these transactions, we received a portion of the purchase price upon closing, subject to customary post-closing adjustments, with the remainder of the purchase price recorded as deferred consideration and treated as a non-interest-bearing note to be paid in installments in up to the following four years following the close of the transaction. The deferred consideration is recorded at fair value with an imputed rate of interest as a Level 2 input, and approximately $112 million and $114 million of the deferred consideration is reflected within other current assets and approximately $137 million and $188 million of the deferred consideration is reflected within other long-term assets on the condensed consolidated balance sheets as of March 31, 2025 and December 31, 2024, respectively. These installment payments are recorded as receipts of deferred consideration in our condensed consolidated statements of cash flows.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Quarter and Prior Quarter, we amortized approximately $6 million and $9 million, respectively, related to the deferred consideration from the Eagle Ford divestiture transactions. The deferred consideration amortization is recorded within other income, net, in our condensed consolidated statements of operations.</w:t>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80" w:after="283"/>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07" w:type="dxa"/>
        <w:jc w:val="left"/>
        <w:tblInd w:w="0" w:type="dxa"/>
        <w:tblLayout w:type="fixed"/>
        <w:tblCellMar>
          <w:top w:w="28" w:type="dxa"/>
          <w:left w:w="28" w:type="dxa"/>
          <w:bottom w:w="28" w:type="dxa"/>
          <w:right w:w="28" w:type="dxa"/>
        </w:tblCellMar>
      </w:tblPr>
      <w:tblGrid>
        <w:gridCol w:w="124"/>
        <w:gridCol w:w="109"/>
        <w:gridCol w:w="109"/>
        <w:gridCol w:w="575"/>
        <w:gridCol w:w="575"/>
        <w:gridCol w:w="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3.</w:t>
            </w:r>
          </w:p>
        </w:tc>
        <w:tc>
          <w:tcPr>
            <w:tcW w:w="196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Earnings Per Share</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Basic earnings (loss) per common share is computed by dividing net income (loss) by the weighted average number of shares of common stock outstanding during the period. Diluted earnings (loss) per common share is calculated in the same manner but includes the impact of potentially dilutive securities utilizing the treasury stock method. Potentially dilutive securities consists of issuable shares related to warrants, unvested restricted stock units (“RSUs”), and unvested performance share units (“PSUs”).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reconciliations between basic and diluted earnings (loss) per share are as follows: </w:t>
      </w:r>
    </w:p>
    <w:tbl>
      <w:tblPr>
        <w:tblW w:w="8697" w:type="dxa"/>
        <w:jc w:val="left"/>
        <w:tblInd w:w="0" w:type="dxa"/>
        <w:tblLayout w:type="fixed"/>
        <w:tblCellMar>
          <w:top w:w="28" w:type="dxa"/>
          <w:left w:w="28" w:type="dxa"/>
          <w:bottom w:w="28" w:type="dxa"/>
          <w:right w:w="28" w:type="dxa"/>
        </w:tblCellMar>
      </w:tblPr>
      <w:tblGrid>
        <w:gridCol w:w="1771"/>
        <w:gridCol w:w="1558"/>
        <w:gridCol w:w="1561"/>
        <w:gridCol w:w="109"/>
        <w:gridCol w:w="109"/>
        <w:gridCol w:w="109"/>
        <w:gridCol w:w="300"/>
        <w:gridCol w:w="855"/>
        <w:gridCol w:w="155"/>
        <w:gridCol w:w="155"/>
        <w:gridCol w:w="155"/>
        <w:gridCol w:w="155"/>
        <w:gridCol w:w="300"/>
        <w:gridCol w:w="769"/>
        <w:gridCol w:w="155"/>
        <w:gridCol w:w="109"/>
        <w:gridCol w:w="109"/>
        <w:gridCol w:w="109"/>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(in thousands)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potentially dilutive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234,434 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141,752 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Quarter and Prior Quarter, the diluted earnings (loss) per share calculation excludes the effect of 308,646 and 777,369 reserved shares of common stock and 582,109 and 1,466,502 reserved Class C Warrants related to the settlement of General Unsecured Claims associated with the Chapter 11 Cases, as all necessary conditions had not been met for such shares to be considered dilutive shares during the Current Quarter and Prior Quarter, respectively. Additionally, the diluted loss per share calculation during the Current Quarter excludes the antidilutive effect of 5,634,917 Warrants, 413,816 RSUs and 154,868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3" w:type="dxa"/>
        <w:jc w:val="left"/>
        <w:tblInd w:w="0" w:type="dxa"/>
        <w:tblLayout w:type="fixed"/>
        <w:tblCellMar>
          <w:top w:w="28" w:type="dxa"/>
          <w:left w:w="28" w:type="dxa"/>
          <w:bottom w:w="28" w:type="dxa"/>
          <w:right w:w="28" w:type="dxa"/>
        </w:tblCellMar>
      </w:tblPr>
      <w:tblGrid>
        <w:gridCol w:w="124"/>
        <w:gridCol w:w="109"/>
        <w:gridCol w:w="109"/>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4.</w:t>
            </w:r>
          </w:p>
        </w:tc>
        <w:tc>
          <w:tcPr>
            <w:tcW w:w="571"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Debt</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long-term debt consisted of the following as of March 31, 2025 and December 31, 2024:</w:t>
      </w:r>
    </w:p>
    <w:tbl>
      <w:tblPr>
        <w:tblW w:w="10205" w:type="dxa"/>
        <w:jc w:val="right"/>
        <w:tblInd w:w="0" w:type="dxa"/>
        <w:tblLayout w:type="fixed"/>
        <w:tblCellMar>
          <w:top w:w="28" w:type="dxa"/>
          <w:left w:w="28" w:type="dxa"/>
          <w:bottom w:w="28" w:type="dxa"/>
          <w:right w:w="28" w:type="dxa"/>
        </w:tblCellMar>
      </w:tblPr>
      <w:tblGrid>
        <w:gridCol w:w="1334"/>
        <w:gridCol w:w="1142"/>
        <w:gridCol w:w="1147"/>
        <w:gridCol w:w="348"/>
        <w:gridCol w:w="1067"/>
        <w:gridCol w:w="179"/>
        <w:gridCol w:w="109"/>
        <w:gridCol w:w="109"/>
        <w:gridCol w:w="109"/>
        <w:gridCol w:w="257"/>
        <w:gridCol w:w="790"/>
        <w:gridCol w:w="133"/>
        <w:gridCol w:w="109"/>
        <w:gridCol w:w="109"/>
        <w:gridCol w:w="109"/>
        <w:gridCol w:w="348"/>
        <w:gridCol w:w="1067"/>
        <w:gridCol w:w="179"/>
        <w:gridCol w:w="109"/>
        <w:gridCol w:w="109"/>
        <w:gridCol w:w="109"/>
        <w:gridCol w:w="255"/>
        <w:gridCol w:w="783"/>
        <w:gridCol w:w="195"/>
      </w:tblGrid>
      <w:tr>
        <w:trPr/>
        <w:tc>
          <w:tcPr>
            <w:tcW w:w="13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Fair Value</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Fair Value</w:t>
            </w:r>
            <w:r>
              <w:rPr>
                <w:rFonts w:ascii="Arial;sans-serif" w:hAnsi="Arial;sans-serif"/>
                <w:b/>
                <w:color w:val="000000"/>
                <w:sz w:val="13"/>
              </w:rPr>
              <w:t>(a)</w:t>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Facility</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4.95% senior notes due 2025</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5.50% senior notes due 2026</w:t>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5.375% senior notes due 2029</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5.875% senior notes due 2029</w:t>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6.75% senior notes due 2029</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5.375% senior notes due 2030</w:t>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4.75% senior notes due 2032</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5.70% senior notes due 2035</w:t>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on senior notes,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 net</w:t>
            </w:r>
          </w:p>
        </w:tc>
        <w:tc>
          <w:tcPr>
            <w:tcW w:w="14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____________________________________________</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(a)The carrying value of borrowings under our Credit Facility approximates fair value as the interest rates are based on prevailing market rates; therefore, they are a Level 1 fair value measurement. For all other debt, a market approach, based upon quotes from major financial institutions, which are Level 2 inputs, is used to measure the fair value.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i/>
          <w:color w:val="000000"/>
          <w:sz w:val="20"/>
          <w:shd w:fill="FFFFFF" w:val="clear"/>
        </w:rPr>
        <w:t>Credit Facility</w:t>
      </w:r>
      <w:r>
        <w:rPr>
          <w:rFonts w:ascii="Arial;sans-serif" w:hAnsi="Arial;sans-serif"/>
          <w:b w:val="false"/>
          <w:color w:val="000000"/>
          <w:sz w:val="20"/>
          <w:shd w:fill="FFFFFF" w:val="clear"/>
        </w:rPr>
        <w:t>. In December 2022, we entered into a senior secured reserve-based credit agreement, as amended pursuant to the Amendment No. 1 and Borrowing Base Agreement, dated April 29, 2024 (the “Initial Credit Agreement Amendment”) and as automatically amended on October 28, 2024 by the Investment Grade Credit Agreement Amendment (as defined below), with the lenders and issuing banks party thereto from time to time (the “Lenders”), and JPMorgan Chase Bank, N.A., as administrative agent and collateral agent (in such capacity, the “Administrative Agent”) (such credit agreement as amended by the Initial Credit Agreement Amendment and the Investment Grade Credit Agreement Amendment, the “Credit Agreement”), providing for a revolving credit facility (such facility as amended pursuant to the Initial Credit Agreement Amendment and the Investment Grade Credit Agreement Amendment, the “Credit Facility”) maturing in December 2027. The Credit Facility provides for aggregate commitments of $2.5 billion, including a $500 million sublimit available for the issuance of letters of credit and a $50 million sublimit available for swingline loans. As of March 31, 2025, we had approximately $2.5 billion available for borrowings under the Credit Facility.</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Credit Agreement contains restrictive covenants that, subject to exceptions customary to investment grade credit facilities, limit Expand Energy and its subsidiaries’ ability to, among other things: (i) incur priority indebtedness, (ii) enter into mergers; (iii) make or declare dividends; (iv) incur liens; (v) sell all or substantially all of their assets; and (vi) engage in certain transactions with affiliates. The Credit Agreement provides for our compliance with an indebtedness to capitalization ratio, which is the ratio of the Company’s total indebtedness to the sum of total indebtedness plus stockholders’ equity (the “Debt to Capitalization Ratio”), not to exceed 65%. As of March 31, 2025, we were in compliance with the Debt to Capitalization Ratio.</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Borrowings under the Credit Agreement may be alternate base rate loans or term SOFR loans, at our election. Interest is payable quarterly for alternate base rate loans and at the end of the applicable interest period for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68" w:before="0" w:after="0"/>
        <w:jc w:val="both"/>
        <w:rPr/>
      </w:pPr>
      <w:r>
        <w:rPr>
          <w:rFonts w:ascii="Arial;sans-serif" w:hAnsi="Arial;sans-serif"/>
          <w:b w:val="false"/>
          <w:color w:val="000000"/>
          <w:sz w:val="20"/>
          <w:shd w:fill="FFFFFF" w:val="clear"/>
        </w:rPr>
        <w:t>SOFR loa</w:t>
      </w:r>
      <w:r>
        <w:rPr>
          <w:rFonts w:ascii="Arial;sans-serif" w:hAnsi="Arial;sans-serif"/>
          <w:b w:val="false"/>
          <w:color w:val="000000"/>
          <w:sz w:val="20"/>
        </w:rPr>
        <w:t>ns. Term SOFR loans bear interest at term SOFR plus an applicable rate ranging from 125 to 187.5 basis points per annum, depending on the Company’s unsecured debt ratings</w:t>
      </w:r>
      <w:r>
        <w:rPr>
          <w:rFonts w:ascii="Arial;sans-serif" w:hAnsi="Arial;sans-serif"/>
          <w:b w:val="false"/>
          <w:color w:val="000000"/>
          <w:sz w:val="20"/>
          <w:shd w:fill="FFFFFF" w:val="clear"/>
        </w:rPr>
        <w:t xml:space="preserve">, plus an additional 10 basis points per annum credit spread adjustment. Alternate base rate loans bear interest at a rate per annum equal to the greatest of: (i) the prime rate; (ii) the federal funds effective rate plus 50 basis points; and (iii) the adjusted term SOFR rate for a one-month interest period plus 100 basis points, plus an applicable margin ranging from 25 to 87.5 basis points per annum, depending on the Company’s unsecured debt ratings. Expand Energy also pays a commitment fee on unused commitment amounts under the Credit Facility ranging from 15 to 27.5 basis points per annum, depending on the Company’s unsecured debt ratings.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Credit Facility is subject to customary events of default, remedies, and cure rights for investment grade credit facilities of this nature.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had no secured debt as of March 31, 2025.</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Maturity and Repayment of the 2025 Senior Notes and Early Redemption of the 2026 Senior Notes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January 2025, the $389 million aggregate principal of 4.95% Senior Notes due 2025 (the “2025 Notes”) was repaid and terminated with cash on hand and borrowings on the Credit Facility. The borrowings on the Credit Facility were subsequently repaid during the three months ended March 31, 2025.</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March 2025, we redeemed the remaining $47 million aggregate principal of the 5.50% Senior Notes due 2026 (the “2026 Notes”) with cash on hand.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97" w:type="dxa"/>
        <w:jc w:val="left"/>
        <w:tblInd w:w="0" w:type="dxa"/>
        <w:tblLayout w:type="fixed"/>
        <w:tblCellMar>
          <w:top w:w="28" w:type="dxa"/>
          <w:left w:w="28" w:type="dxa"/>
          <w:bottom w:w="28" w:type="dxa"/>
          <w:right w:w="28" w:type="dxa"/>
        </w:tblCellMar>
      </w:tblPr>
      <w:tblGrid>
        <w:gridCol w:w="124"/>
        <w:gridCol w:w="109"/>
        <w:gridCol w:w="109"/>
        <w:gridCol w:w="953"/>
        <w:gridCol w:w="953"/>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5.</w:t>
            </w:r>
          </w:p>
        </w:tc>
        <w:tc>
          <w:tcPr>
            <w:tcW w:w="325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Contingencies and Commitments</w:t>
            </w:r>
          </w:p>
        </w:tc>
      </w:tr>
    </w:tbl>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Contingencies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Business Operations and Litigation and Regulatory Proceedings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are involved in, and expect to continue to be involved in, various lawsuits and disputes incidental to our business operations, including commercial disputes, personal injury claims, royalty claims, property damage claims and contract actions. We are also party to the consolidated Chapter 11 Cases pending for the Debtors in the Bankruptcy Court.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While it is not possible at this time to estimate the amount of any additional loss, or range of loss that is reasonably possible, based on the nature of the claims, management believes that current litigation, claims and proceedings, individually or in aggregate and after taking into account insurance, are not likely to have a material adverse impact on our financial position, results of operations or cash flows. Many of these matters are in early stages and are all subject to inherent uncertainties. Therefore, management’s view may change in the future. If an unfavorable final outcome were to occur, there exists the possibility of our final liabilities being materially different.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majority of Chesapeake’s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Chesapeake’s bankruptcy estates. Any allowed claim related to such litigation will be treated in accordance with the Plan. The Plan in the Chapter 11 Cases, which became effective on February 9, 2021, provided for the treatment of claims against Chesapeake’s bankruptcy estates, including pre-petition liabilities that had not been satisfied or addressed during the Chapter 11 Cases. Many of these proceedings were in early stages as of the Petition Date, and many of them sought damages and penalties, the amount of which is indeterminate. Any legal proceeding pending against Southwestern and assumed by us in connection with the Southwestern Merger is not subject to discharge or resolution as part of the Chapter 11 Cases.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Environmental Contingencies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Other Matters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Based on management’s current assessment, we are of the opinion that no pending or threatened lawsuit or dispute relating to our business operations is likely to have a material adverse effect on our future consolidated financial position, results of operations or cash flows. The final resolution of such matters could exceed amounts accrued, however, and actual results could differ materially from management’s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Commitments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Gathering, Processing and Transportation Agreements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contractual commitments with midstream service companies and pipeline carriers for future gathering, processing and transportation of natural gas, oil and NGL to move certain of our production to market. Working interest owners and royalty interest owners, where appropriate, will be responsible for their proportionate share of these costs. Commitments related to gathering, processing and transportation agreements are not recorded as obligations in the accompanying condensed consolidated balance sheets.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aggregate undiscounted commitments under our gathering, processing and transportation agreements, excluding any reimbursement from working interest and royalty interest owners, credits for third-party volumes or future costs under cost-of-service agreements, are presented below:</w:t>
      </w:r>
    </w:p>
    <w:tbl>
      <w:tblPr>
        <w:tblW w:w="3612" w:type="dxa"/>
        <w:jc w:val="right"/>
        <w:tblInd w:w="0" w:type="dxa"/>
        <w:tblLayout w:type="fixed"/>
        <w:tblCellMar>
          <w:top w:w="28" w:type="dxa"/>
          <w:left w:w="28" w:type="dxa"/>
          <w:bottom w:w="28" w:type="dxa"/>
          <w:right w:w="28" w:type="dxa"/>
        </w:tblCellMar>
      </w:tblPr>
      <w:tblGrid>
        <w:gridCol w:w="636"/>
        <w:gridCol w:w="558"/>
        <w:gridCol w:w="561"/>
        <w:gridCol w:w="109"/>
        <w:gridCol w:w="109"/>
        <w:gridCol w:w="109"/>
        <w:gridCol w:w="289"/>
        <w:gridCol w:w="1030"/>
        <w:gridCol w:w="211"/>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10,515 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Other Commitments</w:t>
      </w:r>
    </w:p>
    <w:p>
      <w:pPr>
        <w:pStyle w:val="TextBody"/>
        <w:bidi w:val="0"/>
        <w:spacing w:lineRule="auto" w:line="288" w:before="160" w:after="283"/>
        <w:ind w:left="0" w:right="0" w:firstLine="450"/>
        <w:jc w:val="both"/>
        <w:rPr>
          <w:rFonts w:ascii="Arial;sans-serif" w:hAnsi="Arial;sans-serif"/>
          <w:b w:val="false"/>
          <w:color w:val="000000"/>
          <w:sz w:val="20"/>
        </w:rPr>
      </w:pPr>
      <w:r>
        <w:rPr>
          <w:rFonts w:ascii="Arial;sans-serif" w:hAnsi="Arial;sans-serif"/>
          <w:b w:val="false"/>
          <w:color w:val="000000"/>
          <w:sz w:val="20"/>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pStyle w:val="TextBody"/>
        <w:bidi w:val="0"/>
        <w:spacing w:lineRule="auto" w:line="288" w:before="1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While executing our strategic priorities, we have incurred certain cash charges, including contract termination charges, financing extinguishment costs and charges for unused natural gas transportation and gathering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27" w:type="dxa"/>
        <w:jc w:val="left"/>
        <w:tblInd w:w="0" w:type="dxa"/>
        <w:tblLayout w:type="fixed"/>
        <w:tblCellMar>
          <w:top w:w="28" w:type="dxa"/>
          <w:left w:w="28" w:type="dxa"/>
          <w:bottom w:w="28" w:type="dxa"/>
          <w:right w:w="28" w:type="dxa"/>
        </w:tblCellMar>
      </w:tblPr>
      <w:tblGrid>
        <w:gridCol w:w="124"/>
        <w:gridCol w:w="109"/>
        <w:gridCol w:w="109"/>
        <w:gridCol w:w="698"/>
        <w:gridCol w:w="698"/>
        <w:gridCol w:w="9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6.</w:t>
            </w:r>
          </w:p>
        </w:tc>
        <w:tc>
          <w:tcPr>
            <w:tcW w:w="238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Other Current Liabilities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Other current liabilities as of March 31, 2025 and December 31, 2024 are detailed below:</w:t>
      </w:r>
    </w:p>
    <w:tbl>
      <w:tblPr>
        <w:tblW w:w="7388" w:type="dxa"/>
        <w:jc w:val="right"/>
        <w:tblInd w:w="0" w:type="dxa"/>
        <w:tblLayout w:type="fixed"/>
        <w:tblCellMar>
          <w:top w:w="28" w:type="dxa"/>
          <w:left w:w="28" w:type="dxa"/>
          <w:bottom w:w="28" w:type="dxa"/>
          <w:right w:w="28" w:type="dxa"/>
        </w:tblCellMar>
      </w:tblPr>
      <w:tblGrid>
        <w:gridCol w:w="1217"/>
        <w:gridCol w:w="1068"/>
        <w:gridCol w:w="1075"/>
        <w:gridCol w:w="109"/>
        <w:gridCol w:w="109"/>
        <w:gridCol w:w="109"/>
        <w:gridCol w:w="324"/>
        <w:gridCol w:w="993"/>
        <w:gridCol w:w="167"/>
        <w:gridCol w:w="109"/>
        <w:gridCol w:w="109"/>
        <w:gridCol w:w="109"/>
        <w:gridCol w:w="393"/>
        <w:gridCol w:w="1207"/>
        <w:gridCol w:w="290"/>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and royalties due to others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2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drilling and production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Joint interest prepayments received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2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88" w:type="dxa"/>
        <w:jc w:val="left"/>
        <w:tblInd w:w="0" w:type="dxa"/>
        <w:tblLayout w:type="fixed"/>
        <w:tblCellMar>
          <w:top w:w="28" w:type="dxa"/>
          <w:left w:w="28" w:type="dxa"/>
          <w:bottom w:w="28" w:type="dxa"/>
          <w:right w:w="28" w:type="dxa"/>
        </w:tblCellMar>
      </w:tblPr>
      <w:tblGrid>
        <w:gridCol w:w="124"/>
        <w:gridCol w:w="109"/>
        <w:gridCol w:w="109"/>
        <w:gridCol w:w="277"/>
        <w:gridCol w:w="277"/>
        <w:gridCol w:w="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7.</w:t>
            </w:r>
          </w:p>
        </w:tc>
        <w:tc>
          <w:tcPr>
            <w:tcW w:w="946"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Revenue</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following tables show revenue disaggregated by operating area and product type:</w:t>
      </w:r>
    </w:p>
    <w:tbl>
      <w:tblPr>
        <w:tblW w:w="8031"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259"/>
        <w:gridCol w:w="793"/>
        <w:gridCol w:w="133"/>
        <w:gridCol w:w="109"/>
        <w:gridCol w:w="109"/>
        <w:gridCol w:w="109"/>
        <w:gridCol w:w="211"/>
        <w:gridCol w:w="406"/>
        <w:gridCol w:w="109"/>
        <w:gridCol w:w="109"/>
        <w:gridCol w:w="109"/>
        <w:gridCol w:w="109"/>
        <w:gridCol w:w="211"/>
        <w:gridCol w:w="481"/>
        <w:gridCol w:w="109"/>
        <w:gridCol w:w="109"/>
        <w:gridCol w:w="109"/>
        <w:gridCol w:w="109"/>
        <w:gridCol w:w="211"/>
        <w:gridCol w:w="64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519" w:type="dxa"/>
            <w:gridSpan w:val="18"/>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519" w:type="dxa"/>
            <w:gridSpan w:val="18"/>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both"/>
        <w:rPr/>
      </w:pPr>
      <w:r>
        <w:rPr/>
      </w:r>
    </w:p>
    <w:tbl>
      <w:tblPr>
        <w:tblW w:w="7790" w:type="dxa"/>
        <w:jc w:val="left"/>
        <w:tblInd w:w="0" w:type="dxa"/>
        <w:tblLayout w:type="fixed"/>
        <w:tblCellMar>
          <w:top w:w="28" w:type="dxa"/>
          <w:left w:w="28" w:type="dxa"/>
          <w:bottom w:w="28" w:type="dxa"/>
          <w:right w:w="28" w:type="dxa"/>
        </w:tblCellMar>
      </w:tblPr>
      <w:tblGrid>
        <w:gridCol w:w="1087"/>
        <w:gridCol w:w="953"/>
        <w:gridCol w:w="959"/>
        <w:gridCol w:w="109"/>
        <w:gridCol w:w="109"/>
        <w:gridCol w:w="109"/>
        <w:gridCol w:w="312"/>
        <w:gridCol w:w="712"/>
        <w:gridCol w:w="161"/>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Accounts Receivable</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Accounts receivable as of March 31, 2025 and December 31, 2024 are detailed below:</w:t>
      </w:r>
    </w:p>
    <w:tbl>
      <w:tblPr>
        <w:tblW w:w="6922" w:type="dxa"/>
        <w:jc w:val="left"/>
        <w:tblInd w:w="0" w:type="dxa"/>
        <w:tblLayout w:type="fixed"/>
        <w:tblCellMar>
          <w:top w:w="28" w:type="dxa"/>
          <w:left w:w="28" w:type="dxa"/>
          <w:bottom w:w="28" w:type="dxa"/>
          <w:right w:w="28" w:type="dxa"/>
        </w:tblCellMar>
      </w:tblPr>
      <w:tblGrid>
        <w:gridCol w:w="1046"/>
        <w:gridCol w:w="920"/>
        <w:gridCol w:w="928"/>
        <w:gridCol w:w="109"/>
        <w:gridCol w:w="109"/>
        <w:gridCol w:w="109"/>
        <w:gridCol w:w="324"/>
        <w:gridCol w:w="993"/>
        <w:gridCol w:w="167"/>
        <w:gridCol w:w="109"/>
        <w:gridCol w:w="109"/>
        <w:gridCol w:w="109"/>
        <w:gridCol w:w="393"/>
        <w:gridCol w:w="1207"/>
        <w:gridCol w:w="290"/>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2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Joint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1,361 </w:t>
            </w:r>
          </w:p>
        </w:tc>
        <w:tc>
          <w:tcPr>
            <w:tcW w:w="1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2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81" w:type="dxa"/>
        <w:jc w:val="left"/>
        <w:tblInd w:w="0" w:type="dxa"/>
        <w:tblLayout w:type="fixed"/>
        <w:tblCellMar>
          <w:top w:w="28" w:type="dxa"/>
          <w:left w:w="28" w:type="dxa"/>
          <w:bottom w:w="28" w:type="dxa"/>
          <w:right w:w="28" w:type="dxa"/>
        </w:tblCellMar>
      </w:tblPr>
      <w:tblGrid>
        <w:gridCol w:w="124"/>
        <w:gridCol w:w="109"/>
        <w:gridCol w:w="109"/>
        <w:gridCol w:w="421"/>
        <w:gridCol w:w="421"/>
        <w:gridCol w:w="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8.</w:t>
            </w:r>
          </w:p>
        </w:tc>
        <w:tc>
          <w:tcPr>
            <w:tcW w:w="143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Income Taxes</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table below presents a comparison of the Current Quarter and Prior Quarter’s income tax expense (benefit) and actual year-to-date effective tax rates.</w:t>
      </w:r>
    </w:p>
    <w:tbl>
      <w:tblPr>
        <w:tblW w:w="10049" w:type="dxa"/>
        <w:jc w:val="left"/>
        <w:tblInd w:w="0" w:type="dxa"/>
        <w:tblLayout w:type="fixed"/>
        <w:tblCellMar>
          <w:top w:w="28" w:type="dxa"/>
          <w:left w:w="28" w:type="dxa"/>
          <w:bottom w:w="28" w:type="dxa"/>
          <w:right w:w="28" w:type="dxa"/>
        </w:tblCellMar>
      </w:tblPr>
      <w:tblGrid>
        <w:gridCol w:w="1134"/>
        <w:gridCol w:w="998"/>
        <w:gridCol w:w="1003"/>
        <w:gridCol w:w="109"/>
        <w:gridCol w:w="109"/>
        <w:gridCol w:w="109"/>
        <w:gridCol w:w="109"/>
        <w:gridCol w:w="109"/>
        <w:gridCol w:w="215"/>
        <w:gridCol w:w="215"/>
        <w:gridCol w:w="215"/>
        <w:gridCol w:w="215"/>
        <w:gridCol w:w="215"/>
        <w:gridCol w:w="215"/>
        <w:gridCol w:w="417"/>
        <w:gridCol w:w="1071"/>
        <w:gridCol w:w="215"/>
        <w:gridCol w:w="109"/>
        <w:gridCol w:w="109"/>
        <w:gridCol w:w="109"/>
        <w:gridCol w:w="270"/>
        <w:gridCol w:w="271"/>
        <w:gridCol w:w="286"/>
        <w:gridCol w:w="109"/>
        <w:gridCol w:w="109"/>
        <w:gridCol w:w="109"/>
        <w:gridCol w:w="211"/>
        <w:gridCol w:w="376"/>
        <w:gridCol w:w="109"/>
        <w:gridCol w:w="109"/>
        <w:gridCol w:w="109"/>
        <w:gridCol w:w="109"/>
        <w:gridCol w:w="270"/>
        <w:gridCol w:w="271"/>
        <w:gridCol w:w="331"/>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376" w:type="dxa"/>
            <w:gridSpan w:val="18"/>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2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2222"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tax benefit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An estimated annual effective tax rate (“EAETR”) is used in recording our interim year-to-date income tax provision. The EAETR is determined based on analysis of year-to-date and projected financial results of our operations. Our EAETR during the Current Quarter was 21.8%, compared to 21.9% in the Prior Quarter. The actual year-to-date effective tax rate and EAETR can differ as a result of certain discrete items, which are recorded in the period. Common examples of such items include, but are not limited to, certain equity-based compensation, true-ups resulting from differences between tax returns filed and estimated accruals, and tax effects of enacted laws.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As a result of projecting federal and state income taxes, a portion of our EAETR represents the estimated provision for current taxes. Due to the book loss in the Current Quarter, a current tax benefit of $33 million was recorded. There was no current tax expense recorded in the Prior Quarter. </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As of December 31, 2024, we were in a net deferred tax asset position and anticipate being in a net deferred tax asset position as of December 31, 2025. Based on all available positive and negative evidence, including projections of future taxable income, we believe it is more likely than not that some of our deferred tax assets will not be realized. As such, a partial valuation allowance was recorded against our net deferred tax asset position for federal and state purposes as of March 31, 2025 and December 31, 2024.</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August 16, 2022, the President of the United States signed into law the Inflation Reduction Act of 2022, which includes provisions for a 15% corporate alternative minimum tax (“CAMT”) on book income for companies whose average book income exceeds $1 billion for any three consecutive years preceding the tax year. Based upon our book income in the past three years, we believe we are subject to the CAMT. The CAMT will result in incremental taxes to the extent that 15% of our adjusted book earnings exceeds our regular federal tax liability. We currently project that we will pay the CAMT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93" w:type="dxa"/>
        <w:jc w:val="left"/>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9.</w:t>
            </w:r>
          </w:p>
        </w:tc>
        <w:tc>
          <w:tcPr>
            <w:tcW w:w="751"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Equity</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Quarter and Prior Quarter, we made dividend payments of $142 million ($0.575 per share) and $77 million ($0.575 per share), respectively.</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April 29, 2025, we declared a base quarterly dividend payable of $0.575 per share, which will be paid on June 4, 2025 to stockholders of record at the close of business on May 15, 2025.</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On October 22, 2024, our Board of Directors authorized repurchases of up to $1.0 billion, in aggregate, of the Company’s common stock and/or warrants under a share repurchase program. During the Current Quarter, we did not make any share repurchases.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Warrants</w:t>
      </w:r>
    </w:p>
    <w:tbl>
      <w:tblPr>
        <w:tblW w:w="9366" w:type="dxa"/>
        <w:jc w:val="left"/>
        <w:tblInd w:w="0" w:type="dxa"/>
        <w:tblLayout w:type="fixed"/>
        <w:tblCellMar>
          <w:top w:w="28" w:type="dxa"/>
          <w:left w:w="28" w:type="dxa"/>
          <w:bottom w:w="28" w:type="dxa"/>
          <w:right w:w="28" w:type="dxa"/>
        </w:tblCellMar>
      </w:tblPr>
      <w:tblGrid>
        <w:gridCol w:w="1238"/>
        <w:gridCol w:w="1089"/>
        <w:gridCol w:w="1092"/>
        <w:gridCol w:w="564"/>
        <w:gridCol w:w="564"/>
        <w:gridCol w:w="566"/>
        <w:gridCol w:w="109"/>
        <w:gridCol w:w="109"/>
        <w:gridCol w:w="109"/>
        <w:gridCol w:w="564"/>
        <w:gridCol w:w="564"/>
        <w:gridCol w:w="566"/>
        <w:gridCol w:w="109"/>
        <w:gridCol w:w="109"/>
        <w:gridCol w:w="109"/>
        <w:gridCol w:w="558"/>
        <w:gridCol w:w="558"/>
        <w:gridCol w:w="789"/>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 A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 B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Class C Warrants</w:t>
            </w:r>
            <w:r>
              <w:rPr>
                <w:rFonts w:ascii="Arial;sans-serif" w:hAnsi="Arial;sans-serif"/>
                <w:b/>
                <w:color w:val="000000"/>
                <w:sz w:val="13"/>
              </w:rPr>
              <w:t>(a)</w:t>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December 31, 2024</w:t>
            </w:r>
          </w:p>
        </w:tc>
        <w:tc>
          <w:tcPr>
            <w:tcW w:w="11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1,254,479 </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3,073,194 </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4,383,634 </w:t>
            </w:r>
          </w:p>
        </w:tc>
        <w:tc>
          <w:tcPr>
            <w:tcW w:w="7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Converted into common stock</w:t>
            </w:r>
            <w:r>
              <w:rPr>
                <w:rFonts w:ascii="Arial;sans-serif" w:hAnsi="Arial;sans-serif"/>
                <w:b w:val="false"/>
                <w:color w:val="000000"/>
                <w:sz w:val="13"/>
              </w:rPr>
              <w:t>(b)</w:t>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(1,186,019)</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(2,823,724)</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(1,600,930)</w:t>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March 31, 2025</w:t>
            </w:r>
          </w:p>
        </w:tc>
        <w:tc>
          <w:tcPr>
            <w:tcW w:w="112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68,460 </w:t>
            </w:r>
          </w:p>
        </w:tc>
        <w:tc>
          <w:tcPr>
            <w:tcW w:w="5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249,470 </w:t>
            </w:r>
          </w:p>
        </w:tc>
        <w:tc>
          <w:tcPr>
            <w:tcW w:w="5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2,782,704 </w:t>
            </w:r>
          </w:p>
        </w:tc>
        <w:tc>
          <w:tcPr>
            <w:tcW w:w="7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_________________________________________</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(a)As of March 31, 2025, we had 582,109 of reserved Class C Warrants.</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 xml:space="preserve">(b)During the three months ended March 31, 2025, we issued 5,320,216 shares of common stock as a result of Warrant exercises.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283"/>
        <w:ind w:left="0" w:right="0" w:hanging="9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8" w:type="dxa"/>
        <w:jc w:val="left"/>
        <w:tblInd w:w="0" w:type="dxa"/>
        <w:tblLayout w:type="fixed"/>
        <w:tblCellMar>
          <w:top w:w="28" w:type="dxa"/>
          <w:left w:w="28" w:type="dxa"/>
          <w:bottom w:w="28" w:type="dxa"/>
          <w:right w:w="28" w:type="dxa"/>
        </w:tblCellMar>
      </w:tblPr>
      <w:tblGrid>
        <w:gridCol w:w="141"/>
        <w:gridCol w:w="124"/>
        <w:gridCol w:w="124"/>
        <w:gridCol w:w="798"/>
        <w:gridCol w:w="798"/>
        <w:gridCol w:w="113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10.</w:t>
            </w:r>
          </w:p>
        </w:tc>
        <w:tc>
          <w:tcPr>
            <w:tcW w:w="272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Share-Based Compensation</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long-term incentive plan, as amended and adopted by our Board of Directors (the “LTIP”), provides for the grant of RSUs, restricted stock awards, stock options, stock appreciation rights, performance awards and other stock awards to the Company’s employees and non-employee directors and has a share reserve equal to 6,800,000 shares of common stock.</w:t>
      </w:r>
    </w:p>
    <w:p>
      <w:pPr>
        <w:pStyle w:val="TextBody"/>
        <w:bidi w:val="0"/>
        <w:spacing w:lineRule="auto" w:line="288" w:before="180" w:after="283"/>
        <w:ind w:left="0" w:right="0" w:firstLine="450"/>
        <w:jc w:val="both"/>
        <w:rPr/>
      </w:pPr>
      <w:r>
        <w:rPr>
          <w:rFonts w:ascii="Arial;sans-serif" w:hAnsi="Arial;sans-serif"/>
          <w:b w:val="false"/>
          <w:i/>
          <w:color w:val="000000"/>
          <w:sz w:val="20"/>
        </w:rPr>
        <w:t xml:space="preserve">Restricted Stock Units. </w:t>
      </w:r>
      <w:r>
        <w:rPr>
          <w:rFonts w:ascii="Arial;sans-serif" w:hAnsi="Arial;sans-serif"/>
          <w:b w:val="false"/>
          <w:color w:val="000000"/>
          <w:sz w:val="20"/>
        </w:rPr>
        <w:t xml:space="preserve">During the Current Quarter, we granted RSUs to employees and non-employee directors under the LTIP, which will vest over a three-year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 </w:t>
      </w:r>
    </w:p>
    <w:tbl>
      <w:tblPr>
        <w:tblW w:w="10205" w:type="dxa"/>
        <w:jc w:val="left"/>
        <w:tblInd w:w="0" w:type="dxa"/>
        <w:tblLayout w:type="fixed"/>
        <w:tblCellMar>
          <w:top w:w="28" w:type="dxa"/>
          <w:left w:w="28" w:type="dxa"/>
          <w:bottom w:w="28" w:type="dxa"/>
          <w:right w:w="28" w:type="dxa"/>
        </w:tblCellMar>
      </w:tblPr>
      <w:tblGrid>
        <w:gridCol w:w="999"/>
        <w:gridCol w:w="878"/>
        <w:gridCol w:w="883"/>
        <w:gridCol w:w="109"/>
        <w:gridCol w:w="109"/>
        <w:gridCol w:w="109"/>
        <w:gridCol w:w="898"/>
        <w:gridCol w:w="889"/>
        <w:gridCol w:w="892"/>
        <w:gridCol w:w="109"/>
        <w:gridCol w:w="109"/>
        <w:gridCol w:w="109"/>
        <w:gridCol w:w="776"/>
        <w:gridCol w:w="2765"/>
        <w:gridCol w:w="571"/>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 Grant Date Fair Value Per Share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8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81.99 </w:t>
            </w:r>
          </w:p>
        </w:tc>
        <w:tc>
          <w:tcPr>
            <w:tcW w:w="5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102.96 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8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77.57 </w:t>
            </w:r>
          </w:p>
        </w:tc>
        <w:tc>
          <w:tcPr>
            <w:tcW w:w="5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94.77 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8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93.95 </w:t>
            </w:r>
          </w:p>
        </w:tc>
        <w:tc>
          <w:tcPr>
            <w:tcW w:w="5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Arial;sans-serif" w:hAnsi="Arial;sans-serif"/>
          <w:b w:val="false"/>
          <w:color w:val="000000"/>
          <w:sz w:val="20"/>
        </w:rPr>
        <w:t xml:space="preserve">The aggregate intrinsic value of RSUs that vested during the Current Quarter was approximately </w:t>
      </w:r>
      <w:r>
        <w:rPr>
          <w:rFonts w:ascii="Arial;sans-serif" w:hAnsi="Arial;sans-serif"/>
          <w:b w:val="false"/>
          <w:color w:val="000000"/>
          <w:sz w:val="20"/>
          <w:shd w:fill="FFFFFF" w:val="clear"/>
        </w:rPr>
        <w:t>$42 million</w:t>
      </w:r>
      <w:r>
        <w:rPr>
          <w:color w:val="000000"/>
        </w:rPr>
        <w:t xml:space="preserve"> </w:t>
      </w:r>
      <w:r>
        <w:rPr>
          <w:rFonts w:ascii="Arial;sans-serif" w:hAnsi="Arial;sans-serif"/>
          <w:b w:val="false"/>
          <w:color w:val="000000"/>
          <w:sz w:val="20"/>
        </w:rPr>
        <w:t>based on the stock price at the time of vesting.</w:t>
      </w:r>
    </w:p>
    <w:p>
      <w:pPr>
        <w:pStyle w:val="TextBody"/>
        <w:bidi w:val="0"/>
        <w:spacing w:lineRule="auto" w:line="288" w:before="180" w:after="283"/>
        <w:ind w:left="0" w:right="0" w:firstLine="495"/>
        <w:jc w:val="both"/>
        <w:rPr/>
      </w:pPr>
      <w:r>
        <w:rPr>
          <w:rFonts w:ascii="Arial;sans-serif" w:hAnsi="Arial;sans-serif"/>
          <w:b w:val="false"/>
          <w:color w:val="000000"/>
          <w:sz w:val="20"/>
        </w:rPr>
        <w:t>As of March 31, 2025, there was approximately</w:t>
      </w:r>
      <w:r>
        <w:rPr>
          <w:color w:val="000000"/>
          <w:shd w:fill="FFFFFF" w:val="clear"/>
        </w:rPr>
        <w:t xml:space="preserve"> </w:t>
      </w:r>
      <w:r>
        <w:rPr>
          <w:rFonts w:ascii="Arial;sans-serif" w:hAnsi="Arial;sans-serif"/>
          <w:b w:val="false"/>
          <w:color w:val="000000"/>
          <w:sz w:val="20"/>
          <w:shd w:fill="FFFFFF" w:val="clear"/>
        </w:rPr>
        <w:t xml:space="preserve">$89 million </w:t>
      </w:r>
      <w:r>
        <w:rPr>
          <w:rFonts w:ascii="Arial;sans-serif" w:hAnsi="Arial;sans-serif"/>
          <w:b w:val="false"/>
          <w:color w:val="000000"/>
          <w:sz w:val="20"/>
        </w:rPr>
        <w:t>of total unrecognized compensation expense related to unvested RSUs. The expense is expected to be recognized over a weighted average period of approximatel</w:t>
      </w:r>
      <w:r>
        <w:rPr>
          <w:rFonts w:ascii="Arial;sans-serif" w:hAnsi="Arial;sans-serif"/>
          <w:b w:val="false"/>
          <w:color w:val="000000"/>
          <w:sz w:val="20"/>
          <w:shd w:fill="FFFFFF" w:val="clear"/>
        </w:rPr>
        <w:t xml:space="preserve">y </w:t>
      </w:r>
      <w:r>
        <w:rPr>
          <w:rFonts w:ascii="Arial;sans-serif" w:hAnsi="Arial;sans-serif"/>
          <w:b w:val="false"/>
          <w:color w:val="000000"/>
          <w:sz w:val="20"/>
        </w:rPr>
        <w:t>2.53 years.</w:t>
      </w:r>
    </w:p>
    <w:p>
      <w:pPr>
        <w:pStyle w:val="TextBody"/>
        <w:bidi w:val="0"/>
        <w:spacing w:lineRule="auto" w:line="288" w:before="180" w:after="283"/>
        <w:ind w:left="0" w:right="0" w:firstLine="450"/>
        <w:jc w:val="both"/>
        <w:rPr/>
      </w:pPr>
      <w:r>
        <w:rPr>
          <w:rFonts w:ascii="Arial;sans-serif" w:hAnsi="Arial;sans-serif"/>
          <w:b w:val="false"/>
          <w:i/>
          <w:color w:val="000000"/>
          <w:sz w:val="20"/>
        </w:rPr>
        <w:t xml:space="preserve">Performance Share Units. </w:t>
      </w:r>
      <w:r>
        <w:rPr>
          <w:rFonts w:ascii="Arial;sans-serif" w:hAnsi="Arial;sans-serif"/>
          <w:b w:val="false"/>
          <w:color w:val="000000"/>
          <w:sz w:val="20"/>
          <w:shd w:fill="FFFFFF" w:val="clear"/>
        </w:rPr>
        <w:t xml:space="preserve">During the Current Quarter, we granted PSUs to senior management and certain employees under the LTIP, which will generally vest over a three-year period and will be settled in shares. The performance criteria include total shareholder return (“TSR”) and relative TSR (“rTSR”) and could result in a total payout between 0% - 200% of the target units. The fair value of the PSUs was measured on the grant date using a Monte Carlo simulation, and compensation expense is recognized ratably over the requisite service period because these awards depend on a combination of service and market criteria.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the assumptions used in the valuation of the PSUs granted in 2025.</w:t>
      </w:r>
    </w:p>
    <w:tbl>
      <w:tblPr>
        <w:tblW w:w="3647"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322"/>
        <w:gridCol w:w="324"/>
        <w:gridCol w:w="68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TSR, rTSR</w:t>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6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33.40 </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summary of the changes in unvested PSUs is presented below: </w:t>
      </w:r>
    </w:p>
    <w:tbl>
      <w:tblPr>
        <w:tblW w:w="10205" w:type="dxa"/>
        <w:jc w:val="left"/>
        <w:tblInd w:w="0" w:type="dxa"/>
        <w:tblLayout w:type="fixed"/>
        <w:tblCellMar>
          <w:top w:w="28" w:type="dxa"/>
          <w:left w:w="28" w:type="dxa"/>
          <w:bottom w:w="28" w:type="dxa"/>
          <w:right w:w="28" w:type="dxa"/>
        </w:tblCellMar>
      </w:tblPr>
      <w:tblGrid>
        <w:gridCol w:w="973"/>
        <w:gridCol w:w="855"/>
        <w:gridCol w:w="861"/>
        <w:gridCol w:w="109"/>
        <w:gridCol w:w="109"/>
        <w:gridCol w:w="109"/>
        <w:gridCol w:w="956"/>
        <w:gridCol w:w="956"/>
        <w:gridCol w:w="959"/>
        <w:gridCol w:w="109"/>
        <w:gridCol w:w="109"/>
        <w:gridCol w:w="109"/>
        <w:gridCol w:w="753"/>
        <w:gridCol w:w="2683"/>
        <w:gridCol w:w="555"/>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Unvested Performance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 Grant Date Fair Value Per Share</w:t>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9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94.67 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9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125.64 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9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109.71 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9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125.64 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9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106.32 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Arial;sans-serif" w:hAnsi="Arial;sans-serif"/>
          <w:b w:val="false"/>
          <w:color w:val="000000"/>
          <w:sz w:val="20"/>
        </w:rPr>
        <w:t xml:space="preserve">The aggregate intrinsic value of PSUs that vested during the Current Quarter was approximately </w:t>
      </w:r>
      <w:r>
        <w:rPr>
          <w:rFonts w:ascii="Arial;sans-serif" w:hAnsi="Arial;sans-serif"/>
          <w:b w:val="false"/>
          <w:color w:val="000000"/>
          <w:sz w:val="20"/>
          <w:shd w:fill="FFFFFF" w:val="clear"/>
        </w:rPr>
        <w:t>$20 million</w:t>
      </w:r>
      <w:r>
        <w:rPr>
          <w:color w:val="000000"/>
        </w:rPr>
        <w:t xml:space="preserve"> </w:t>
      </w:r>
      <w:r>
        <w:rPr>
          <w:rFonts w:ascii="Arial;sans-serif" w:hAnsi="Arial;sans-serif"/>
          <w:b w:val="false"/>
          <w:color w:val="000000"/>
          <w:sz w:val="20"/>
        </w:rPr>
        <w:t>based on the stock price at the time of vesting.</w:t>
      </w:r>
    </w:p>
    <w:p>
      <w:pPr>
        <w:pStyle w:val="TextBody"/>
        <w:bidi w:val="0"/>
        <w:spacing w:lineRule="auto" w:line="288" w:before="180" w:after="283"/>
        <w:ind w:left="0" w:right="0" w:firstLine="450"/>
        <w:jc w:val="both"/>
        <w:rPr/>
      </w:pPr>
      <w:r>
        <w:rPr>
          <w:rFonts w:ascii="Arial;sans-serif" w:hAnsi="Arial;sans-serif"/>
          <w:b w:val="false"/>
          <w:color w:val="000000"/>
          <w:sz w:val="20"/>
          <w:shd w:fill="FFFFFF" w:val="clear"/>
        </w:rPr>
        <w:t>As of March 31, 2025</w:t>
      </w:r>
      <w:r>
        <w:rPr>
          <w:rFonts w:ascii="Arial;sans-serif" w:hAnsi="Arial;sans-serif"/>
          <w:b w:val="false"/>
          <w:color w:val="000000"/>
          <w:sz w:val="20"/>
        </w:rPr>
        <w:t>, there was approximatel</w:t>
      </w:r>
      <w:r>
        <w:rPr>
          <w:rFonts w:ascii="Arial;sans-serif" w:hAnsi="Arial;sans-serif"/>
          <w:b w:val="false"/>
          <w:color w:val="000000"/>
          <w:sz w:val="20"/>
          <w:shd w:fill="FFFFFF" w:val="clear"/>
        </w:rPr>
        <w:t xml:space="preserve">y $42 million </w:t>
      </w:r>
      <w:r>
        <w:rPr>
          <w:rFonts w:ascii="Arial;sans-serif" w:hAnsi="Arial;sans-serif"/>
          <w:b w:val="false"/>
          <w:color w:val="000000"/>
          <w:sz w:val="20"/>
        </w:rPr>
        <w:t>of total unrecognized compensation expense related to unvested PSUs. The expense is expected to be recognized over a weighted average period of approximat</w:t>
      </w:r>
      <w:r>
        <w:rPr>
          <w:rFonts w:ascii="Arial;sans-serif" w:hAnsi="Arial;sans-serif"/>
          <w:b w:val="false"/>
          <w:color w:val="000000"/>
          <w:sz w:val="20"/>
          <w:shd w:fill="FFFFFF" w:val="clear"/>
        </w:rPr>
        <w:t xml:space="preserve">ely </w:t>
      </w:r>
      <w:r>
        <w:rPr>
          <w:rFonts w:ascii="Arial;sans-serif" w:hAnsi="Arial;sans-serif"/>
          <w:b w:val="false"/>
          <w:color w:val="000000"/>
          <w:sz w:val="20"/>
        </w:rPr>
        <w:t>2.66 years.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i/>
          <w:color w:val="000000"/>
          <w:sz w:val="20"/>
        </w:rPr>
        <w:t>RSU and PSU Compensation.</w:t>
      </w:r>
      <w:r>
        <w:rPr>
          <w:color w:val="000000"/>
        </w:rPr>
        <w:t xml:space="preserve"> </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We recognized the following compensation costs, net of actual forfeitures, related to RSUs and PSUs for the periods presented: </w:t>
      </w:r>
    </w:p>
    <w:tbl>
      <w:tblPr>
        <w:tblW w:w="7151" w:type="dxa"/>
        <w:jc w:val="left"/>
        <w:tblInd w:w="0" w:type="dxa"/>
        <w:tblLayout w:type="fixed"/>
        <w:tblCellMar>
          <w:top w:w="28" w:type="dxa"/>
          <w:left w:w="28" w:type="dxa"/>
          <w:bottom w:w="28" w:type="dxa"/>
          <w:right w:w="28" w:type="dxa"/>
        </w:tblCellMar>
      </w:tblPr>
      <w:tblGrid>
        <w:gridCol w:w="1212"/>
        <w:gridCol w:w="1064"/>
        <w:gridCol w:w="1069"/>
        <w:gridCol w:w="109"/>
        <w:gridCol w:w="109"/>
        <w:gridCol w:w="109"/>
        <w:gridCol w:w="368"/>
        <w:gridCol w:w="656"/>
        <w:gridCol w:w="190"/>
        <w:gridCol w:w="190"/>
        <w:gridCol w:w="190"/>
        <w:gridCol w:w="190"/>
        <w:gridCol w:w="368"/>
        <w:gridCol w:w="656"/>
        <w:gridCol w:w="190"/>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and oil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RSU and PSU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income tax benefit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14" w:type="dxa"/>
        <w:jc w:val="left"/>
        <w:tblInd w:w="0" w:type="dxa"/>
        <w:tblLayout w:type="fixed"/>
        <w:tblCellMar>
          <w:top w:w="28" w:type="dxa"/>
          <w:left w:w="28" w:type="dxa"/>
          <w:bottom w:w="28" w:type="dxa"/>
          <w:right w:w="28" w:type="dxa"/>
        </w:tblCellMar>
      </w:tblPr>
      <w:tblGrid>
        <w:gridCol w:w="141"/>
        <w:gridCol w:w="124"/>
        <w:gridCol w:w="124"/>
        <w:gridCol w:w="944"/>
        <w:gridCol w:w="944"/>
        <w:gridCol w:w="1337"/>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11.</w:t>
            </w:r>
          </w:p>
        </w:tc>
        <w:tc>
          <w:tcPr>
            <w:tcW w:w="322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Derivative and Hedging Activities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use derivative instruments to reduce our exposure to fluctuations in future commodity prices and to protect our expected operating cash flow against significant market movements or volatility. These commodity contract derivative financial instruments include financial price swaps, collars, call options and basis protection swaps. All of our commodity contract derivative instruments are net settled based on the difference between the fixed-price payment and the floating-price payment, resulting in a net amount due to or from the counterparty. We do not intend to hold or issue derivative financial instruments for speculative trading purposes and have elected not to designate any of our derivative instruments for hedge accounting treatment.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estimated fair values of our natural gas, oil and NGL derivative instrument assets (liabilities) as of March 31, 2025 and December 31, 2024 are provided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tbl>
      <w:tblPr>
        <w:tblW w:w="9200" w:type="dxa"/>
        <w:jc w:val="left"/>
        <w:tblInd w:w="0" w:type="dxa"/>
        <w:tblLayout w:type="fixed"/>
        <w:tblCellMar>
          <w:top w:w="28" w:type="dxa"/>
          <w:left w:w="28" w:type="dxa"/>
          <w:bottom w:w="28" w:type="dxa"/>
          <w:right w:w="28" w:type="dxa"/>
        </w:tblCellMar>
      </w:tblPr>
      <w:tblGrid>
        <w:gridCol w:w="842"/>
        <w:gridCol w:w="738"/>
        <w:gridCol w:w="744"/>
        <w:gridCol w:w="109"/>
        <w:gridCol w:w="109"/>
        <w:gridCol w:w="109"/>
        <w:gridCol w:w="554"/>
        <w:gridCol w:w="554"/>
        <w:gridCol w:w="556"/>
        <w:gridCol w:w="109"/>
        <w:gridCol w:w="109"/>
        <w:gridCol w:w="109"/>
        <w:gridCol w:w="216"/>
        <w:gridCol w:w="723"/>
        <w:gridCol w:w="111"/>
        <w:gridCol w:w="109"/>
        <w:gridCol w:w="109"/>
        <w:gridCol w:w="109"/>
        <w:gridCol w:w="554"/>
        <w:gridCol w:w="554"/>
        <w:gridCol w:w="556"/>
        <w:gridCol w:w="141"/>
        <w:gridCol w:w="141"/>
        <w:gridCol w:w="141"/>
        <w:gridCol w:w="288"/>
        <w:gridCol w:w="596"/>
        <w:gridCol w:w="21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Notional 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Notional Volume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(Bcf):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Fixed-price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Call options (purchased)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Call options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Basis protection swaps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(MMBbls):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oil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(MMBbls):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Fixed-price swaps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following table presents the fair value and location of each classification of derivative instrument included in the condensed consolidated balance sheets as of March 31, 2025 and December 31, 2024 on a gross basis and after same-counterparty netting:</w:t>
      </w:r>
    </w:p>
    <w:tbl>
      <w:tblPr>
        <w:tblW w:w="10205" w:type="dxa"/>
        <w:jc w:val="right"/>
        <w:tblInd w:w="0" w:type="dxa"/>
        <w:tblLayout w:type="fixed"/>
        <w:tblCellMar>
          <w:top w:w="28" w:type="dxa"/>
          <w:left w:w="28" w:type="dxa"/>
          <w:bottom w:w="28" w:type="dxa"/>
          <w:right w:w="28" w:type="dxa"/>
        </w:tblCellMar>
      </w:tblPr>
      <w:tblGrid>
        <w:gridCol w:w="764"/>
        <w:gridCol w:w="432"/>
        <w:gridCol w:w="435"/>
        <w:gridCol w:w="109"/>
        <w:gridCol w:w="109"/>
        <w:gridCol w:w="109"/>
        <w:gridCol w:w="268"/>
        <w:gridCol w:w="861"/>
        <w:gridCol w:w="138"/>
        <w:gridCol w:w="109"/>
        <w:gridCol w:w="109"/>
        <w:gridCol w:w="109"/>
        <w:gridCol w:w="787"/>
        <w:gridCol w:w="1798"/>
        <w:gridCol w:w="410"/>
        <w:gridCol w:w="109"/>
        <w:gridCol w:w="109"/>
        <w:gridCol w:w="109"/>
        <w:gridCol w:w="693"/>
        <w:gridCol w:w="2124"/>
        <w:gridCol w:w="514"/>
      </w:tblGrid>
      <w:tr>
        <w:trPr/>
        <w:tc>
          <w:tcPr>
            <w:tcW w:w="7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Gross Fair Value</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 Netted in the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 Fair Value Presented in the Condensed Consolidated Balance Sheets</w:t>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asset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5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asset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4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5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1"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5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40" w:after="283"/>
        <w:ind w:left="0" w:right="0" w:hanging="450"/>
        <w:jc w:val="both"/>
        <w:rPr>
          <w:rFonts w:ascii="Arial;sans-serif" w:hAnsi="Arial;sans-serif"/>
          <w:b w:val="false"/>
          <w:color w:val="000000"/>
          <w:sz w:val="20"/>
        </w:rPr>
      </w:pPr>
      <w:r>
        <w:rPr>
          <w:rFonts w:ascii="Arial;sans-serif" w:hAnsi="Arial;sans-serif"/>
          <w:b w:val="false"/>
          <w:color w:val="000000"/>
          <w:sz w:val="20"/>
        </w:rPr>
        <w:t xml:space="preserve">(a)These financial assets (liabilities) are measured at fair value on a recurring basis utilizing significant other observable inputs; see further discussion on fair value measurements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Fair Value</w:t>
      </w:r>
    </w:p>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fair value of our commodity derivatives is based on third-party pricing models, which utilize inputs that are either readily available in the public market, such as natural gas, oil and NGL forward curves and discount rates, or can be corroborated from active markets or broker quotes, and, as such, are classified as Level 2. These values are compared to the values given by our counterparties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 </w:t>
      </w:r>
    </w:p>
    <w:p>
      <w:pPr>
        <w:pStyle w:val="TextBody"/>
        <w:bidi w:val="0"/>
        <w:spacing w:lineRule="auto" w:line="288" w:before="120" w:after="283"/>
        <w:ind w:left="0" w:right="0" w:firstLine="450"/>
        <w:jc w:val="both"/>
        <w:rPr>
          <w:rFonts w:ascii="Arial;sans-serif" w:hAnsi="Arial;sans-serif"/>
          <w:b w:val="false"/>
          <w:i/>
          <w:color w:val="000000"/>
          <w:sz w:val="20"/>
        </w:rPr>
      </w:pPr>
      <w:r>
        <w:rPr>
          <w:rFonts w:ascii="Arial;sans-serif" w:hAnsi="Arial;sans-serif"/>
          <w:b w:val="false"/>
          <w:i/>
          <w:color w:val="000000"/>
          <w:sz w:val="20"/>
        </w:rPr>
        <w:t>Credit Risk Considerations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derivative instruments expose us to our counterparties’ credit risk. To mitigate this risk, we only enter into commodity contracts derivatives with counterparties that are highly rated or deemed by us to have acceptable credit strength and deemed by management to be competent and competitive market-makers, and we attempt to limit our exposure to non-performance by any single counterparty. As of March 31, 2025, our commodity contracts derivative instruments were spread among 20 counterparties.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Hedging Arrangements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Certain of our hedging arrangements are with counterparties that are also Lenders (or affiliates of Lenders) under our Credit Facility. We do not expect to post cash or letters of credit to secure our obligations under these hedging arrangements while we have our investment grade ratings. The obligations under these contracts must be secured by cash or letters of credit to the extent that any mark-to-market amounts exceed defined thresholds. As of March 31, 2025, we did not have any cash or letters of credit posted as collateral for our commodity derivatives.</w:t>
      </w:r>
    </w:p>
    <w:p>
      <w:pPr>
        <w:pStyle w:val="TextBody"/>
        <w:bidi w:val="0"/>
        <w:spacing w:before="10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65" w:type="dxa"/>
        <w:jc w:val="left"/>
        <w:tblInd w:w="0" w:type="dxa"/>
        <w:tblLayout w:type="fixed"/>
        <w:tblCellMar>
          <w:top w:w="28" w:type="dxa"/>
          <w:left w:w="28" w:type="dxa"/>
          <w:bottom w:w="28" w:type="dxa"/>
          <w:right w:w="28" w:type="dxa"/>
        </w:tblCellMar>
      </w:tblPr>
      <w:tblGrid>
        <w:gridCol w:w="141"/>
        <w:gridCol w:w="124"/>
        <w:gridCol w:w="124"/>
        <w:gridCol w:w="373"/>
        <w:gridCol w:w="373"/>
        <w:gridCol w:w="53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12.</w:t>
            </w:r>
          </w:p>
        </w:tc>
        <w:tc>
          <w:tcPr>
            <w:tcW w:w="1276"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Investments</w:t>
            </w:r>
          </w:p>
        </w:tc>
      </w:tr>
    </w:tbl>
    <w:p>
      <w:pPr>
        <w:pStyle w:val="TextBody"/>
        <w:bidi w:val="0"/>
        <w:spacing w:lineRule="auto" w:line="288" w:before="180" w:after="283"/>
        <w:ind w:left="0" w:right="0" w:firstLine="450"/>
        <w:jc w:val="both"/>
        <w:rPr/>
      </w:pPr>
      <w:r>
        <w:rPr>
          <w:rFonts w:ascii="Arial;sans-serif" w:hAnsi="Arial;sans-serif"/>
          <w:b w:val="false"/>
          <w:i/>
          <w:color w:val="000000"/>
          <w:sz w:val="20"/>
        </w:rPr>
        <w:t>Momentum Sustainable Ventures LLC.</w:t>
      </w:r>
      <w:r>
        <w:rPr>
          <w:color w:val="000000"/>
        </w:rPr>
        <w:t xml:space="preserve"> </w:t>
      </w:r>
      <w:r>
        <w:rPr>
          <w:rFonts w:ascii="Arial;sans-serif" w:hAnsi="Arial;sans-serif"/>
          <w:b w:val="false"/>
          <w:color w:val="000000"/>
          <w:sz w:val="20"/>
        </w:rPr>
        <w:t>During the fourth quarter of 2022, the Company entered into an agreement with Momentum Sustainable Ventures LLC to build a new natural gas gathering pipeline and carbon capture project, which will gather and treat natural gas produced in the Haynesville Shale for re-delivery to Gulf Coast markets, including LNG export. The pipeline is expected to have an initial capacity of 1.7 Bcf/d expandable to 2.2 Bcf/d. The carbon capture portion of the project anticipates capturing approximately 1.0 million tons per annum of CO2 and delivering the CO2 to ExxonMobil Low Carbon Solutions Onshore Storage, LLC for additional transportation and storage. The natural gas gathering pipeline is projected for a potential in-service date in the fourth quarter of 2025. We have a 35% interest in the joint venture entity. We have accounted for this investment as an equity method investment, and its carrying value, which is reflected within other long-term assets on the condensed consolidated balance sheets, was $311 million and $307 million as of March 31, 2025 and December 31, 2024, respectively. As of March 31, 2025, the carrying value of our investment included approximately $21 million of capitalized interest related to the project.</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tbl>
      <w:tblPr>
        <w:tblW w:w="4003" w:type="dxa"/>
        <w:jc w:val="left"/>
        <w:tblInd w:w="0" w:type="dxa"/>
        <w:tblLayout w:type="fixed"/>
        <w:tblCellMar>
          <w:top w:w="28" w:type="dxa"/>
          <w:left w:w="28" w:type="dxa"/>
          <w:bottom w:w="28" w:type="dxa"/>
          <w:right w:w="28" w:type="dxa"/>
        </w:tblCellMar>
      </w:tblPr>
      <w:tblGrid>
        <w:gridCol w:w="141"/>
        <w:gridCol w:w="124"/>
        <w:gridCol w:w="124"/>
        <w:gridCol w:w="1058"/>
        <w:gridCol w:w="1058"/>
        <w:gridCol w:w="149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13.</w:t>
            </w:r>
          </w:p>
        </w:tc>
        <w:tc>
          <w:tcPr>
            <w:tcW w:w="361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Supplemental Cash Flow Information</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Supplemental disclosures to the consolidated statements of cash flows are presented below.</w:t>
      </w:r>
    </w:p>
    <w:tbl>
      <w:tblPr>
        <w:tblW w:w="7658" w:type="dxa"/>
        <w:jc w:val="left"/>
        <w:tblInd w:w="0" w:type="dxa"/>
        <w:tblLayout w:type="fixed"/>
        <w:tblCellMar>
          <w:top w:w="28" w:type="dxa"/>
          <w:left w:w="28" w:type="dxa"/>
          <w:bottom w:w="28" w:type="dxa"/>
          <w:right w:w="28" w:type="dxa"/>
        </w:tblCellMar>
      </w:tblPr>
      <w:tblGrid>
        <w:gridCol w:w="1552"/>
        <w:gridCol w:w="1367"/>
        <w:gridCol w:w="1370"/>
        <w:gridCol w:w="109"/>
        <w:gridCol w:w="109"/>
        <w:gridCol w:w="109"/>
        <w:gridCol w:w="315"/>
        <w:gridCol w:w="810"/>
        <w:gridCol w:w="163"/>
        <w:gridCol w:w="163"/>
        <w:gridCol w:w="163"/>
        <w:gridCol w:w="163"/>
        <w:gridCol w:w="315"/>
        <w:gridCol w:w="720"/>
        <w:gridCol w:w="230"/>
      </w:tblGrid>
      <w:tr>
        <w:trPr/>
        <w:tc>
          <w:tcPr>
            <w:tcW w:w="155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Changes in assets and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 of 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 (refunds received),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Supplemental disclosure of significant </w:t>
              <w:br/>
              <w:t>  non-cash investing and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accrued drilling and completion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obligations recognized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03" w:type="dxa"/>
        <w:jc w:val="left"/>
        <w:tblInd w:w="0" w:type="dxa"/>
        <w:tblLayout w:type="fixed"/>
        <w:tblCellMar>
          <w:top w:w="28" w:type="dxa"/>
          <w:left w:w="28" w:type="dxa"/>
          <w:bottom w:w="28" w:type="dxa"/>
          <w:right w:w="28" w:type="dxa"/>
        </w:tblCellMar>
      </w:tblPr>
      <w:tblGrid>
        <w:gridCol w:w="141"/>
        <w:gridCol w:w="124"/>
        <w:gridCol w:w="124"/>
        <w:gridCol w:w="618"/>
        <w:gridCol w:w="618"/>
        <w:gridCol w:w="87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14.</w:t>
            </w:r>
          </w:p>
        </w:tc>
        <w:tc>
          <w:tcPr>
            <w:tcW w:w="211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Segment Information</w:t>
            </w:r>
          </w:p>
        </w:tc>
      </w:tr>
    </w:tbl>
    <w:p>
      <w:pPr>
        <w:pStyle w:val="TextBody"/>
        <w:bidi w:val="0"/>
        <w:spacing w:lineRule="auto" w:line="288" w:before="180" w:after="283"/>
        <w:ind w:left="0" w:right="0" w:firstLine="495"/>
        <w:jc w:val="both"/>
        <w:rPr/>
      </w:pPr>
      <w:r>
        <w:rPr>
          <w:rFonts w:ascii="Arial;sans-serif" w:hAnsi="Arial;sans-serif"/>
          <w:b w:val="false"/>
          <w:color w:val="000000"/>
          <w:sz w:val="20"/>
        </w:rPr>
        <w:t xml:space="preserve">Operating segments are defined as components of an enterprise that engage in activities from which it may earn revenues and incur expenses for which separate operational financial information is available and is regularly evaluated by the CODM, who is our Chief Executive Officer, for the purpose of allocating an enterprise’s resources and assessing its operating performance. Our revenues are derived from the production, marketing and sale of natural gas, oil and NGL. Additional information on our revenues, including the disaggregation of our revenues, is found in </w:t>
      </w:r>
      <w:hyperlink w:anchor="ie336afd30b40464eac7d81391acfd742_55">
        <w:r>
          <w:rPr>
            <w:rStyle w:val="InternetLink"/>
            <w:rFonts w:ascii="Arial;sans-serif" w:hAnsi="Arial;sans-serif"/>
            <w:b w:val="false"/>
            <w:color w:val="0000FF"/>
            <w:sz w:val="20"/>
            <w:u w:val="single"/>
          </w:rPr>
          <w:t>Note 7</w:t>
        </w:r>
      </w:hyperlink>
      <w:r>
        <w:rPr>
          <w:rFonts w:ascii="Arial;sans-serif" w:hAnsi="Arial;sans-serif"/>
          <w:b w:val="false"/>
          <w:color w:val="000000"/>
          <w:sz w:val="20"/>
        </w:rPr>
        <w:t>. As of March 31, 2025, we considered each of our operating areas as operating segments, however, we have aggregated those operating segments into one reportable segment due to the similar nature of the exploration and production business across Expand Energy and its consolidated subsidiaries and the fact that our marketing activities are ancillary to our operations.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Our CODM uses consolidated net income (loss), for purposes of allocating resources and in assessing Expand Energy’s operating performance. Additionally, our CODM is regularly provided information on production expense, gathering, processing and transportation expense, severance and ad valorem taxes and general and administrative expense, which are our significant segment expenses. Other segment items primarily consist of depreciation, depletion and amortization, marketing expense, interest expense and income tax expense (benefit). Our significant segment expenses and other segment items are derived from, and can be found within the condensed consolidated statements of operations.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The measure of segment assets is total assets as reported on our condensed consolidated balance sheets, and as of March 31, 2025 and as of December 31, 2024 our total assets were $27,934 million and $27,894 million, respectively. Additionally, in analyzing company performance, our CODM reviews capital expenditures. During the Current Quarter and Prior Quarter, our capital expenditures were $662 million and $354 million, respectively. During the Current Quarter we did not make any contributions to equity method investments and during the Prior Quarter, we contributed $16 million to equity method investments, which primarily consisted of our investment with Momentum Sustainable Ventures LLC. Additional discussion around our investment with Momentum Sustainable Ventures LLC is in </w:t>
      </w:r>
      <w:hyperlink w:anchor="ie336afd30b40464eac7d81391acfd742_70">
        <w:r>
          <w:rPr>
            <w:rStyle w:val="InternetLink"/>
            <w:rFonts w:ascii="Arial;sans-serif" w:hAnsi="Arial;sans-serif"/>
            <w:b w:val="false"/>
            <w:color w:val="0000FF"/>
            <w:sz w:val="20"/>
            <w:u w:val="single"/>
          </w:rPr>
          <w:t>Note 12</w:t>
        </w:r>
      </w:hyperlink>
      <w:r>
        <w:rPr>
          <w:rFonts w:ascii="Arial;sans-serif" w:hAnsi="Arial;sans-serif"/>
          <w:b w:val="false"/>
          <w:color w:val="000000"/>
          <w:sz w:val="20"/>
        </w:rPr>
        <w:t>. Our interest revenue during the Current Quarter and Prior Quarter was $2 million and $14 million,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tbl>
      <w:tblPr>
        <w:tblW w:w="9284" w:type="dxa"/>
        <w:jc w:val="left"/>
        <w:tblInd w:w="0" w:type="dxa"/>
        <w:tblLayout w:type="fixed"/>
        <w:tblCellMar>
          <w:top w:w="28" w:type="dxa"/>
          <w:left w:w="28" w:type="dxa"/>
          <w:bottom w:w="28" w:type="dxa"/>
          <w:right w:w="28" w:type="dxa"/>
        </w:tblCellMar>
      </w:tblPr>
      <w:tblGrid>
        <w:gridCol w:w="298"/>
        <w:gridCol w:w="262"/>
        <w:gridCol w:w="265"/>
        <w:gridCol w:w="2471"/>
        <w:gridCol w:w="2471"/>
        <w:gridCol w:w="351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2.</w:t>
            </w:r>
          </w:p>
        </w:tc>
        <w:tc>
          <w:tcPr>
            <w:tcW w:w="845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Management’s Discussion and Analysis of Financial Condition and Results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06" w:type="dxa"/>
        <w:jc w:val="left"/>
        <w:tblInd w:w="0" w:type="dxa"/>
        <w:tblLayout w:type="fixed"/>
        <w:tblCellMar>
          <w:top w:w="28" w:type="dxa"/>
          <w:left w:w="28" w:type="dxa"/>
          <w:bottom w:w="28" w:type="dxa"/>
          <w:right w:w="28" w:type="dxa"/>
        </w:tblCellMar>
      </w:tblPr>
      <w:tblGrid>
        <w:gridCol w:w="418"/>
        <w:gridCol w:w="367"/>
        <w:gridCol w:w="52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Introduction</w:t>
            </w:r>
          </w:p>
        </w:tc>
      </w:tr>
    </w:tbl>
    <w:p>
      <w:pPr>
        <w:pStyle w:val="TextBody"/>
        <w:bidi w:val="0"/>
        <w:spacing w:lineRule="auto" w:line="288" w:before="180" w:after="283"/>
        <w:ind w:left="0" w:right="0" w:firstLine="450"/>
        <w:jc w:val="both"/>
        <w:rPr/>
      </w:pPr>
      <w:r>
        <w:rPr>
          <w:rFonts w:ascii="Arial;sans-serif" w:hAnsi="Arial;sans-serif"/>
          <w:b w:val="false"/>
          <w:color w:val="000000"/>
          <w:sz w:val="20"/>
        </w:rPr>
        <w:t xml:space="preserve">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The following discussion should be read together with the condensed consolidated financial statements included in </w:t>
      </w:r>
      <w:hyperlink w:anchor="ie336afd30b40464eac7d81391acfd742_16">
        <w:r>
          <w:rPr>
            <w:rStyle w:val="InternetLink"/>
            <w:rFonts w:ascii="Arial;sans-serif" w:hAnsi="Arial;sans-serif"/>
            <w:b w:val="false"/>
            <w:color w:val="0000FF"/>
            <w:sz w:val="20"/>
            <w:u w:val="single"/>
          </w:rPr>
          <w:t>Item 1 of Part I</w:t>
        </w:r>
      </w:hyperlink>
      <w:r>
        <w:rPr>
          <w:color w:val="000000"/>
        </w:rPr>
        <w:t xml:space="preserve"> </w:t>
      </w:r>
      <w:r>
        <w:rPr>
          <w:rFonts w:ascii="Arial;sans-serif" w:hAnsi="Arial;sans-serif"/>
          <w:b w:val="false"/>
          <w:color w:val="000000"/>
          <w:sz w:val="20"/>
        </w:rPr>
        <w:t xml:space="preserve">of this report and the consolidated financial statements included in Item 8 of our </w:t>
      </w:r>
      <w:hyperlink r:id="rId4">
        <w:r>
          <w:rPr>
            <w:rStyle w:val="InternetLink"/>
            <w:rFonts w:ascii="Arial;sans-serif" w:hAnsi="Arial;sans-serif"/>
            <w:b w:val="false"/>
            <w:color w:val="0000FF"/>
            <w:sz w:val="20"/>
            <w:u w:val="single"/>
          </w:rPr>
          <w:t>2024 Form 10-K</w:t>
        </w:r>
      </w:hyperlink>
      <w:r>
        <w:rPr>
          <w:rFonts w:ascii="Arial;sans-serif" w:hAnsi="Arial;sans-serif"/>
          <w:b w:val="false"/>
          <w:color w:val="000000"/>
          <w:sz w:val="20"/>
        </w:rPr>
        <w: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October 1, 2024, we completed the Southwestern Merger, creating a premier energy company that we believe is underpinned by a leading natural gas portfolio adjacent to the highest demand markets, premium inventory, a resilient financial foundation and an investment grade balance sheet. We believe that this new company is uniquely positioned to deliver affordable, lower-carbon energy to meet growing domestic and international demand while creating sustainable value for stakeholders. In conjunction with the closing of the Southwestern Merger, Chesapeake Energy Corporation changed its name to Expand Energy Corporation.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Expand Energy is the largest independent natural gas producer in the U.S., based on net daily production, and is focused on responsibly developing an abundant supply of natural gas, oil and NGL to expand energy access for all. Our operations are located in Louisiana in the Haynesville and Bossier Shales (“Haynesville”), in Pennsylvania in the Marcellus Shale (“Northeast Appalachia”) and in West Virginia and Ohio in the Marcellus and Utica Shales (“Southwest Appalachia”).</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strategy is to create shareholder value through the responsible development of our significant resource plays while continuing to be a leading provider of natural gas to markets in need. We continue to focus on improving margins through operating efficiencies and financial discipline and improving our ESG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dedicate capital to projects designed to reduce the environmental impact of our production activities.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Additionally, we aim to be conscientious in our efforts and how they will shape our approach to sustainability for the future and have established the following goals: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Net zero (Scope 1 and 2) greenhouse gas emissions by 2035.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Maintain 100% responsibly sourced gas (RSG) certification across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75" w:type="dxa"/>
        <w:jc w:val="left"/>
        <w:tblInd w:w="0" w:type="dxa"/>
        <w:tblLayout w:type="fixed"/>
        <w:tblCellMar>
          <w:top w:w="28" w:type="dxa"/>
          <w:left w:w="28" w:type="dxa"/>
          <w:bottom w:w="28" w:type="dxa"/>
          <w:right w:w="28" w:type="dxa"/>
        </w:tblCellMar>
      </w:tblPr>
      <w:tblGrid>
        <w:gridCol w:w="697"/>
        <w:gridCol w:w="612"/>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Recent Developments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Southwestern Merger</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On October 1, 2024, we completed the Southwestern Merger and issued approximately 95.7 million shares of our common stock to Southwestern’s shareholders in connection with the Merger Agreement. Under the terms of the Merger Agreement, subject to certain exceptions, each share of Southwestern common stock was converted into the right to receive 0.0867 of a share of the Company’s common stock. Based on the closing price of our common stock, the total value of such shares of our common stock issued to Southwestern’s shareholders was approximately $7.9 billion. See </w:t>
      </w:r>
      <w:hyperlink w:anchor="ie336afd30b40464eac7d81391acfd742_37">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Investment Grade Rating</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On October 1, 2024, we received an investment grade rating from S&amp;P Global Ratings (“S&amp;P”). S&amp;P assigned an issuer-level rating of ‘BBB-’ on our unsecured debt and raised our issuer credit rating to ‘BBB-’, with a stable outlook. Additionally, on October 2, 2024, we received an investment grade rating from Fitch Ratings (“Fitch”). Fitch affirmed our revolver credit rating at ‘BBB-’ and upgraded the rating on our senior notes to ‘BBB-’, with a stable outlook. As a result of these investment grade ratings and the satisfaction of certain other conditions, certain restrictive covenants on our Credit Facility fell away and became more permissive. Under the Credit Facility, the Company is required to maintain compliance with a total indebtedness to capitalization ratio, which is the ratio of the Company’s total indebtedness to the sum of total indebtedness plus stockholders’ equity, not to exceed 65%. 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 Additionally, on April 16, 2025, we received an investment grade rating from Moody’s Ratings (“Moody’s”). Moody’s upgraded the rating on our senior unsecured notes from Ba1 to Baa3, with a stable outlook.</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Addition to the S&amp;P 500 Index</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In March 2025, following the close of the Southwestern Merger and the receipt of investment grade ratings, our common stock was added to the S&amp;P 500. </w:t>
      </w:r>
    </w:p>
    <w:p>
      <w:pPr>
        <w:pStyle w:val="TextBody"/>
        <w:bidi w:val="0"/>
        <w:spacing w:lineRule="auto" w:line="288" w:before="180" w:after="283"/>
        <w:ind w:left="0" w:right="0" w:firstLine="450"/>
        <w:jc w:val="both"/>
        <w:rPr/>
      </w:pPr>
      <w:r>
        <w:rPr>
          <w:rFonts w:ascii="Arial;sans-serif" w:hAnsi="Arial;sans-serif"/>
          <w:b w:val="false"/>
          <w:i/>
          <w:color w:val="000000"/>
          <w:sz w:val="20"/>
        </w:rPr>
        <w:t>Redemption of Senior Notes</w:t>
      </w:r>
      <w:r>
        <w:rPr>
          <w:color w:val="000000"/>
        </w:rPr>
        <w:t xml:space="preserve">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In January 2025, the $389 million aggregate principal of the 2025 Notes was repaid and terminated with cash on hand and borrowings on the Credit Facility. Additionally, in March 2025, we redeemed the remaining $47 million aggregate principal of the 2026 Notes with cash on hand. 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Repurchase Program and Enhanced Returns Framework</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October 2024, our Board of Directors authorized the Company to repurchase up to $1.0 billion, in aggregate, of the Company’s common stock and/or warrants. Additionally, we also announced our enhanced capital returns framework which is designed to more effectively return cash to shareholders and reduce net debt. The plan became effective January 1, 2025, and prioritizes the base dividend of $2.30 per share and a targeted $500 million of annual net debt reduction in 2025, which target will be redetermined annually. Once both have been funded, it is anticipated that 75% of remaining free cash flow will be distributed as market conditions warrant, between share repurchases and additional dividend payments. The remaining free cash flow would be maintained on the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Economic and Market Conditions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Geopolitical risk and policy uncertainty continue to drive volatility in natural gas, oil and NGL prices, while macroeconomic headwinds in key consuming countries could impact global growth prospects, potentially affecting supply and demand for energy commodities. Domestically, the natural gas market balance has tightened, driven by increasing demand from new LNG export facilities, reduced industry activity levels, and a recent period of colder than average temperatures, providing support for prices in 2025 and 2026. Our future estimated cash flow is partially protected from commodity price volatility due to our current hedge positions that provide a floor price on over half of our projected gas volumes through the remainder of 2025 with significant upside participation via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costless collars. For the foreseeable future, we believe our operational flexibility, cost structure and liquidity position will enable us to successfully navigate continued price volatility.</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We continue to monitor factors impacting commodity supply and demand situations, including tariffs on steel, and assess their impact on our business, including business partners and customers. As part of the Southwestern Merger, we assumed Southwestern’s oilfield service business that will allow for some vertical integration of our exploration and production operations, which may help to control costs and secure inputs for our operations. For additional discussion regarding risk associated with price volatility and economic uncertainty, see Part I, Item 1A “Risk Factors” in our </w:t>
      </w:r>
      <w:hyperlink r:id="rId5">
        <w:r>
          <w:rPr>
            <w:rStyle w:val="InternetLink"/>
            <w:rFonts w:ascii="Arial;sans-serif" w:hAnsi="Arial;sans-serif"/>
            <w:b w:val="false"/>
            <w:color w:val="0000FF"/>
            <w:sz w:val="20"/>
            <w:u w:val="single"/>
          </w:rPr>
          <w:t>2024 Form 10-K</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3135" w:type="dxa"/>
        <w:jc w:val="left"/>
        <w:tblInd w:w="0" w:type="dxa"/>
        <w:tblLayout w:type="fixed"/>
        <w:tblCellMar>
          <w:top w:w="28" w:type="dxa"/>
          <w:left w:w="28" w:type="dxa"/>
          <w:bottom w:w="28" w:type="dxa"/>
          <w:right w:w="28" w:type="dxa"/>
        </w:tblCellMar>
      </w:tblPr>
      <w:tblGrid>
        <w:gridCol w:w="1003"/>
        <w:gridCol w:w="882"/>
        <w:gridCol w:w="1250"/>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Liquidity and Capital Resources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Liquidity Overview</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Our primary sources of capital resources and liquidity are internally generated cash flows from operations and borrowings under our Credit Facility, and our primary uses of cash are for the development of our natural gas and oil properties, acquisitions of additional natural gas and oil properties, repayments of debt and return of value to stockholders through dividends and equity repurchases. We believe our cash flow from operations, cash on hand and unused borrowing capacity under the Credit Facility, as discussed below, will provide sufficient liquidity during the next 12 months and the foreseeable future. As of March 31, 2025, we had $2.8 billion of liquidity available, including $0.3 billion of cash on hand and $2.5 billion of aggregate unused borrowing capacity available under the Credit Facility. As of March 31, 2025, we had no outstanding borrowings under our Credit Facility.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Further, we may from time to time seek to retire, refinance or amend some or all of our outstanding debt or debt agreements through exchanges, open market purchases, privately negotiated transactions, tender offers or otherwise. Such transactions, if any, and the terms thereof, will depend on prevailing market conditions, our liquidity requirements, contractual restrictions and other factors. The amounts involved in such financing transactions may be material. 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 of our debt obligations, including principal and carrying amounts of our senior notes.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April 29, 2025, we declared a base quarterly dividend payable of $0.575 per share, which will be paid on June 4, 2025 to stockholders of record at the close of business on May 15, 2025.</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declaration and payment of any future dividend, whether fixed or variable, will remain at the full discretion of the Board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governing the Credit Facility and (iv) the terms and provisions of the indentures governing its 5.875% Senior Notes due 2029, 6.750% Senior Notes due 2029 and 5.70% Senior Notes due 2035 as well as the senior notes assumed from Southwestern, including the 5.375% Senior Notes due 2029, 5.375% Senior Notes due 2030 and 4.750% Senior Notes due 2032.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Derivative and Hedging Activities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See </w:t>
      </w:r>
      <w:hyperlink w:anchor="ie336afd30b40464eac7d81391acfd742_91">
        <w:r>
          <w:rPr>
            <w:rStyle w:val="InternetLink"/>
            <w:rFonts w:ascii="Arial;sans-serif" w:hAnsi="Arial;sans-serif"/>
            <w:b w:val="false"/>
            <w:color w:val="0000FF"/>
            <w:sz w:val="20"/>
            <w:u w:val="single"/>
          </w:rPr>
          <w:t>Item 3.</w:t>
        </w:r>
      </w:hyperlink>
      <w:r>
        <w:rPr>
          <w:color w:val="000000"/>
        </w:rPr>
        <w:t xml:space="preserve"> </w:t>
      </w:r>
      <w:r>
        <w:rPr>
          <w:rFonts w:ascii="Arial;sans-serif" w:hAnsi="Arial;sans-serif"/>
          <w:b w:val="false"/>
          <w:color w:val="000000"/>
          <w:sz w:val="20"/>
        </w:rPr>
        <w:t xml:space="preserve">Quantitative and Qualitative Disclosures About Market Risk included in Part I of this report for further discussion on the impact of commodity price risk on our financial position.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Contractual Obligations and Off-Balance Sheet Arrangements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As of March 31, 2025, our material contractual obligations include repayment of senior notes, derivative obligations, asset retirement obligations, lease obligations,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The estimated gross undiscounted future commitments under these agreements were approximately $10.5 billion as of March 31, 2025. As discussed above, we believe our existing sources of liquidity will be sufficient to fund our near and long-term contractual obligations. See </w:t>
      </w:r>
      <w:hyperlink w:anchor="ie336afd30b40464eac7d81391acfd742_43">
        <w:r>
          <w:rPr>
            <w:rStyle w:val="InternetLink"/>
            <w:rFonts w:ascii="Arial;sans-serif" w:hAnsi="Arial;sans-serif"/>
            <w:b w:val="false"/>
            <w:color w:val="0000FF"/>
            <w:sz w:val="20"/>
            <w:u w:val="single"/>
          </w:rPr>
          <w:t>Notes 4</w:t>
        </w:r>
      </w:hyperlink>
      <w:r>
        <w:rPr>
          <w:rFonts w:ascii="Arial;sans-serif" w:hAnsi="Arial;sans-serif"/>
          <w:b w:val="false"/>
          <w:color w:val="000000"/>
          <w:sz w:val="20"/>
        </w:rPr>
        <w:t xml:space="preserve">, </w:t>
      </w:r>
      <w:hyperlink w:anchor="ie336afd30b40464eac7d81391acfd742_46">
        <w:r>
          <w:rPr>
            <w:rStyle w:val="InternetLink"/>
            <w:rFonts w:ascii="Arial;sans-serif" w:hAnsi="Arial;sans-serif"/>
            <w:b w:val="false"/>
            <w:color w:val="0000FF"/>
            <w:sz w:val="20"/>
            <w:u w:val="single"/>
          </w:rPr>
          <w:t>5</w:t>
        </w:r>
      </w:hyperlink>
      <w:r>
        <w:rPr>
          <w:color w:val="000000"/>
        </w:rPr>
        <w:t xml:space="preserve"> </w:t>
      </w:r>
      <w:r>
        <w:rPr>
          <w:rFonts w:ascii="Arial;sans-serif" w:hAnsi="Arial;sans-serif"/>
          <w:b w:val="false"/>
          <w:color w:val="000000"/>
          <w:sz w:val="20"/>
        </w:rPr>
        <w:t xml:space="preserve">and </w:t>
      </w:r>
      <w:hyperlink w:anchor="ie336afd30b40464eac7d81391acfd742_67">
        <w:r>
          <w:rPr>
            <w:rStyle w:val="InternetLink"/>
            <w:rFonts w:ascii="Arial;sans-serif" w:hAnsi="Arial;sans-serif"/>
            <w:b w:val="false"/>
            <w:color w:val="0000FF"/>
            <w:sz w:val="20"/>
            <w:u w:val="single"/>
          </w:rPr>
          <w:t>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Credit Facility</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December 9, 2022, we entered into the Credit Agreement, as amended by the Initial Credit Agreement Amendment and the Investment Grade Credit Agreement Amendment, maturing in December 2027. The Credit Facility provides for aggregate commitments of $2.5 billion, with a $500 million sublimit available for the issuance of letters of credit and a $50 million sublimit available for swingline loans. Borrowings under the Credit Agreement may be alternate base rate loans or term SOFR loans, at the Company’s election. As of March 31, 2025, we had approximately $2.5 billion available for borrowings under the Credit Facility.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 xml:space="preserve">Capital Expenditures </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For the year ending December 31, 2025, we currently expect to complete and turn in line 240 to 270 gross wells utilizing approximately 11 to 15 rigs and plan to invest between approximately $2.9 – $3.1 billion in capital expenditures. We currently plan to fund our 2025 capital program through cash on hand, expected cash flow from our operations and borrowings under our Credit Facility. We may alter or change our plans with respect to our capital program and expected capital expenditures based on developments in our business, our financial position, our industry or any of the markets in which we operate.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Sources and (Uses) of Cash and Cash Equivalents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following table presents the sources and uses of our cash and cash equivalents for the periods presented:</w:t>
      </w:r>
    </w:p>
    <w:tbl>
      <w:tblPr>
        <w:tblW w:w="8649" w:type="dxa"/>
        <w:jc w:val="left"/>
        <w:tblInd w:w="0" w:type="dxa"/>
        <w:tblLayout w:type="fixed"/>
        <w:tblCellMar>
          <w:top w:w="28" w:type="dxa"/>
          <w:left w:w="28" w:type="dxa"/>
          <w:bottom w:w="28" w:type="dxa"/>
          <w:right w:w="28" w:type="dxa"/>
        </w:tblCellMar>
      </w:tblPr>
      <w:tblGrid>
        <w:gridCol w:w="1892"/>
        <w:gridCol w:w="1658"/>
        <w:gridCol w:w="1669"/>
        <w:gridCol w:w="109"/>
        <w:gridCol w:w="109"/>
        <w:gridCol w:w="109"/>
        <w:gridCol w:w="306"/>
        <w:gridCol w:w="938"/>
        <w:gridCol w:w="158"/>
        <w:gridCol w:w="158"/>
        <w:gridCol w:w="158"/>
        <w:gridCol w:w="158"/>
        <w:gridCol w:w="306"/>
        <w:gridCol w:w="698"/>
        <w:gridCol w:w="223"/>
      </w:tblGrid>
      <w:tr>
        <w:trPr/>
        <w:tc>
          <w:tcPr>
            <w:tcW w:w="189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Receipts of deferred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Contributions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to purchase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Cash Flow from Operating Activities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Cash provided by operating activities was $1,096 million and $552 million during the Current Quarter and Prior Quarter, respectively. The increase during the Current Quarter is primarily due to increased sales volumes, including those related to the Southwestern Merger, as well as higher prices for the natural gas, oil and NGL we sold. Cash flows from operations are largely affected by the same factors that affect our net income (loss),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sans-serif" w:hAnsi="Arial;sans-serif"/>
          <w:b w:val="false"/>
          <w:i/>
          <w:color w:val="000000"/>
          <w:sz w:val="20"/>
        </w:rPr>
        <w:t>Results of Operations</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Receipts of Deferred Consideration</w:t>
      </w:r>
    </w:p>
    <w:p>
      <w:pPr>
        <w:pStyle w:val="TextBody"/>
        <w:bidi w:val="0"/>
        <w:spacing w:lineRule="auto" w:line="288" w:before="0" w:after="0"/>
        <w:ind w:left="0" w:right="0" w:firstLine="450"/>
        <w:jc w:val="both"/>
        <w:rPr/>
      </w:pPr>
      <w:r>
        <w:rPr>
          <w:rFonts w:ascii="Arial;sans-serif" w:hAnsi="Arial;sans-serif"/>
          <w:b w:val="false"/>
          <w:color w:val="000000"/>
          <w:sz w:val="20"/>
        </w:rPr>
        <w:t xml:space="preserve">During both the Current Quarter and Prior Quarter, we received $60 million in deferred consideration associated with our Eagle Ford divestiture transactions. See </w:t>
      </w:r>
      <w:hyperlink w:anchor="ie336afd30b40464eac7d81391acfd742_37">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Our capital expenditures increased during the Current Quarter compared to the Prior Quarter, primarily as a result of increased drilling and completion activity within our operating areas, including those related to the Southwestern Merger. See </w:t>
      </w:r>
      <w:hyperlink w:anchor="ie336afd30b40464eac7d81391acfd742_37">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Contributions to Investments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During the Current Quarter, contributions to investments primarily related to capitalized interest on our investment with Momentum Sustainable Ventures LLC. During the Prior Quarter, contributions to investments primarily consisted of contributions to our investment with Momentum Sustainable Ventures LLC to build a new natural gas gathering pipeline and carbon capture project. See </w:t>
      </w:r>
      <w:hyperlink w:anchor="ie336afd30b40464eac7d81391acfd742_70">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Cash Paid to Purchase Debt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During the Current Quarter, the $389 million aggregate principal of the 2025 Notes was repaid and terminated upon maturity with cash on hand and borrowings under the Credit Facility, of which the Credit Facility borrowings were subsequently repaid. Additionally, we redeemed the remaining $47 million aggregate principal of the 2026 Notes using cash on hand. 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Cash Paid for Common Stock Dividends</w:t>
      </w:r>
    </w:p>
    <w:p>
      <w:pPr>
        <w:pStyle w:val="TextBody"/>
        <w:bidi w:val="0"/>
        <w:spacing w:lineRule="auto" w:line="288" w:before="180" w:after="180"/>
        <w:ind w:left="0" w:right="0" w:firstLine="450"/>
        <w:jc w:val="both"/>
        <w:rPr/>
      </w:pPr>
      <w:r>
        <w:rPr>
          <w:rFonts w:ascii="Arial;sans-serif" w:hAnsi="Arial;sans-serif"/>
          <w:b w:val="false"/>
          <w:color w:val="000000"/>
          <w:sz w:val="20"/>
        </w:rPr>
        <w:t xml:space="preserve">As part of our dividend program, we paid common stock dividends of $142 million and $77 million during the Current Quarter and Prior Quarter, respectively. See </w:t>
      </w:r>
      <w:hyperlink w:anchor="ie336afd30b40464eac7d81391acfd742_61">
        <w:r>
          <w:rPr>
            <w:rStyle w:val="InternetLink"/>
            <w:rFonts w:ascii="Arial;sans-serif" w:hAnsi="Arial;sans-serif"/>
            <w:b w:val="false"/>
            <w:color w:val="0000FF"/>
            <w:sz w:val="20"/>
            <w:u w:val="single"/>
          </w:rPr>
          <w:t>Note 9</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180" w:after="180"/>
        <w:ind w:left="0" w:right="0" w:firstLine="450"/>
        <w:jc w:val="both"/>
        <w:rPr/>
      </w:pPr>
      <w:r>
        <w:rPr/>
      </w:r>
    </w:p>
    <w:p>
      <w:pPr>
        <w:pStyle w:val="TextBody"/>
        <w:bidi w:val="0"/>
        <w:spacing w:before="18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tbl>
      <w:tblPr>
        <w:tblW w:w="2174" w:type="dxa"/>
        <w:jc w:val="left"/>
        <w:tblInd w:w="0" w:type="dxa"/>
        <w:tblLayout w:type="fixed"/>
        <w:tblCellMar>
          <w:top w:w="28" w:type="dxa"/>
          <w:left w:w="28" w:type="dxa"/>
          <w:bottom w:w="28" w:type="dxa"/>
          <w:right w:w="28" w:type="dxa"/>
        </w:tblCellMar>
      </w:tblPr>
      <w:tblGrid>
        <w:gridCol w:w="697"/>
        <w:gridCol w:w="612"/>
        <w:gridCol w:w="865"/>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jc w:val="left"/>
              <w:rPr>
                <w:rFonts w:ascii="Arial;sans-serif" w:hAnsi="Arial;sans-serif"/>
                <w:b/>
                <w:color w:val="00386C"/>
                <w:sz w:val="20"/>
              </w:rPr>
            </w:pPr>
            <w:r>
              <w:rPr>
                <w:rFonts w:ascii="Arial;sans-serif" w:hAnsi="Arial;sans-serif"/>
                <w:b/>
                <w:color w:val="00386C"/>
                <w:sz w:val="20"/>
              </w:rPr>
              <w:t>Results of Operations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results of operations discussed below include amounts pertaining to Southwestern after the merger closed on October 1, 2024.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Natural Gas, Oil and NGL Production and Average Sales Prices</w:t>
      </w:r>
    </w:p>
    <w:tbl>
      <w:tblPr>
        <w:tblW w:w="10205" w:type="dxa"/>
        <w:jc w:val="righ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2025</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63.40 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Natural Gas, Oil and NGL Sales </w:t>
      </w:r>
    </w:p>
    <w:tbl>
      <w:tblPr>
        <w:tblW w:w="8270" w:type="dxa"/>
        <w:jc w:val="left"/>
        <w:tblInd w:w="0" w:type="dxa"/>
        <w:tblLayout w:type="fixed"/>
        <w:tblCellMar>
          <w:top w:w="28" w:type="dxa"/>
          <w:left w:w="28" w:type="dxa"/>
          <w:bottom w:w="28" w:type="dxa"/>
          <w:right w:w="28" w:type="dxa"/>
        </w:tblCellMar>
      </w:tblPr>
      <w:tblGrid>
        <w:gridCol w:w="1173"/>
        <w:gridCol w:w="1030"/>
        <w:gridCol w:w="1036"/>
        <w:gridCol w:w="109"/>
        <w:gridCol w:w="109"/>
        <w:gridCol w:w="109"/>
        <w:gridCol w:w="259"/>
        <w:gridCol w:w="793"/>
        <w:gridCol w:w="133"/>
        <w:gridCol w:w="109"/>
        <w:gridCol w:w="109"/>
        <w:gridCol w:w="109"/>
        <w:gridCol w:w="211"/>
        <w:gridCol w:w="406"/>
        <w:gridCol w:w="109"/>
        <w:gridCol w:w="109"/>
        <w:gridCol w:w="109"/>
        <w:gridCol w:w="109"/>
        <w:gridCol w:w="211"/>
        <w:gridCol w:w="481"/>
        <w:gridCol w:w="109"/>
        <w:gridCol w:w="109"/>
        <w:gridCol w:w="109"/>
        <w:gridCol w:w="109"/>
        <w:gridCol w:w="211"/>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 oil and NGL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 oil and NGL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Natural gas, oil and NGL sales during the Current Quarter increased $1,711 million compared to the Prior Quarter. The Southwestern Merger resulted in a $1.3 billion increase during the Current Quarter due to increased volumes across all of our operating areas. Additionally, higher average prices, which were consistent with the upward trend in index prices for all products, drove a $462 million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6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Production Expenses</w:t>
      </w:r>
    </w:p>
    <w:tbl>
      <w:tblPr>
        <w:tblW w:w="7691" w:type="dxa"/>
        <w:jc w:val="left"/>
        <w:tblInd w:w="0" w:type="dxa"/>
        <w:tblLayout w:type="fixed"/>
        <w:tblCellMar>
          <w:top w:w="28" w:type="dxa"/>
          <w:left w:w="28" w:type="dxa"/>
          <w:bottom w:w="28" w:type="dxa"/>
          <w:right w:w="28" w:type="dxa"/>
        </w:tblCellMar>
      </w:tblPr>
      <w:tblGrid>
        <w:gridCol w:w="875"/>
        <w:gridCol w:w="768"/>
        <w:gridCol w:w="772"/>
        <w:gridCol w:w="109"/>
        <w:gridCol w:w="109"/>
        <w:gridCol w:w="109"/>
        <w:gridCol w:w="211"/>
        <w:gridCol w:w="481"/>
        <w:gridCol w:w="109"/>
        <w:gridCol w:w="109"/>
        <w:gridCol w:w="109"/>
        <w:gridCol w:w="109"/>
        <w:gridCol w:w="270"/>
        <w:gridCol w:w="271"/>
        <w:gridCol w:w="236"/>
        <w:gridCol w:w="109"/>
        <w:gridCol w:w="109"/>
        <w:gridCol w:w="109"/>
        <w:gridCol w:w="211"/>
        <w:gridCol w:w="376"/>
        <w:gridCol w:w="109"/>
        <w:gridCol w:w="109"/>
        <w:gridCol w:w="109"/>
        <w:gridCol w:w="109"/>
        <w:gridCol w:w="270"/>
        <w:gridCol w:w="271"/>
        <w:gridCol w:w="236"/>
        <w:gridCol w:w="109"/>
        <w:gridCol w:w="109"/>
        <w:gridCol w:w="109"/>
        <w:gridCol w:w="109"/>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production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Production expenses during the Current Quarter increased $88 million compared to the Prior Quarter. The increase was primarily related to the Southwestern Merger and increased volumes across all of our operating areas.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Gathering, Processing and Transportation Expenses</w:t>
      </w:r>
    </w:p>
    <w:tbl>
      <w:tblPr>
        <w:tblW w:w="7435"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481"/>
        <w:gridCol w:w="109"/>
        <w:gridCol w:w="109"/>
        <w:gridCol w:w="109"/>
        <w:gridCol w:w="109"/>
        <w:gridCol w:w="270"/>
        <w:gridCol w:w="271"/>
        <w:gridCol w:w="236"/>
        <w:gridCol w:w="109"/>
        <w:gridCol w:w="109"/>
        <w:gridCol w:w="109"/>
        <w:gridCol w:w="211"/>
        <w:gridCol w:w="481"/>
        <w:gridCol w:w="109"/>
        <w:gridCol w:w="109"/>
        <w:gridCol w:w="109"/>
        <w:gridCol w:w="109"/>
        <w:gridCol w:w="270"/>
        <w:gridCol w:w="271"/>
        <w:gridCol w:w="236"/>
        <w:gridCol w:w="109"/>
        <w:gridCol w:w="109"/>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GP&amp;T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Gathering, processing and transportation expenses during the Current Quarter increased $390 million compared to the Prior Quarter. The increase was primarily related to increased volumes and rates across all of our operating areas due to the Southwestern Merger.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Severance and Ad Valorem Taxes</w:t>
      </w:r>
    </w:p>
    <w:tbl>
      <w:tblPr>
        <w:tblW w:w="8621" w:type="dxa"/>
        <w:jc w:val="left"/>
        <w:tblInd w:w="0" w:type="dxa"/>
        <w:tblLayout w:type="fixed"/>
        <w:tblCellMar>
          <w:top w:w="28" w:type="dxa"/>
          <w:left w:w="28" w:type="dxa"/>
          <w:bottom w:w="28" w:type="dxa"/>
          <w:right w:w="28" w:type="dxa"/>
        </w:tblCellMar>
      </w:tblPr>
      <w:tblGrid>
        <w:gridCol w:w="1250"/>
        <w:gridCol w:w="1097"/>
        <w:gridCol w:w="1103"/>
        <w:gridCol w:w="109"/>
        <w:gridCol w:w="109"/>
        <w:gridCol w:w="109"/>
        <w:gridCol w:w="211"/>
        <w:gridCol w:w="376"/>
        <w:gridCol w:w="109"/>
        <w:gridCol w:w="109"/>
        <w:gridCol w:w="109"/>
        <w:gridCol w:w="109"/>
        <w:gridCol w:w="270"/>
        <w:gridCol w:w="271"/>
        <w:gridCol w:w="236"/>
        <w:gridCol w:w="109"/>
        <w:gridCol w:w="109"/>
        <w:gridCol w:w="109"/>
        <w:gridCol w:w="211"/>
        <w:gridCol w:w="376"/>
        <w:gridCol w:w="109"/>
        <w:gridCol w:w="109"/>
        <w:gridCol w:w="109"/>
        <w:gridCol w:w="109"/>
        <w:gridCol w:w="270"/>
        <w:gridCol w:w="271"/>
        <w:gridCol w:w="236"/>
        <w:gridCol w:w="109"/>
        <w:gridCol w:w="109"/>
        <w:gridCol w:w="109"/>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severance and ad valorem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Severance and ad valorem taxes during the Current Quarter increased $19 million compared to the Prior Quarter. The increase was primarily related to a $30 million increase due to the Southwestern Merger, which was partially offset by an $11 million decrease in Haynesville primarily due to a decrease in the statutory severance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before="180" w:after="283"/>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Natural Gas, Oil and NGL Derivatives</w:t>
      </w:r>
    </w:p>
    <w:tbl>
      <w:tblPr>
        <w:tblW w:w="9066" w:type="dxa"/>
        <w:jc w:val="left"/>
        <w:tblInd w:w="0" w:type="dxa"/>
        <w:tblLayout w:type="fixed"/>
        <w:tblCellMar>
          <w:top w:w="28" w:type="dxa"/>
          <w:left w:w="28" w:type="dxa"/>
          <w:bottom w:w="28" w:type="dxa"/>
          <w:right w:w="28" w:type="dxa"/>
        </w:tblCellMar>
      </w:tblPr>
      <w:tblGrid>
        <w:gridCol w:w="1906"/>
        <w:gridCol w:w="1674"/>
        <w:gridCol w:w="1684"/>
        <w:gridCol w:w="109"/>
        <w:gridCol w:w="109"/>
        <w:gridCol w:w="109"/>
        <w:gridCol w:w="293"/>
        <w:gridCol w:w="983"/>
        <w:gridCol w:w="151"/>
        <w:gridCol w:w="151"/>
        <w:gridCol w:w="151"/>
        <w:gridCol w:w="151"/>
        <w:gridCol w:w="293"/>
        <w:gridCol w:w="670"/>
        <w:gridCol w:w="151"/>
        <w:gridCol w:w="109"/>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derivatives - realized 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derivatives -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gains (losses) on natural gas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 derivatives - realized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 derivatives -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losses on NGL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unrealized gains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gains (losses) on natural gas, oil and NGL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Arial;sans-serif" w:hAnsi="Arial;sans-serif"/>
          <w:b w:val="false"/>
          <w:color w:val="000000"/>
          <w:sz w:val="20"/>
        </w:rPr>
        <w:t xml:space="preserve">See </w:t>
      </w:r>
      <w:hyperlink w:anchor="ie336afd30b40464eac7d81391acfd742_6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a discussion of our derivative activity.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General and Administrative Expenses</w:t>
      </w:r>
    </w:p>
    <w:tbl>
      <w:tblPr>
        <w:tblW w:w="5560"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309"/>
        <w:gridCol w:w="792"/>
        <w:gridCol w:w="159"/>
        <w:gridCol w:w="159"/>
        <w:gridCol w:w="159"/>
        <w:gridCol w:w="159"/>
        <w:gridCol w:w="309"/>
        <w:gridCol w:w="792"/>
        <w:gridCol w:w="15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G&amp;A,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net per 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Total general and administrative expenses, net during the Current Quarter was in line with the Prior Quarter as the increase in employee compensation and benefits, as a result of the Southwestern Merger, was offset by a corresponding increase in allocations and reimbursements due to increased drilling and production activity. The per unit decrease in total general and administrative expenses, net during the Current Quarter is due to increased production volumes as a result of the Southwestern Merger. </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 xml:space="preserve">Depreciation, Depletion and Amortization </w:t>
      </w:r>
    </w:p>
    <w:tbl>
      <w:tblPr>
        <w:tblW w:w="5290" w:type="dxa"/>
        <w:jc w:val="left"/>
        <w:tblInd w:w="0" w:type="dxa"/>
        <w:tblLayout w:type="fixed"/>
        <w:tblCellMar>
          <w:top w:w="28" w:type="dxa"/>
          <w:left w:w="28" w:type="dxa"/>
          <w:bottom w:w="28" w:type="dxa"/>
          <w:right w:w="28" w:type="dxa"/>
        </w:tblCellMar>
      </w:tblPr>
      <w:tblGrid>
        <w:gridCol w:w="536"/>
        <w:gridCol w:w="471"/>
        <w:gridCol w:w="478"/>
        <w:gridCol w:w="109"/>
        <w:gridCol w:w="109"/>
        <w:gridCol w:w="109"/>
        <w:gridCol w:w="309"/>
        <w:gridCol w:w="792"/>
        <w:gridCol w:w="159"/>
        <w:gridCol w:w="159"/>
        <w:gridCol w:w="159"/>
        <w:gridCol w:w="159"/>
        <w:gridCol w:w="309"/>
        <w:gridCol w:w="792"/>
        <w:gridCol w:w="159"/>
        <w:gridCol w:w="109"/>
        <w:gridCol w:w="109"/>
        <w:gridCol w:w="109"/>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DD&amp;A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DD&amp;A per 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absolute increase in depreciation, depletion and amortization for the Current Quarter compared to the Prior Quarter is primarily related to the Southwestern Merger. Depreciation, depletion and amortization per Mcfe decreased during the Current Quarter compared to the Prior Quarter due to lower depletion rates on wells acquired in the Southwestern Merger.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Other Operating Expense, Net</w:t>
      </w:r>
    </w:p>
    <w:tbl>
      <w:tblPr>
        <w:tblW w:w="6446"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368"/>
        <w:gridCol w:w="656"/>
        <w:gridCol w:w="190"/>
        <w:gridCol w:w="190"/>
        <w:gridCol w:w="190"/>
        <w:gridCol w:w="190"/>
        <w:gridCol w:w="368"/>
        <w:gridCol w:w="656"/>
        <w:gridCol w:w="190"/>
        <w:gridCol w:w="109"/>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Quarter and Prior Quarter, we recognized approximately $27 million and $11 million, respectively, of costs related to the Southwestern Merger, which included employee expenses, legal fees, consulting fees and financial advisory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before="180" w:after="283"/>
        <w:ind w:left="0" w:right="0" w:firstLine="450"/>
        <w:jc w:val="both"/>
        <w:rPr/>
      </w:pPr>
      <w:r>
        <w:rPr/>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Interest Expense</w:t>
      </w:r>
    </w:p>
    <w:tbl>
      <w:tblPr>
        <w:tblW w:w="9221" w:type="dxa"/>
        <w:jc w:val="left"/>
        <w:tblInd w:w="0" w:type="dxa"/>
        <w:tblLayout w:type="fixed"/>
        <w:tblCellMar>
          <w:top w:w="28" w:type="dxa"/>
          <w:left w:w="28" w:type="dxa"/>
          <w:bottom w:w="28" w:type="dxa"/>
          <w:right w:w="28" w:type="dxa"/>
        </w:tblCellMar>
      </w:tblPr>
      <w:tblGrid>
        <w:gridCol w:w="1962"/>
        <w:gridCol w:w="1719"/>
        <w:gridCol w:w="1734"/>
        <w:gridCol w:w="109"/>
        <w:gridCol w:w="109"/>
        <w:gridCol w:w="109"/>
        <w:gridCol w:w="368"/>
        <w:gridCol w:w="656"/>
        <w:gridCol w:w="190"/>
        <w:gridCol w:w="190"/>
        <w:gridCol w:w="190"/>
        <w:gridCol w:w="190"/>
        <w:gridCol w:w="368"/>
        <w:gridCol w:w="656"/>
        <w:gridCol w:w="190"/>
        <w:gridCol w:w="109"/>
        <w:gridCol w:w="109"/>
        <w:gridCol w:w="109"/>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on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premium, discount, issuance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Arial;sans-serif" w:hAnsi="Arial;sans-serif"/>
          <w:b w:val="false"/>
          <w:color w:val="000000"/>
          <w:sz w:val="20"/>
        </w:rPr>
        <w:t xml:space="preserve">The increase in total interest expense during the Current Quarter compared to the Prior Quarter was primarily due to our assumption of Southwestern’s Senior Notes as a result of the Southwestern Merger, which resulted in an increase in interest expense on debt. Capitalized interest increased during the Current Quarter compared to the Prior Quarter primarily as a result of increased capital activity following the completion of the Southwestern Merger. 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additional discussion.</w:t>
      </w:r>
    </w:p>
    <w:p>
      <w:pPr>
        <w:pStyle w:val="TextBody"/>
        <w:bidi w:val="0"/>
        <w:spacing w:before="180" w:after="283"/>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The projected full year current and deferred taxes are allocated to the Current Quarter based on the proportion of year-to-date pre-tax book income to the projected full year pre-tax book income. As a result, an income tax benefit of $70 million was recorded for the Current Quarter. Of this amount, $33 million was related to current taxes and $37 million was related to deferred taxes. Income tax expense was $7 million for the Prior Quarter. That amount was entirely related to projections of deferred federal and state income taxes. Our effective income tax rate was 21.9% and 21.2% during the Current Quarter and the Prior Quarter, respectively. Our effective tax rate can fluctuate due to the impact of discrete items, state income taxes and permanent differences. See </w:t>
      </w:r>
      <w:hyperlink w:anchor="ie336afd30b40464eac7d81391acfd742_58">
        <w:r>
          <w:rPr>
            <w:rStyle w:val="InternetLink"/>
            <w:rFonts w:ascii="Arial;sans-serif" w:hAnsi="Arial;sans-serif"/>
            <w:b w:val="false"/>
            <w:color w:val="0000FF"/>
            <w:sz w:val="20"/>
            <w:u w:val="single"/>
          </w:rPr>
          <w:t>Note 8</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a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tbl>
      <w:tblPr>
        <w:tblW w:w="2849" w:type="dxa"/>
        <w:jc w:val="left"/>
        <w:tblInd w:w="0" w:type="dxa"/>
        <w:tblLayout w:type="fixed"/>
        <w:tblCellMar>
          <w:top w:w="28" w:type="dxa"/>
          <w:left w:w="28" w:type="dxa"/>
          <w:bottom w:w="28" w:type="dxa"/>
          <w:right w:w="28" w:type="dxa"/>
        </w:tblCellMar>
      </w:tblPr>
      <w:tblGrid>
        <w:gridCol w:w="910"/>
        <w:gridCol w:w="801"/>
        <w:gridCol w:w="1138"/>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color w:val="00386C"/>
                <w:sz w:val="20"/>
              </w:rPr>
            </w:pPr>
            <w:r>
              <w:rPr>
                <w:rFonts w:ascii="Arial;sans-serif" w:hAnsi="Arial;sans-serif"/>
                <w:b/>
                <w:color w:val="00386C"/>
                <w:sz w:val="20"/>
              </w:rPr>
              <w:t>Forward-Looking Statements</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and instability in Europe and the Middle East,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our ability to capture synergies, the amount and timing of any cash dividends and our ESG initiatives.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reduced demand for natural gas, oil and NGLs;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negative public perceptions of our industry;</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competition in the natural gas and oil exploration and production industry;</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volatility of natural gas, oil and NGL prices, which are affected by general economic and business conditions, as well as increased demand for (and availability of) alternative fuels and electric vehicles;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from regional epidemics or pandemics and related economic turmoil, including supply chain constraints;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write-downs of our natural gas and oil asset carrying values due to low commodity prices;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significant capital expenditures are required to replace our reserves and conduct our business;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ability to replace reserves and sustain production;</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uncertainties inherent in estimating quantities of natural gas, oil and NGL reserves and projecting future rates of production and the amount and timing of development expenditures;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drilling and operating risks and resulting liabilities;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ability to generate profits or achieve targeted results in drilling and well operations;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leasehold terms expiring before production can be established;</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from our commodity price risk management activities;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uncertainties, risks and costs associated with natural gas and oil operations;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need to secure adequate supplies of water for our drilling operations and to dispose of or recycle the water used;</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pipeline and gathering system capacity constraints and transportation interruptions;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related to our plans to participate in the global LNG value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terrorist activities and/or cyber-attacks adversely impacting our operations;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from failure to protect personal information and data and compliance with data privacy and security laws and regulations;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disruption of our business by natural or human causes beyond our control;</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a deterioration in general economic, business or industry conditions;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impact of inflation and commodity price volatility, including as a result of decisions made by OPEC+ and armed conflict and instability in Europe and the Middle East, along with the effects of the current global economic environment, on our business, financial condition, employees, contractors, vendors and the global demand for natural gas and oil and on U.S. and global financial markets;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inability to access the capital markets on favorable terms;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limitations on our financial flexibility due to our level of indebtedness and restrictive covenants from our indebtedness;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challenges with employee retention and increasingly competitive labor market;</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related to acquisitions or dispositions, or potential acquisitions or dispositions;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ability to achieve and maintain ESG certifications, goals and commitments;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legislative, regulatory and ESG initiatives, including those addressing the impact of climate change or further regulating hydraulic fracturing, methane emissions, flaring or water disposal;</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federal and state tax proposals affecting our industry;</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related to an annual limitation on the utilization of our tax attributes, which was triggered upon the completion of the Southwestern Merger, as well as trading in our common stock, additional issuance of common stock, and certain other stock transactions, which could lead to an additional, potentially more restrictive, annual limitation; and</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 xml:space="preserve">other factors that are described under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 xml:space="preserve">in Item 1A of our </w:t>
      </w:r>
      <w:hyperlink r:id="rId6">
        <w:r>
          <w:rPr>
            <w:rStyle w:val="InternetLink"/>
            <w:rFonts w:ascii="Arial;sans-serif" w:hAnsi="Arial;sans-serif"/>
            <w:b w:val="false"/>
            <w:color w:val="0000FF"/>
            <w:sz w:val="20"/>
            <w:u w:val="single"/>
          </w:rPr>
          <w:t>2024 Form 10-K</w:t>
        </w:r>
      </w:hyperlink>
      <w:r>
        <w:rPr>
          <w:rFonts w:ascii="Arial;sans-serif" w:hAnsi="Arial;sans-serif"/>
          <w:b w:val="false"/>
          <w:color w:val="000000"/>
          <w:sz w:val="20"/>
        </w:rPr>
        <w:t>.</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We caution you not to place undue reliance on the forward-looking statements contained in this report, which speak only as of the filing date, and we undertake no obligation and have no intention to update this information, except as required by law. We urge you to carefully review and consider the disclosures in this report and our other filings with the SEC that attempt to advise interested parties of the risks and factors that may affect our business.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All forward-looking statements attributable to us are expressly qualified in their entirety by this cautionary statement.</w:t>
      </w:r>
    </w:p>
    <w:tbl>
      <w:tblPr>
        <w:tblW w:w="2160" w:type="dxa"/>
        <w:jc w:val="left"/>
        <w:tblInd w:w="0" w:type="dxa"/>
        <w:tblLayout w:type="fixed"/>
        <w:tblCellMar>
          <w:top w:w="28" w:type="dxa"/>
          <w:left w:w="28" w:type="dxa"/>
          <w:bottom w:w="28" w:type="dxa"/>
          <w:right w:w="28" w:type="dxa"/>
        </w:tblCellMar>
      </w:tblPr>
      <w:tblGrid>
        <w:gridCol w:w="692"/>
        <w:gridCol w:w="607"/>
        <w:gridCol w:w="861"/>
      </w:tblGrid>
      <w:tr>
        <w:trPr/>
        <w:tc>
          <w:tcPr>
            <w:tcW w:w="6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386C"/>
                <w:sz w:val="20"/>
              </w:rPr>
            </w:pPr>
            <w:r>
              <w:rPr>
                <w:rFonts w:ascii="Arial;sans-serif" w:hAnsi="Arial;sans-serif"/>
                <w:b/>
                <w:color w:val="00386C"/>
                <w:sz w:val="20"/>
              </w:rPr>
              <w:t>Information About Us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Investors should note that we make available, free of charge on our website at expandenergy.com,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on the Investors section of our website could be deemed to be material information. Documents and information on our website are not incorporated by reference herein.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SEC maintains a website at www.sec.gov that contains reports, proxy and information statements, and other information regarding issuers, including Expand Energy,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tbl>
      <w:tblPr>
        <w:tblW w:w="6450" w:type="dxa"/>
        <w:jc w:val="left"/>
        <w:tblInd w:w="0" w:type="dxa"/>
        <w:tblLayout w:type="fixed"/>
        <w:tblCellMar>
          <w:top w:w="28" w:type="dxa"/>
          <w:left w:w="28" w:type="dxa"/>
          <w:bottom w:w="28" w:type="dxa"/>
          <w:right w:w="28" w:type="dxa"/>
        </w:tblCellMar>
      </w:tblPr>
      <w:tblGrid>
        <w:gridCol w:w="298"/>
        <w:gridCol w:w="262"/>
        <w:gridCol w:w="265"/>
        <w:gridCol w:w="1648"/>
        <w:gridCol w:w="1648"/>
        <w:gridCol w:w="232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3.</w:t>
            </w:r>
          </w:p>
        </w:tc>
        <w:tc>
          <w:tcPr>
            <w:tcW w:w="562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Quantitative and Qualitative Disclosures About Market Risk</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The primary objective of the following information is to provide forward-looking quantitative and qualitative information about our exposure to market risk. The term market risk relates to our risk of loss arising from adverse changes in natural gas, oil and NGL prices and interest rates. These disclosures are not meant to be precise indicators of expected future losses, but rather indicators of reasonably possible losses. The forward-looking information provides indicators of how we view and manage our ongoing market risk exposures.</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Commodity Price Risk</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highly effective in achieving our risk management objectives.</w:t>
      </w:r>
    </w:p>
    <w:p>
      <w:pPr>
        <w:pStyle w:val="TextBody"/>
        <w:bidi w:val="0"/>
        <w:spacing w:lineRule="auto" w:line="288" w:before="180" w:after="283"/>
        <w:ind w:left="0" w:right="0" w:firstLine="495"/>
        <w:jc w:val="both"/>
        <w:rPr/>
      </w:pPr>
      <w:r>
        <w:rPr>
          <w:rFonts w:ascii="Arial;sans-serif" w:hAnsi="Arial;sans-serif"/>
          <w:b w:val="false"/>
          <w:color w:val="000000"/>
          <w:sz w:val="20"/>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hyperlink w:anchor="ie336afd30b40464eac7d81391acfd742_6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 of the fair value measurements associated with our derivatives.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Our natural gas, oil and NGL revenues during the Current Quarter, excluding any effect of our derivative instruments, were $2,015 million, $78 million and $207 million, respectively. Based on production, natural gas, oil and NGL revenue for the Current Quarter would have increased or decreased by approximately $202 million, $8 million and $21 million, respectively, for each 10% increase or decrease in prices. As of March 31, 2025, the fair value of our natural gas and NGL derivatives were net liabilities of $1,011 million and $16 million, respectively. As of March 31, 2025, the fair value of our oil derivatives was a net asset of $4 million. A 10% increase in forward natural gas prices would decrease the valuation of natural gas derivatives by approximately $753 million, while a 10% decrease would increase the valuation by approximately $734 million. A 10% fluctuation in forward oil prices would impact the valuation of oil derivatives by approximately $3 million. A 10% fluctuation in forward NGL prices would impact the valuation of NGL derivatives by $14 million. This fair value change assumes volatility based on prevailing market parameters at March 31, 2025. See </w:t>
      </w:r>
      <w:hyperlink w:anchor="ie336afd30b40464eac7d81391acfd742_6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information on our open derivative positions.</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Interest Rate Risk</w:t>
      </w:r>
    </w:p>
    <w:p>
      <w:pPr>
        <w:pStyle w:val="TextBody"/>
        <w:bidi w:val="0"/>
        <w:spacing w:lineRule="auto" w:line="288" w:before="180" w:after="283"/>
        <w:ind w:left="0" w:right="0" w:firstLine="495"/>
        <w:jc w:val="both"/>
        <w:rPr/>
      </w:pPr>
      <w:r>
        <w:rPr>
          <w:rFonts w:ascii="Arial;sans-serif" w:hAnsi="Arial;sans-serif"/>
          <w:b w:val="false"/>
          <w:color w:val="000000"/>
          <w:sz w:val="20"/>
        </w:rPr>
        <w:t xml:space="preserve">Our exposure to interest rate changes relates primarily to borrowings under our Credit Facility. Interest is payable on borrowings under the Credit Facility based on floating rates. See </w:t>
      </w:r>
      <w:hyperlink w:anchor="ie336afd30b40464eac7d81391acfd742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1 of this report for additional information. As of March 31, 2025, we did not have any outstanding borrowings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tbl>
      <w:tblPr>
        <w:tblW w:w="3300" w:type="dxa"/>
        <w:jc w:val="left"/>
        <w:tblInd w:w="0" w:type="dxa"/>
        <w:tblLayout w:type="fixed"/>
        <w:tblCellMar>
          <w:top w:w="28" w:type="dxa"/>
          <w:left w:w="28" w:type="dxa"/>
          <w:bottom w:w="28" w:type="dxa"/>
          <w:right w:w="28" w:type="dxa"/>
        </w:tblCellMar>
      </w:tblPr>
      <w:tblGrid>
        <w:gridCol w:w="298"/>
        <w:gridCol w:w="262"/>
        <w:gridCol w:w="265"/>
        <w:gridCol w:w="725"/>
        <w:gridCol w:w="725"/>
        <w:gridCol w:w="102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4.</w:t>
            </w:r>
          </w:p>
        </w:tc>
        <w:tc>
          <w:tcPr>
            <w:tcW w:w="247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Controls and Procedures</w:t>
            </w:r>
          </w:p>
        </w:tc>
      </w:tr>
    </w:tbl>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We maintain disclosure controls and procedures designed to ensure that information required to be disclosed in reports we file or submit under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pStyle w:val="TextBody"/>
        <w:bidi w:val="0"/>
        <w:spacing w:lineRule="auto" w:line="288" w:before="180" w:after="160"/>
        <w:ind w:left="0" w:right="0" w:firstLine="495"/>
        <w:jc w:val="both"/>
        <w:rPr>
          <w:rFonts w:ascii="Arial;sans-serif" w:hAnsi="Arial;sans-serif"/>
          <w:b w:val="false"/>
          <w:color w:val="000000"/>
          <w:sz w:val="20"/>
        </w:rPr>
      </w:pPr>
      <w:r>
        <w:rPr>
          <w:rFonts w:ascii="Arial;sans-serif" w:hAnsi="Arial;sans-serif"/>
          <w:b w:val="false"/>
          <w:color w:val="000000"/>
          <w:sz w:val="20"/>
        </w:rPr>
        <w:t>As of the end of the period covered by this report, we carried out an evaluation, under the supervision and with the participation of management, including our Chief Executive Officer and Chief Financial Officer, of the effectiveness of the design and operation of our disclosure controls and procedures pursuant to Exchange Act Rule 13a-15(b). Based on that evaluation, our Chief Executive Officer and Chief Financial Officer concluded as of March 31, 2025 that our disclosure controls and procedures were effective.</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14" w:type="dxa"/>
        <w:jc w:val="left"/>
        <w:tblInd w:w="0" w:type="dxa"/>
        <w:tblLayout w:type="fixed"/>
        <w:tblCellMar>
          <w:top w:w="28" w:type="dxa"/>
          <w:left w:w="28" w:type="dxa"/>
          <w:bottom w:w="28" w:type="dxa"/>
          <w:right w:w="28" w:type="dxa"/>
        </w:tblCellMar>
      </w:tblPr>
      <w:tblGrid>
        <w:gridCol w:w="299"/>
        <w:gridCol w:w="263"/>
        <w:gridCol w:w="263"/>
        <w:gridCol w:w="553"/>
        <w:gridCol w:w="553"/>
        <w:gridCol w:w="783"/>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color w:val="00386C"/>
                <w:sz w:val="20"/>
              </w:rPr>
            </w:pPr>
            <w:r>
              <w:rPr>
                <w:rFonts w:ascii="Arial;sans-serif" w:hAnsi="Arial;sans-serif"/>
                <w:b/>
                <w:color w:val="00386C"/>
                <w:sz w:val="20"/>
              </w:rPr>
              <w:t>ITEM 1.</w:t>
            </w:r>
          </w:p>
        </w:tc>
        <w:tc>
          <w:tcPr>
            <w:tcW w:w="188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386C"/>
                <w:sz w:val="20"/>
              </w:rPr>
            </w:pPr>
            <w:r>
              <w:rPr>
                <w:rFonts w:ascii="Arial;sans-serif" w:hAnsi="Arial;sans-serif"/>
                <w:b/>
                <w:i/>
                <w:color w:val="00386C"/>
                <w:sz w:val="20"/>
              </w:rPr>
              <w:t>Legal Proceedings</w:t>
            </w:r>
          </w:p>
        </w:tc>
      </w:tr>
    </w:tbl>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Litigation and Regulatory Proceedings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are involved in various regulatory proceedings, lawsuits and disputes arising in the ordinary course of our business operations, including commercial disputes, personal injury claims, royalty claims, property damage claims and contract actions. We are also party to the consolidated Chapter 11 Cases pending for the Debtors in the Bankruptcy Court. Legal proceedings that were in existence prior to the Petition Date and have not yet been settled as part of the Chapter 11 Cases will be resolved in connection with the claims reconciliation process before the Bankruptcy Court. Any allowed claim related to such prepetition litigation will be treated in accordance with the Plan. Any legal proceeding pending against Southwestern and assumed by us in connection with the Southwestern Merger is not subject to discharge or resolution as part of the Chapter 11 Cases.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See </w:t>
      </w:r>
      <w:hyperlink w:anchor="ie336afd30b40464eac7d81391acfd742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The final resolution of such matters could exceed amounts accrued, however, and actual results could differ materially from management’s estimates.</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Environmental Contingencies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63" w:type="dxa"/>
        <w:jc w:val="left"/>
        <w:tblInd w:w="0" w:type="dxa"/>
        <w:tblLayout w:type="fixed"/>
        <w:tblCellMar>
          <w:top w:w="28" w:type="dxa"/>
          <w:left w:w="28" w:type="dxa"/>
          <w:bottom w:w="28" w:type="dxa"/>
          <w:right w:w="28" w:type="dxa"/>
        </w:tblCellMar>
      </w:tblPr>
      <w:tblGrid>
        <w:gridCol w:w="346"/>
        <w:gridCol w:w="305"/>
        <w:gridCol w:w="308"/>
        <w:gridCol w:w="382"/>
        <w:gridCol w:w="382"/>
        <w:gridCol w:w="540"/>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1A.</w:t>
            </w:r>
          </w:p>
        </w:tc>
        <w:tc>
          <w:tcPr>
            <w:tcW w:w="130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Risk Factors</w:t>
            </w:r>
          </w:p>
        </w:tc>
      </w:tr>
    </w:tbl>
    <w:p>
      <w:pPr>
        <w:pStyle w:val="TextBody"/>
        <w:bidi w:val="0"/>
        <w:spacing w:before="0" w:after="0"/>
        <w:jc w:val="left"/>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Our business has many risks. Factors that could materially adversely affect our business, financial condition, operating results or liquidity and the trading price of our common stock are described under “Risk Factors” in Item 1A of our </w:t>
      </w:r>
      <w:hyperlink r:id="rId7">
        <w:r>
          <w:rPr>
            <w:rStyle w:val="InternetLink"/>
            <w:rFonts w:ascii="Arial;sans-serif" w:hAnsi="Arial;sans-serif"/>
            <w:b w:val="false"/>
            <w:color w:val="0000FF"/>
            <w:sz w:val="20"/>
            <w:u w:val="single"/>
          </w:rPr>
          <w:t>2024 Form 10-K</w:t>
        </w:r>
      </w:hyperlink>
      <w:r>
        <w:rPr>
          <w:rFonts w:ascii="Arial;sans-serif" w:hAnsi="Arial;sans-serif"/>
          <w:b w:val="false"/>
          <w:color w:val="000000"/>
          <w:sz w:val="20"/>
        </w:rPr>
        <w:t>. This information should be considered carefully, together with other information in this report and other reports and materials we file with the SEC.</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00" w:type="dxa"/>
        <w:jc w:val="left"/>
        <w:tblInd w:w="0" w:type="dxa"/>
        <w:tblLayout w:type="fixed"/>
        <w:tblCellMar>
          <w:top w:w="28" w:type="dxa"/>
          <w:left w:w="28" w:type="dxa"/>
          <w:bottom w:w="28" w:type="dxa"/>
          <w:right w:w="28" w:type="dxa"/>
        </w:tblCellMar>
      </w:tblPr>
      <w:tblGrid>
        <w:gridCol w:w="298"/>
        <w:gridCol w:w="262"/>
        <w:gridCol w:w="265"/>
        <w:gridCol w:w="1692"/>
        <w:gridCol w:w="1692"/>
        <w:gridCol w:w="239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2.</w:t>
            </w:r>
          </w:p>
        </w:tc>
        <w:tc>
          <w:tcPr>
            <w:tcW w:w="577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Unregistered Sales of Equity Securities and Use of Proceeds</w:t>
            </w:r>
          </w:p>
        </w:tc>
      </w:tr>
    </w:tbl>
    <w:p>
      <w:pPr>
        <w:pStyle w:val="TextBody"/>
        <w:bidi w:val="0"/>
        <w:spacing w:lineRule="auto" w:line="288" w:before="120" w:after="100"/>
        <w:ind w:left="0" w:right="0" w:firstLine="450"/>
        <w:jc w:val="both"/>
        <w:rPr>
          <w:rFonts w:ascii="Arial;sans-serif" w:hAnsi="Arial;sans-serif"/>
          <w:b w:val="false"/>
          <w:i/>
          <w:color w:val="000000"/>
          <w:sz w:val="20"/>
        </w:rPr>
      </w:pPr>
      <w:r>
        <w:rPr>
          <w:rFonts w:ascii="Arial;sans-serif" w:hAnsi="Arial;sans-serif"/>
          <w:b w:val="false"/>
          <w:i/>
          <w:color w:val="000000"/>
          <w:sz w:val="20"/>
        </w:rPr>
        <w:t>Repurchases of Equity Securities</w:t>
      </w:r>
    </w:p>
    <w:p>
      <w:pPr>
        <w:pStyle w:val="TextBody"/>
        <w:bidi w:val="0"/>
        <w:spacing w:lineRule="auto" w:line="288" w:before="100" w:after="40"/>
        <w:ind w:left="0" w:right="0" w:firstLine="450"/>
        <w:jc w:val="both"/>
        <w:rPr>
          <w:rFonts w:ascii="Arial;sans-serif" w:hAnsi="Arial;sans-serif"/>
          <w:b w:val="false"/>
          <w:color w:val="000000"/>
          <w:sz w:val="20"/>
        </w:rPr>
      </w:pPr>
      <w:r>
        <w:rPr>
          <w:rFonts w:ascii="Arial;sans-serif" w:hAnsi="Arial;sans-serif"/>
          <w:b w:val="false"/>
          <w:color w:val="000000"/>
          <w:sz w:val="20"/>
        </w:rPr>
        <w:t>We did not repurchase any shares of our common stock during the quarter ended March 31,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45" w:type="dxa"/>
        <w:jc w:val="left"/>
        <w:tblInd w:w="0" w:type="dxa"/>
        <w:tblLayout w:type="fixed"/>
        <w:tblCellMar>
          <w:top w:w="28" w:type="dxa"/>
          <w:left w:w="28" w:type="dxa"/>
          <w:bottom w:w="28" w:type="dxa"/>
          <w:right w:w="28" w:type="dxa"/>
        </w:tblCellMar>
      </w:tblPr>
      <w:tblGrid>
        <w:gridCol w:w="299"/>
        <w:gridCol w:w="263"/>
        <w:gridCol w:w="263"/>
        <w:gridCol w:w="912"/>
        <w:gridCol w:w="912"/>
        <w:gridCol w:w="129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color w:val="00386C"/>
                <w:sz w:val="20"/>
              </w:rPr>
            </w:pPr>
            <w:r>
              <w:rPr>
                <w:rFonts w:ascii="Arial;sans-serif" w:hAnsi="Arial;sans-serif"/>
                <w:b/>
                <w:color w:val="00386C"/>
                <w:sz w:val="20"/>
              </w:rPr>
              <w:t>ITEM 3.</w:t>
            </w:r>
          </w:p>
        </w:tc>
        <w:tc>
          <w:tcPr>
            <w:tcW w:w="312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386C"/>
                <w:sz w:val="20"/>
              </w:rPr>
            </w:pPr>
            <w:r>
              <w:rPr>
                <w:rFonts w:ascii="Arial;sans-serif" w:hAnsi="Arial;sans-serif"/>
                <w:b/>
                <w:i/>
                <w:color w:val="00386C"/>
                <w:sz w:val="20"/>
              </w:rPr>
              <w:t>Defaults Upon Senior Securities</w:t>
            </w:r>
          </w:p>
        </w:tc>
      </w:tr>
    </w:tbl>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09" w:type="dxa"/>
        <w:jc w:val="left"/>
        <w:tblInd w:w="0" w:type="dxa"/>
        <w:tblLayout w:type="fixed"/>
        <w:tblCellMar>
          <w:top w:w="28" w:type="dxa"/>
          <w:left w:w="28" w:type="dxa"/>
          <w:bottom w:w="28" w:type="dxa"/>
          <w:right w:w="28" w:type="dxa"/>
        </w:tblCellMar>
      </w:tblPr>
      <w:tblGrid>
        <w:gridCol w:w="299"/>
        <w:gridCol w:w="263"/>
        <w:gridCol w:w="263"/>
        <w:gridCol w:w="698"/>
        <w:gridCol w:w="698"/>
        <w:gridCol w:w="988"/>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color w:val="00386C"/>
                <w:sz w:val="20"/>
              </w:rPr>
            </w:pPr>
            <w:r>
              <w:rPr>
                <w:rFonts w:ascii="Arial;sans-serif" w:hAnsi="Arial;sans-serif"/>
                <w:b/>
                <w:color w:val="00386C"/>
                <w:sz w:val="20"/>
              </w:rPr>
              <w:t>ITEM 4.</w:t>
            </w:r>
          </w:p>
        </w:tc>
        <w:tc>
          <w:tcPr>
            <w:tcW w:w="238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386C"/>
                <w:sz w:val="20"/>
              </w:rPr>
            </w:pPr>
            <w:r>
              <w:rPr>
                <w:rFonts w:ascii="Arial;sans-serif" w:hAnsi="Arial;sans-serif"/>
                <w:b/>
                <w:i/>
                <w:color w:val="00386C"/>
                <w:sz w:val="20"/>
              </w:rPr>
              <w:t>Mine Safety Disclosures</w:t>
            </w:r>
          </w:p>
        </w:tc>
      </w:tr>
    </w:tbl>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The information concerning mine safety violations and other regulatory matters required by Section 1503(a) of the Dodd-Frank Wall Street Reform and Consumer Protection Act and Item 104 of Regulation S-K (17 CFR 229.104) is included in Exhibit 95.1 to this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4" w:type="dxa"/>
        <w:jc w:val="left"/>
        <w:tblInd w:w="0" w:type="dxa"/>
        <w:tblLayout w:type="fixed"/>
        <w:tblCellMar>
          <w:top w:w="28" w:type="dxa"/>
          <w:left w:w="28" w:type="dxa"/>
          <w:bottom w:w="28" w:type="dxa"/>
          <w:right w:w="28" w:type="dxa"/>
        </w:tblCellMar>
      </w:tblPr>
      <w:tblGrid>
        <w:gridCol w:w="298"/>
        <w:gridCol w:w="262"/>
        <w:gridCol w:w="265"/>
        <w:gridCol w:w="527"/>
        <w:gridCol w:w="527"/>
        <w:gridCol w:w="74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5.</w:t>
            </w:r>
          </w:p>
        </w:tc>
        <w:tc>
          <w:tcPr>
            <w:tcW w:w="179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Other Information</w:t>
            </w:r>
          </w:p>
        </w:tc>
      </w:tr>
    </w:tbl>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three months ended March 31, 2025, no director or officer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40" w:type="dxa"/>
        <w:jc w:val="left"/>
        <w:tblInd w:w="0" w:type="dxa"/>
        <w:tblLayout w:type="fixed"/>
        <w:tblCellMar>
          <w:top w:w="28" w:type="dxa"/>
          <w:left w:w="28" w:type="dxa"/>
          <w:bottom w:w="28" w:type="dxa"/>
          <w:right w:w="28" w:type="dxa"/>
        </w:tblCellMar>
      </w:tblPr>
      <w:tblGrid>
        <w:gridCol w:w="298"/>
        <w:gridCol w:w="262"/>
        <w:gridCol w:w="265"/>
        <w:gridCol w:w="268"/>
        <w:gridCol w:w="268"/>
        <w:gridCol w:w="37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6.</w:t>
            </w:r>
          </w:p>
        </w:tc>
        <w:tc>
          <w:tcPr>
            <w:tcW w:w="91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Exhibits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exhibits listed below in the Index of Exhibits are filed, furnished or incorporated by reference pursuant to the requirements of Item 601 of Regulation S-K.</w:t>
      </w:r>
    </w:p>
    <w:p>
      <w:pPr>
        <w:pStyle w:val="TextBody"/>
        <w:bidi w:val="0"/>
        <w:spacing w:lineRule="auto" w:line="288" w:before="180" w:after="283"/>
        <w:ind w:left="0" w:right="0" w:firstLine="450"/>
        <w:jc w:val="center"/>
        <w:rPr>
          <w:rFonts w:ascii="Arial;sans-serif" w:hAnsi="Arial;sans-serif"/>
          <w:b/>
          <w:color w:val="000000"/>
          <w:sz w:val="20"/>
        </w:rPr>
      </w:pPr>
      <w:r>
        <w:rPr>
          <w:rFonts w:ascii="Arial;sans-serif" w:hAnsi="Arial;sans-serif"/>
          <w:b/>
          <w:color w:val="000000"/>
          <w:sz w:val="20"/>
        </w:rPr>
        <w:t>INDEX OF EXHIBITS</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242"/>
        <w:gridCol w:w="1062"/>
        <w:gridCol w:w="1012"/>
        <w:gridCol w:w="109"/>
        <w:gridCol w:w="109"/>
        <w:gridCol w:w="109"/>
        <w:gridCol w:w="185"/>
        <w:gridCol w:w="185"/>
        <w:gridCol w:w="186"/>
        <w:gridCol w:w="109"/>
        <w:gridCol w:w="109"/>
        <w:gridCol w:w="109"/>
        <w:gridCol w:w="282"/>
        <w:gridCol w:w="282"/>
        <w:gridCol w:w="284"/>
        <w:gridCol w:w="109"/>
        <w:gridCol w:w="109"/>
        <w:gridCol w:w="109"/>
        <w:gridCol w:w="230"/>
        <w:gridCol w:w="230"/>
        <w:gridCol w:w="231"/>
        <w:gridCol w:w="109"/>
        <w:gridCol w:w="109"/>
        <w:gridCol w:w="109"/>
        <w:gridCol w:w="335"/>
        <w:gridCol w:w="335"/>
        <w:gridCol w:w="336"/>
        <w:gridCol w:w="109"/>
        <w:gridCol w:w="109"/>
        <w:gridCol w:w="109"/>
        <w:gridCol w:w="294"/>
        <w:gridCol w:w="294"/>
        <w:gridCol w:w="42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SEC File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Filed 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Furnished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Herewith</w:t>
            </w:r>
          </w:p>
        </w:tc>
      </w:tr>
      <w:tr>
        <w:trPr/>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8"/>
                  <w:u w:val="single"/>
                </w:rPr>
                <w:t>Fifth Amended Joint Plan of Reorganization of Chesapeake Energy Corporation and its Debtor Affiliates Pursuant to Chapter 11 of the Bankruptcy Code (Exhibit A of the Confirmation Order).</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8"/>
                  <w:u w:val="single"/>
                </w:rPr>
                <w:t>Agreement and Plan of Merger, dated as of January 10, 2024, among Chesapeake Energy Corporation, Hulk Merger Sub, Inc., Hulk LLC Sub, LLC, and Southwestern Energy Company.</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8"/>
                  <w:u w:val="single"/>
                </w:rPr>
                <w:t>Third Amended and Restated Certificate of Incorporation of Expand Energy Corporation.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8"/>
                  <w:u w:val="single"/>
                </w:rPr>
                <w:t>Third Amended and Restated Bylaws of Expand Energy Corporation.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101formofexecutiveem.htm">
              <w:r>
                <w:rPr>
                  <w:rStyle w:val="InternetLink"/>
                  <w:rFonts w:ascii="Arial;sans-serif" w:hAnsi="Arial;sans-serif"/>
                  <w:b w:val="false"/>
                  <w:color w:val="0000FF"/>
                  <w:sz w:val="18"/>
                  <w:u w:val="single"/>
                </w:rPr>
                <w:t>Form of Executive/Employee Restricted Stock Unit Award Agreement for Expand Energy Corporation 2021 Long Term Incentive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102formofpsuagreemen.htm">
              <w:r>
                <w:rPr>
                  <w:rStyle w:val="InternetLink"/>
                  <w:rFonts w:ascii="Arial;sans-serif" w:hAnsi="Arial;sans-serif"/>
                  <w:b w:val="false"/>
                  <w:color w:val="0000FF"/>
                  <w:sz w:val="18"/>
                  <w:u w:val="single"/>
                </w:rPr>
                <w:t>Form of Performance Share Unit Award (Absolute TSR) for Expand Energy Corporation 2021 Long Term Incentive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103formofpsuagreemen.htm">
              <w:r>
                <w:rPr>
                  <w:rStyle w:val="InternetLink"/>
                  <w:rFonts w:ascii="Arial;sans-serif" w:hAnsi="Arial;sans-serif"/>
                  <w:b w:val="false"/>
                  <w:color w:val="0000FF"/>
                  <w:sz w:val="18"/>
                  <w:u w:val="single"/>
                </w:rPr>
                <w:t>Form of Performance Share Unit Award (Relative TSR) for Expand Energy Corporation 2021 Long Term Incentive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11x20250331x10q.htm">
              <w:r>
                <w:rPr>
                  <w:rStyle w:val="InternetLink"/>
                  <w:rFonts w:ascii="Arial;sans-serif" w:hAnsi="Arial;sans-serif"/>
                  <w:b w:val="false"/>
                  <w:color w:val="0000FF"/>
                  <w:sz w:val="18"/>
                  <w:u w:val="single"/>
                </w:rPr>
                <w:t>Domenic J. Dell’Osso, Jr., President and Chief Executive Officer, Certification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12x20250331x10q.htm">
              <w:r>
                <w:rPr>
                  <w:rStyle w:val="InternetLink"/>
                  <w:rFonts w:ascii="Arial;sans-serif" w:hAnsi="Arial;sans-serif"/>
                  <w:b w:val="false"/>
                  <w:color w:val="0000FF"/>
                  <w:sz w:val="18"/>
                  <w:u w:val="single"/>
                </w:rPr>
                <w:t>Mohit Singh, Executive Vice President and Chief Financial Officer, Certification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21x20250331x10q.htm">
              <w:r>
                <w:rPr>
                  <w:rStyle w:val="InternetLink"/>
                  <w:rFonts w:ascii="Arial;sans-serif" w:hAnsi="Arial;sans-serif"/>
                  <w:b w:val="false"/>
                  <w:color w:val="0000FF"/>
                  <w:sz w:val="18"/>
                  <w:u w:val="single"/>
                </w:rPr>
                <w:t>Domenic J. Dell’Osso Jr., President and Chief Executive Officer, Certification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22x20250331x10q.htm">
              <w:r>
                <w:rPr>
                  <w:rStyle w:val="InternetLink"/>
                  <w:rFonts w:ascii="Arial;sans-serif" w:hAnsi="Arial;sans-serif"/>
                  <w:b w:val="false"/>
                  <w:color w:val="0000FF"/>
                  <w:sz w:val="18"/>
                  <w:u w:val="single"/>
                </w:rPr>
                <w:t>Mohit Singh, Executive Vice President and Chief Financial Officer, Certification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7"/>
        <w:gridCol w:w="261"/>
        <w:gridCol w:w="262"/>
        <w:gridCol w:w="109"/>
        <w:gridCol w:w="109"/>
        <w:gridCol w:w="109"/>
        <w:gridCol w:w="1125"/>
        <w:gridCol w:w="1087"/>
        <w:gridCol w:w="1090"/>
        <w:gridCol w:w="109"/>
        <w:gridCol w:w="109"/>
        <w:gridCol w:w="109"/>
        <w:gridCol w:w="185"/>
        <w:gridCol w:w="185"/>
        <w:gridCol w:w="186"/>
        <w:gridCol w:w="110"/>
        <w:gridCol w:w="110"/>
        <w:gridCol w:w="110"/>
        <w:gridCol w:w="276"/>
        <w:gridCol w:w="276"/>
        <w:gridCol w:w="277"/>
        <w:gridCol w:w="110"/>
        <w:gridCol w:w="110"/>
        <w:gridCol w:w="110"/>
        <w:gridCol w:w="231"/>
        <w:gridCol w:w="231"/>
        <w:gridCol w:w="232"/>
        <w:gridCol w:w="110"/>
        <w:gridCol w:w="110"/>
        <w:gridCol w:w="110"/>
        <w:gridCol w:w="336"/>
        <w:gridCol w:w="336"/>
        <w:gridCol w:w="337"/>
        <w:gridCol w:w="109"/>
        <w:gridCol w:w="109"/>
        <w:gridCol w:w="109"/>
        <w:gridCol w:w="295"/>
        <w:gridCol w:w="295"/>
        <w:gridCol w:w="43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SEC File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Filed 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Furnished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Herewith</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951minesafetydisclosures.htm">
              <w:r>
                <w:rPr>
                  <w:rStyle w:val="InternetLink"/>
                  <w:rFonts w:ascii="Arial;sans-serif" w:hAnsi="Arial;sans-serif"/>
                  <w:b w:val="false"/>
                  <w:color w:val="0000FF"/>
                  <w:sz w:val="18"/>
                  <w:u w:val="single"/>
                </w:rPr>
                <w:t>Mine Safety Disclosure.</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INS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CAL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LAB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Labels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Annexes, schedules and certain exhibits have been omitted pursuant to Item 601(a)(5) of Regulation S-K. The Company hereby undertakes to furnish supplemental copies of any of the omitted annexes, schedules and exhibits upon request by the SEC.</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Furnished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336afd30b40464eac7d81391acfd742_7">
        <w:r>
          <w:rPr>
            <w:rStyle w:val="InternetLink"/>
            <w:rFonts w:ascii="Arial;sans-serif" w:hAnsi="Arial;sans-serif"/>
            <w:b/>
            <w:color w:val="0000FF"/>
            <w:sz w:val="18"/>
            <w:u w:val="single"/>
          </w:rPr>
          <w:t>Table of Contents</w:t>
        </w:r>
      </w:hyperlink>
    </w:p>
    <w:p>
      <w:pPr>
        <w:pStyle w:val="TextBody"/>
        <w:bidi w:val="0"/>
        <w:spacing w:lineRule="auto" w:line="288" w:before="0" w:after="100"/>
        <w:ind w:left="0" w:right="0" w:firstLine="45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283"/>
        <w:ind w:left="0" w:right="0" w:firstLine="45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698" w:type="dxa"/>
        <w:jc w:val="right"/>
        <w:tblInd w:w="0" w:type="dxa"/>
        <w:tblLayout w:type="fixed"/>
        <w:tblCellMar>
          <w:top w:w="28" w:type="dxa"/>
          <w:left w:w="28" w:type="dxa"/>
          <w:bottom w:w="28" w:type="dxa"/>
          <w:right w:w="28" w:type="dxa"/>
        </w:tblCellMar>
      </w:tblPr>
      <w:tblGrid>
        <w:gridCol w:w="667"/>
        <w:gridCol w:w="585"/>
        <w:gridCol w:w="592"/>
        <w:gridCol w:w="355"/>
        <w:gridCol w:w="355"/>
        <w:gridCol w:w="355"/>
        <w:gridCol w:w="355"/>
        <w:gridCol w:w="355"/>
        <w:gridCol w:w="355"/>
        <w:gridCol w:w="1381"/>
        <w:gridCol w:w="1381"/>
        <w:gridCol w:w="196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EXPAND ENERGY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April 29, 2025</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DOMENIC J. DELL’OSSO, JR.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Domenic J. Dell’Osso, Jr.</w:t>
              <w:b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April 29, 2025</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MOHIT SINGH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Mohit Singh</w:t>
              <w:br/>
              <w:t>Executive Vice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1" w:after="283"/>
        <w:jc w:val="right"/>
        <w:rPr/>
      </w:pPr>
      <w:r>
        <w:rPr/>
      </w:r>
    </w:p>
    <w:p>
      <w:pPr>
        <w:pStyle w:val="TextBody"/>
        <w:bidi w:val="0"/>
        <w:spacing w:lineRule="auto" w:line="240" w:before="1" w:after="283"/>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40" w:before="1" w:after="283"/>
        <w:ind w:left="0" w:right="0" w:firstLine="720"/>
        <w:jc w:val="center"/>
        <w:rPr/>
      </w:pPr>
      <w:r>
        <w:rPr>
          <w:rFonts w:ascii="Arial;sans-serif" w:hAnsi="Arial;sans-serif"/>
          <w:b/>
          <w:color w:val="000000"/>
          <w:sz w:val="24"/>
        </w:rPr>
        <w:t>RESTRICTED STOCK UNIT AWARD AGREEMENT FOR</w:t>
        <w:br/>
        <w:t>EXPAND ENERGY CORPORATION</w:t>
        <w:br/>
      </w:r>
      <w:r>
        <w:rPr>
          <w:rFonts w:ascii="Arial;sans-serif" w:hAnsi="Arial;sans-serif"/>
          <w:b/>
          <w:color w:val="000000"/>
          <w:sz w:val="24"/>
          <w:u w:val="single"/>
        </w:rPr>
        <w:t>LONG TERM INCENTIVE PLAN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THIS RESTRICTED STOCK UNIT AWARD AGREEMENT (the “Agreement”) entered into as of the grant date set forth on the attached Notice of Grant of Restricted Stock Units and Award Agreement (the “Notice”), by and between Expand Energy Corporation, an Oklahoma corporation (the “Company”), and the participant named on the Notice (the “Participant”);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W I T N E S S E T 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WHEREAS, the Participant is an Employee, and it is important to the Company that the Participant be encouraged to remain an Employee;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WHEREAS, the Company has previously adopted the Expand Energy Corporation 2021 Long Term Incentive Plan effective as of February 9, 2021, as amended, restated or otherwise modified from time to time (the “Plan”);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WHEREAS, the Company has awarded the Participant Restricted Stock Units under the Plan, as set forth on the Notice, subject to the terms and conditions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NOW, THEREFORE, in consideration of the premises and the mutual promises and covenants herein contained, the Participant and the Company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1.    </w:t>
      </w:r>
      <w:r>
        <w:rPr>
          <w:rFonts w:ascii="Arial;sans-serif" w:hAnsi="Arial;sans-serif"/>
          <w:b w:val="false"/>
          <w:color w:val="000000"/>
          <w:sz w:val="24"/>
          <w:u w:val="single"/>
        </w:rPr>
        <w:t>The Plan</w:t>
      </w:r>
      <w:r>
        <w:rPr>
          <w:rFonts w:ascii="Arial;sans-serif" w:hAnsi="Arial;sans-serif"/>
          <w:b w:val="false"/>
          <w:color w:val="000000"/>
          <w:sz w:val="24"/>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2.    </w:t>
      </w:r>
      <w:r>
        <w:rPr>
          <w:rFonts w:ascii="Arial;sans-serif" w:hAnsi="Arial;sans-serif"/>
          <w:b w:val="false"/>
          <w:color w:val="000000"/>
          <w:sz w:val="24"/>
          <w:u w:val="single"/>
        </w:rPr>
        <w:t>Grant of Award</w:t>
      </w:r>
      <w:r>
        <w:rPr>
          <w:rFonts w:ascii="Arial;sans-serif" w:hAnsi="Arial;sans-serif"/>
          <w:b w:val="false"/>
          <w:color w:val="000000"/>
          <w:sz w:val="24"/>
        </w:rPr>
        <w:t>. The Company hereby awards to the Participant the number of Restricted Stock Units set forth in the Notice, on the terms and conditions set forth herein and in the Plan (the “Award”). Each Restricted Stock Unit granted pursuant to this Award gives the Participant the right to receive payment, upon satisfaction of the vesting conditions set forth in the Notice and this Agreement, of one share of Common Stock in the manner set forth in Section 5 below.</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3.    </w:t>
      </w:r>
      <w:r>
        <w:rPr>
          <w:rFonts w:ascii="Arial;sans-serif" w:hAnsi="Arial;sans-serif"/>
          <w:b w:val="false"/>
          <w:color w:val="000000"/>
          <w:sz w:val="24"/>
          <w:u w:val="single"/>
        </w:rPr>
        <w:t>Vesting and Forfeiture</w:t>
      </w:r>
      <w:r>
        <w:rPr>
          <w:rFonts w:ascii="Arial;sans-serif" w:hAnsi="Arial;sans-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(a)    </w:t>
      </w:r>
      <w:r>
        <w:rPr>
          <w:rFonts w:ascii="Arial;sans-serif" w:hAnsi="Arial;sans-serif"/>
          <w:b w:val="false"/>
          <w:color w:val="000000"/>
          <w:sz w:val="24"/>
          <w:u w:val="single"/>
        </w:rPr>
        <w:t>Vesting</w:t>
      </w:r>
      <w:r>
        <w:rPr>
          <w:rFonts w:ascii="Arial;sans-serif" w:hAnsi="Arial;sans-serif"/>
          <w:b w:val="false"/>
          <w:color w:val="000000"/>
          <w:sz w:val="24"/>
        </w:rPr>
        <w:t>. Subject to Sections 3(c)-(d), Restricted Stock Units will vest in accordance with the vesting schedule set forth in the Notice based on the Participant’s continuous employment with or service to the Company, a Subsidiary or an Affiliated Entity.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(b)    </w:t>
      </w:r>
      <w:r>
        <w:rPr>
          <w:rFonts w:ascii="Arial;sans-serif" w:hAnsi="Arial;sans-serif"/>
          <w:b w:val="false"/>
          <w:color w:val="000000"/>
          <w:sz w:val="24"/>
          <w:u w:val="single"/>
        </w:rPr>
        <w:t>Forfeiture</w:t>
      </w:r>
      <w:r>
        <w:rPr>
          <w:rFonts w:ascii="Arial;sans-serif" w:hAnsi="Arial;sans-serif"/>
          <w:b w:val="false"/>
          <w:color w:val="000000"/>
          <w:sz w:val="24"/>
        </w:rPr>
        <w:t>. In the event the Participant ceases to be an Employee prior to all Restricted Stock Units becoming vested, then any unvested Restricted Stock Units, and any dividends related thereto, shall be absolutely forfeited on the date of termination of service and the Participant shall have no further interest therein of any kind whatsoever.</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(c)    </w:t>
      </w:r>
      <w:r>
        <w:rPr>
          <w:rFonts w:ascii="Arial;sans-serif" w:hAnsi="Arial;sans-serif"/>
          <w:b w:val="false"/>
          <w:color w:val="000000"/>
          <w:sz w:val="24"/>
          <w:u w:val="single"/>
        </w:rPr>
        <w:t>Acceleration on Death, Disability, Retirement or Involuntary</w:t>
      </w:r>
      <w:r>
        <w:rPr>
          <w:color w:val="000000"/>
        </w:rPr>
        <w:t xml:space="preserve"> </w:t>
      </w:r>
      <w:r>
        <w:rPr>
          <w:rFonts w:ascii="Arial;sans-serif" w:hAnsi="Arial;sans-serif"/>
          <w:b w:val="false"/>
          <w:color w:val="000000"/>
          <w:sz w:val="24"/>
          <w:u w:val="single"/>
        </w:rPr>
        <w:t>Termination</w:t>
      </w:r>
      <w:r>
        <w:rPr>
          <w:rFonts w:ascii="Arial;sans-serif" w:hAnsi="Arial;sans-serif"/>
          <w:b w:val="false"/>
          <w:color w:val="000000"/>
          <w:sz w:val="24"/>
        </w:rPr>
        <w:t>. This Award shall become fully vested upon the Participant’s date of termination if the Participant’s termination occurs by reason of the Participant’s death. The Committee may also, in its discretion, waive the vesting requirements or permit continued vesting of the Restricted Stock Units in the event of the Participant’s Disability or termination of service due to retirement or involuntary termination (as determined by the Committee in its sole discretion).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(d)    </w:t>
      </w:r>
      <w:r>
        <w:rPr>
          <w:rFonts w:ascii="Arial;sans-serif" w:hAnsi="Arial;sans-serif"/>
          <w:b w:val="false"/>
          <w:color w:val="000000"/>
          <w:sz w:val="24"/>
          <w:u w:val="single"/>
        </w:rPr>
        <w:t>Acceleration on Termination Without Cause or for Good Reason Following a Change of Control.</w:t>
      </w:r>
      <w:r>
        <w:rPr>
          <w:color w:val="000000"/>
        </w:rPr>
        <w:t xml:space="preserve"> </w:t>
      </w:r>
      <w:r>
        <w:rPr>
          <w:rFonts w:ascii="Arial;sans-serif" w:hAnsi="Arial;sans-serif"/>
          <w:b w:val="false"/>
          <w:color w:val="000000"/>
          <w:sz w:val="24"/>
        </w:rPr>
        <w:t>This Award shall become fully vested if the Participant’s service is terminated by the Company without Cause or by the Participant for Good Reason, in each case, within the 12-month period following the effective date of a Change of Control (the “Protection Period”).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 Participant provides a 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(e)    </w:t>
      </w:r>
      <w:r>
        <w:rPr>
          <w:rFonts w:ascii="Arial;sans-serif" w:hAnsi="Arial;sans-serif"/>
          <w:b w:val="false"/>
          <w:color w:val="000000"/>
          <w:sz w:val="24"/>
          <w:u w:val="single"/>
        </w:rPr>
        <w:t>Acceleration on Termination Without Cause Outside of the Protection Period.</w:t>
      </w:r>
      <w:r>
        <w:rPr>
          <w:color w:val="000000"/>
        </w:rPr>
        <w:t xml:space="preserve"> </w:t>
      </w:r>
      <w:r>
        <w:rPr>
          <w:rFonts w:ascii="Arial;sans-serif" w:hAnsi="Arial;sans-serif"/>
          <w:b w:val="false"/>
          <w:color w:val="000000"/>
          <w:sz w:val="24"/>
        </w:rPr>
        <w:t>If the Participant’s service is terminated by the Company without Cause other than during the Protection Period, a pro rata portion of this Award shall vest as follows: the number of Restricted Stock Units that vest shall be equal to (1) the number of Restricted Stock Units subject to this Award multiplied by (2) a fraction (a) the numerator of which equals the number of days that the Participant has provided continuous service with the Company, a Subsidiary or an Affiliated Entity during the period from the Effective Date through the date of the Participant’s termination of employment and (b) the denominator of which equals the number of days during the period from the Effective Date through the last vesting date applicable to this Award, such result of (1) and (2) less (3) the number of Restricted Stock Units that have already vested as of the the date of the Participant’s termination of employment in accordance with the vesting schedule set forth in the Notice. Notwithstanding the foregoing, this Section 3(e) shall not apply if the Participant has not been employed by the Company, a Subsidiary or an Affiliated Entity for at least one (1) calendar year as of the date the Participant’s service is terminated by the Company without Cause.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4.    </w:t>
      </w:r>
      <w:r>
        <w:rPr>
          <w:rFonts w:ascii="Arial;sans-serif" w:hAnsi="Arial;sans-serif"/>
          <w:b w:val="false"/>
          <w:color w:val="000000"/>
          <w:sz w:val="24"/>
          <w:u w:val="single"/>
        </w:rPr>
        <w:t>Nontransferability of Award</w:t>
      </w:r>
      <w:r>
        <w:rPr>
          <w:rFonts w:ascii="Arial;sans-serif" w:hAnsi="Arial;sans-serif"/>
          <w:b w:val="false"/>
          <w:color w:val="000000"/>
          <w:sz w:val="24"/>
        </w:rPr>
        <w:t>. A Restricted Stock Unit is not transferable other than by will or the laws of descent and distribution. Any attempted sale, assignment, transfer, pledge, hypothecation or other disposition of, or the levy of execution, attachment or similar process upon, a Restricted Stock Unit contrary to the provisions hereof shall be void and ineffective, shall give no right to any purported transferee, and may, at the sole discretion of the Committee, result in forfeiture of the Restricted Stock Unit(s) involved in such attempt.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5.    </w:t>
      </w:r>
      <w:r>
        <w:rPr>
          <w:rFonts w:ascii="Arial;sans-serif" w:hAnsi="Arial;sans-serif"/>
          <w:b w:val="false"/>
          <w:color w:val="000000"/>
          <w:sz w:val="24"/>
          <w:u w:val="single"/>
        </w:rPr>
        <w:t>Payment</w:t>
      </w:r>
      <w:r>
        <w:rPr>
          <w:rFonts w:ascii="Arial;sans-serif" w:hAnsi="Arial;sans-serif"/>
          <w:b w:val="false"/>
          <w:color w:val="000000"/>
          <w:sz w:val="24"/>
        </w:rPr>
        <w:t>. Payment shall be made in the form of an issuance to the Participant of shares of Common Stock equal to the number of vested Restricted Stock Units. Such issuance shall be made to the Participant with respect to a Restricted Stock Unit within sixty (60) days following the vesting date of such Restricted Stock Unit as set forth in the Notice. Provided, that, with respect to non-409A RSUs only, in the event of accelerated vesting in accordance with Section 3, distribution shall be made within sixty (60) days following such accelerated vesting date.</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6.    </w:t>
      </w:r>
      <w:r>
        <w:rPr>
          <w:rFonts w:ascii="Arial;sans-serif" w:hAnsi="Arial;sans-serif"/>
          <w:b w:val="false"/>
          <w:color w:val="000000"/>
          <w:sz w:val="24"/>
          <w:u w:val="single"/>
        </w:rPr>
        <w:t>Dividends Equivalents</w:t>
      </w:r>
      <w:r>
        <w:rPr>
          <w:rFonts w:ascii="Arial;sans-serif" w:hAnsi="Arial;sans-serif"/>
          <w:b w:val="false"/>
          <w:color w:val="000000"/>
          <w:sz w:val="24"/>
        </w:rPr>
        <w:t>. In the event that the Company declares and pays a dividend in respect of its outstanding shares of Common Stock and, on the record date for such dividend, the Participant holds Restricted Stock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Restricted Stock Units held by the Participant that have not been settled as of such record date, such payment to be made on the date that shares of Common Stock are issued to the Participant in respect of the Restricted Stock Units in accordance with Section 5 (the “Dividend Equivalents”). For purposes of clarity, if the Restricted Stock Units (or any portion thereof) are forfeited by the Participant pursuant to the terms of this Agreement, then the Participant shall also forfeit the Dividend Equivalents, if any, accrued with respect to such forfeited Restricted Stock Units. No interest will accrue on the Dividend Equivalents between the declaration and payment of the applicable dividends and the settlement of the Dividend Equivalents.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7.    </w:t>
      </w:r>
      <w:r>
        <w:rPr>
          <w:rFonts w:ascii="Arial;sans-serif" w:hAnsi="Arial;sans-serif"/>
          <w:b w:val="false"/>
          <w:color w:val="000000"/>
          <w:sz w:val="24"/>
          <w:u w:val="single"/>
        </w:rPr>
        <w:t>Withholding</w:t>
      </w:r>
      <w:r>
        <w:rPr>
          <w:rFonts w:ascii="Arial;sans-serif" w:hAnsi="Arial;sans-serif"/>
          <w:b w:val="false"/>
          <w:color w:val="000000"/>
          <w:sz w:val="24"/>
        </w:rPr>
        <w:t>. The Company may make such provision as it may deem appropriate for the withholding of any applicable federal, state or local taxes that it determines it may be obligated to withhold or pay in connection with the Restricted Stock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Restricted Stock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8.    </w:t>
      </w:r>
      <w:r>
        <w:rPr>
          <w:rFonts w:ascii="Arial;sans-serif" w:hAnsi="Arial;sans-serif"/>
          <w:b w:val="false"/>
          <w:color w:val="000000"/>
          <w:sz w:val="24"/>
          <w:u w:val="single"/>
        </w:rPr>
        <w:t>Amendments</w:t>
      </w:r>
      <w:r>
        <w:rPr>
          <w:rFonts w:ascii="Arial;sans-serif" w:hAnsi="Arial;sans-serif"/>
          <w:b w:val="false"/>
          <w:color w:val="000000"/>
          <w:sz w:val="24"/>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9.    </w:t>
      </w:r>
      <w:r>
        <w:rPr>
          <w:rFonts w:ascii="Arial;sans-serif" w:hAnsi="Arial;sans-serif"/>
          <w:b w:val="false"/>
          <w:color w:val="000000"/>
          <w:sz w:val="24"/>
          <w:u w:val="single"/>
        </w:rPr>
        <w:t>Securities Law Restrictions</w:t>
      </w:r>
      <w:r>
        <w:rPr>
          <w:rFonts w:ascii="Arial;sans-serif" w:hAnsi="Arial;sans-serif"/>
          <w:b w:val="false"/>
          <w:color w:val="000000"/>
          <w:sz w:val="24"/>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10.    </w:t>
      </w:r>
      <w:r>
        <w:rPr>
          <w:rFonts w:ascii="Arial;sans-serif" w:hAnsi="Arial;sans-serif"/>
          <w:b w:val="false"/>
          <w:color w:val="000000"/>
          <w:sz w:val="24"/>
          <w:u w:val="single"/>
        </w:rPr>
        <w:t>Protection of Business</w:t>
      </w:r>
      <w:r>
        <w:rPr>
          <w:rFonts w:ascii="Arial;sans-serif" w:hAnsi="Arial;sans-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(a)    </w:t>
      </w:r>
      <w:r>
        <w:rPr>
          <w:rFonts w:ascii="Arial;sans-serif" w:hAnsi="Arial;sans-serif"/>
          <w:b w:val="false"/>
          <w:color w:val="000000"/>
          <w:sz w:val="24"/>
          <w:u w:val="single"/>
        </w:rPr>
        <w:t>Non-Solicitation</w:t>
      </w:r>
      <w:r>
        <w:rPr>
          <w:rFonts w:ascii="Arial;sans-serif" w:hAnsi="Arial;sans-serif"/>
          <w:b w:val="false"/>
          <w:color w:val="000000"/>
          <w:sz w:val="24"/>
        </w:rPr>
        <w:t>. The Participant covenants that during the term of his/her employment and for an eighteen (18) month period immediately following the termination of his/her employment for whatever reason, the Participant will neither directly nor indirectly induce or attempt to induce any employee of the Company to terminate his or her employment to go to work for any other entity or third party. The Participant further agrees that during his/her employment hereunder, and for a period of one (1) year thereafter, the Participant shall not directly solicit or contact any established client or customer of the Company with a view to inducing or encouraging such established client or customer to discontinue or curtail any business relationship with the Company. The Participant further agrees that he/she will not directly request or advise any established clients, customers or suppliers of the Company to withdraw, curtail or cancel their business with the Company.</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(b)    </w:t>
      </w:r>
      <w:r>
        <w:rPr>
          <w:rFonts w:ascii="Arial;sans-serif" w:hAnsi="Arial;sans-serif"/>
          <w:b w:val="false"/>
          <w:color w:val="000000"/>
          <w:sz w:val="24"/>
          <w:u w:val="single"/>
        </w:rPr>
        <w:t>Non-Disclosure of Confidential and Proprietary Information</w:t>
      </w:r>
      <w:r>
        <w:rPr>
          <w:rFonts w:ascii="Arial;sans-serif" w:hAnsi="Arial;sans-serif"/>
          <w:b w:val="false"/>
          <w:color w:val="000000"/>
          <w:sz w:val="24"/>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1440"/>
        <w:jc w:val="both"/>
        <w:rPr>
          <w:rFonts w:ascii="Arial;sans-serif" w:hAnsi="Arial;sans-serif"/>
          <w:b w:val="false"/>
          <w:color w:val="000000"/>
          <w:sz w:val="24"/>
        </w:rPr>
      </w:pPr>
      <w:r>
        <w:rPr>
          <w:rFonts w:ascii="Arial;sans-serif" w:hAnsi="Arial;sans-serif"/>
          <w:b w:val="false"/>
          <w:color w:val="000000"/>
          <w:sz w:val="24"/>
        </w:rPr>
        <w:t>Notwithstanding the foregoing, nothing in this Agreement shall prohibit or restrict the Participant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11.    </w:t>
      </w:r>
      <w:r>
        <w:rPr>
          <w:rFonts w:ascii="Arial;sans-serif" w:hAnsi="Arial;sans-serif"/>
          <w:b w:val="false"/>
          <w:color w:val="000000"/>
          <w:sz w:val="24"/>
          <w:u w:val="single"/>
        </w:rPr>
        <w:t>Participant Misconduct; Compensation Recovery</w:t>
      </w:r>
      <w:r>
        <w:rPr>
          <w:rFonts w:ascii="Arial;sans-serif" w:hAnsi="Arial;sans-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rFonts w:ascii="Arial;sans-serif" w:hAnsi="Arial;sans-serif"/>
          <w:b w:val="false"/>
          <w:color w:val="000000"/>
          <w:sz w:val="24"/>
        </w:rPr>
      </w:pPr>
      <w:r>
        <w:rPr>
          <w:rFonts w:ascii="Arial;sans-serif" w:hAnsi="Arial;sans-serif"/>
          <w:b w:val="false"/>
          <w:color w:val="000000"/>
          <w:sz w:val="24"/>
        </w:rPr>
        <w:t>(a)    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Arial;sans-serif" w:hAnsi="Arial;sans-serif"/>
          <w:b w:val="false"/>
          <w:color w:val="000000"/>
          <w:sz w:val="24"/>
        </w:rPr>
      </w:pPr>
      <w:r>
        <w:rPr>
          <w:rFonts w:ascii="Arial;sans-serif" w:hAnsi="Arial;sans-serif"/>
          <w:b w:val="false"/>
          <w:color w:val="000000"/>
          <w:sz w:val="24"/>
        </w:rPr>
        <w:t>(b)    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12.    </w:t>
      </w:r>
      <w:r>
        <w:rPr>
          <w:rFonts w:ascii="Arial;sans-serif" w:hAnsi="Arial;sans-serif"/>
          <w:b w:val="false"/>
          <w:color w:val="000000"/>
          <w:sz w:val="24"/>
          <w:u w:val="single"/>
        </w:rPr>
        <w:t>Notices</w:t>
      </w:r>
      <w:r>
        <w:rPr>
          <w:rFonts w:ascii="Arial;sans-serif" w:hAnsi="Arial;sans-serif"/>
          <w:b w:val="false"/>
          <w:color w:val="000000"/>
          <w:sz w:val="24"/>
        </w:rPr>
        <w:t>. All notices or other communications relating to the Plan and this Agreement as it relates to the Participant shall be in electronic or written form. If in writing, such notices shall be deemed to have been made (a) 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13.    </w:t>
      </w:r>
      <w:r>
        <w:rPr>
          <w:rFonts w:ascii="Arial;sans-serif" w:hAnsi="Arial;sans-serif"/>
          <w:b w:val="false"/>
          <w:color w:val="000000"/>
          <w:sz w:val="24"/>
          <w:u w:val="single"/>
        </w:rPr>
        <w:t>Binding Effect and Governing Law</w:t>
      </w:r>
      <w:r>
        <w:rPr>
          <w:rFonts w:ascii="Arial;sans-serif" w:hAnsi="Arial;sans-serif"/>
          <w:b w:val="false"/>
          <w:color w:val="000000"/>
          <w:sz w:val="24"/>
        </w:rPr>
        <w:t>. This Agreement shall be (i) binding upon and inure to the benefit of the parties hereto and their respective heirs, successors and assigns except as may be limited by the Plan and (ii) governed and construed under the laws of the State of Oklahoma.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14.    </w:t>
      </w:r>
      <w:r>
        <w:rPr>
          <w:rFonts w:ascii="Arial;sans-serif" w:hAnsi="Arial;sans-serif"/>
          <w:b w:val="false"/>
          <w:color w:val="000000"/>
          <w:sz w:val="24"/>
          <w:u w:val="single"/>
        </w:rPr>
        <w:t>Captions</w:t>
      </w:r>
      <w:r>
        <w:rPr>
          <w:rFonts w:ascii="Arial;sans-serif" w:hAnsi="Arial;sans-serif"/>
          <w:b w:val="false"/>
          <w:color w:val="000000"/>
          <w:sz w:val="24"/>
        </w:rPr>
        <w:t>. The captions of specific provisions of this Agreement are for convenience and reference only, and in no way define, describe, extend or limit the scope of this Agreement or the intent of any provision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15.    </w:t>
      </w:r>
      <w:r>
        <w:rPr>
          <w:rFonts w:ascii="Arial;sans-serif" w:hAnsi="Arial;sans-serif"/>
          <w:b w:val="false"/>
          <w:color w:val="000000"/>
          <w:sz w:val="24"/>
          <w:u w:val="single"/>
        </w:rPr>
        <w:t>Counterparts</w:t>
      </w:r>
      <w:r>
        <w:rPr>
          <w:rFonts w:ascii="Arial;sans-serif" w:hAnsi="Arial;sans-serif"/>
          <w:b w:val="false"/>
          <w:color w:val="000000"/>
          <w:sz w:val="24"/>
        </w:rPr>
        <w:t>. This Agreement may be executed in any number of identical counterparts, each of which shall be deemed an original for all purposes, but all of which taken together shall form but one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4"/>
        </w:rPr>
        <w:t>16.    </w:t>
      </w:r>
      <w:r>
        <w:rPr>
          <w:rFonts w:ascii="Arial;sans-serif" w:hAnsi="Arial;sans-serif"/>
          <w:b w:val="false"/>
          <w:color w:val="000000"/>
          <w:sz w:val="24"/>
          <w:u w:val="single"/>
        </w:rPr>
        <w:t>Code Section 409A.</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(a)    </w:t>
      </w:r>
      <w:r>
        <w:rPr>
          <w:rFonts w:ascii="Arial;sans-serif" w:hAnsi="Arial;sans-serif"/>
          <w:b w:val="false"/>
          <w:color w:val="000000"/>
          <w:sz w:val="24"/>
          <w:u w:val="single"/>
        </w:rPr>
        <w:t>General</w:t>
      </w:r>
      <w:r>
        <w:rPr>
          <w:rFonts w:ascii="Arial;sans-serif" w:hAnsi="Arial;sans-serif"/>
          <w:b w:val="false"/>
          <w:color w:val="000000"/>
          <w:sz w:val="24"/>
        </w:rPr>
        <w:t>. This Agreement and the Restricted Stock Units granted hereunder are intended to comply with, or otherwise be exempt from, Code Section 409A. The Agreement and the Restricted Stock Units shall be administered, interpreted, and construed in a manner consistent with Code Section 409A or an exemption therefrom. Should any provision of the Plan or the Agreement be found not to comply with, or otherwise be exempt from, the provisions of Code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Code Section 409A. Notwithstanding the foregoing, the Company makes no representations that the payments and benefits provided under the Plan or this Agreement comply with Code Section 409A and in no event shall the Company be liable for all or any portion of any taxes, penalties, interest or other expenses that may be incurred by the Participant on account of non-compliance with Code Section 409A. The Participant acknowledges that there may be adverse tax consequences upon the vesting or settlement of the Restricted Stock Units or the disposition of the underlying shares of Common Stock and that the Participant has been advised, and hereby is advised, to consult a tax advisor prior to such vesting, settlement or disposition.</w:t>
      </w:r>
    </w:p>
    <w:p>
      <w:pPr>
        <w:pStyle w:val="TextBody"/>
        <w:bidi w:val="0"/>
        <w:spacing w:before="0" w:after="0"/>
        <w:ind w:left="0" w:right="0" w:firstLine="1440"/>
        <w:jc w:val="left"/>
        <w:rPr/>
      </w:pPr>
      <w:r>
        <w:rPr/>
      </w:r>
    </w:p>
    <w:p>
      <w:pPr>
        <w:pStyle w:val="TextBody"/>
        <w:bidi w:val="0"/>
        <w:spacing w:lineRule="auto" w:line="288"/>
        <w:ind w:left="0" w:right="0" w:firstLine="1440"/>
        <w:jc w:val="both"/>
        <w:rPr/>
      </w:pPr>
      <w:r>
        <w:rPr>
          <w:rFonts w:ascii="Arial;sans-serif" w:hAnsi="Arial;sans-serif"/>
          <w:b w:val="false"/>
          <w:color w:val="000000"/>
          <w:sz w:val="24"/>
        </w:rPr>
        <w:t>(b)    </w:t>
      </w:r>
      <w:r>
        <w:rPr>
          <w:rFonts w:ascii="Arial;sans-serif" w:hAnsi="Arial;sans-serif"/>
          <w:b w:val="false"/>
          <w:color w:val="000000"/>
          <w:sz w:val="24"/>
          <w:u w:val="single"/>
        </w:rPr>
        <w:t>Restrictions on 409A RSUs</w:t>
      </w:r>
      <w:r>
        <w:rPr>
          <w:rFonts w:ascii="Arial;sans-serif" w:hAnsi="Arial;sans-serif"/>
          <w:b w:val="false"/>
          <w:color w:val="000000"/>
          <w:sz w:val="24"/>
        </w:rPr>
        <w:t>. Other provisions of this Agreement notwithstanding, in the case of any Restricted Stock Units that constitute a “deferral of compensation” under Code Section 409A (“409A RSUs”), the following restrictions shall apply:</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4"/>
        </w:rPr>
        <w:t>(i)    </w:t>
      </w:r>
      <w:r>
        <w:rPr>
          <w:rFonts w:ascii="Arial;sans-serif" w:hAnsi="Arial;sans-serif"/>
          <w:b w:val="false"/>
          <w:i/>
          <w:color w:val="000000"/>
          <w:sz w:val="24"/>
        </w:rPr>
        <w:t>Separation from Service</w:t>
      </w:r>
      <w:r>
        <w:rPr>
          <w:rFonts w:ascii="Arial;sans-serif" w:hAnsi="Arial;sans-serif"/>
          <w:b w:val="false"/>
          <w:color w:val="000000"/>
          <w:sz w:val="24"/>
        </w:rPr>
        <w:t>. Any payment in settlement of the 409A RSUs that is triggered by a termination of employment hereunder will occur only at such time as the Participant has had a “separation from service” within the meaning of Treasury Regulation Section 1.409A-1(h).</w:t>
      </w:r>
    </w:p>
    <w:p>
      <w:pPr>
        <w:pStyle w:val="TextBody"/>
        <w:bidi w:val="0"/>
        <w:spacing w:before="0" w:after="0"/>
        <w:ind w:left="0" w:right="0" w:firstLine="108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4"/>
        </w:rPr>
        <w:t>(ii)    </w:t>
      </w:r>
      <w:r>
        <w:rPr>
          <w:rFonts w:ascii="Arial;sans-serif" w:hAnsi="Arial;sans-serif"/>
          <w:b w:val="false"/>
          <w:i/>
          <w:color w:val="000000"/>
          <w:sz w:val="24"/>
        </w:rPr>
        <w:t>Six-Month Delay Rule</w:t>
      </w:r>
      <w:r>
        <w:rPr>
          <w:rFonts w:ascii="Arial;sans-serif" w:hAnsi="Arial;sans-serif"/>
          <w:b w:val="false"/>
          <w:color w:val="000000"/>
          <w:sz w:val="24"/>
        </w:rPr>
        <w:t>. The “six-month delay rule” will apply to 409A RSUs if the following four conditions exist:</w:t>
      </w: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1.    The Participant has a separation from service (within the meaning of Treasury Regulation Section 1.409A-1(h));</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2.    A payment is triggered by the separation from service (but not due to death);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3.    The Participant is a “specified employee” under Code Section 409A;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4.    The payment in settlement of the 409A RSUs would otherwise occur within six months after the separation from service.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If the six-month delay rule applies, payment in settlement of 409A RSUs shall instead occur on the first business day after the date that is six months following the Participant’s separation from service (or death, if earlier), with interest from the date such payment would otherwise have been made at the short-term applicable federal rate, compounded semi-annually, as determined under Section 1274 of the Code, for the month in which payment would have been made but for the delay in payment. During the six-month delay period, accelerated payment will be permitted in the event of the Participant’s death and for no other reason (including no acceleration upon a Change of Control) except to the extent permitted under Code Section 409A.</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4"/>
        </w:rPr>
        <w:t>(iii)    </w:t>
      </w:r>
      <w:r>
        <w:rPr>
          <w:rFonts w:ascii="Arial;sans-serif" w:hAnsi="Arial;sans-serif"/>
          <w:b w:val="false"/>
          <w:i/>
          <w:color w:val="000000"/>
          <w:sz w:val="24"/>
        </w:rPr>
        <w:t>Change of Control Rule</w:t>
      </w:r>
      <w:r>
        <w:rPr>
          <w:rFonts w:ascii="Arial;sans-serif" w:hAnsi="Arial;sans-serif"/>
          <w:b w:val="false"/>
          <w:color w:val="000000"/>
          <w:sz w:val="24"/>
        </w:rPr>
        <w:t>. Any payment in settlement of 409A RSUs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in settlement of 409A RSUs is not allowed by operation of this subparagraph (iii), the payment in settlement of the 409A RSUs will be made within sixty (60) days of the earlier to occur of (A) the applicable vesting date set forth in the Notice regardless of the fact that vesting has been accelerated under the Agreement as a result of the Change of Control, or (B) the occurrence of a permissible time or event that could trigger a payment without violating Code Section 409A.</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0" w:after="0"/>
        <w:ind w:left="0" w:right="0" w:firstLine="1440"/>
        <w:jc w:val="both"/>
        <w:rPr/>
      </w:pPr>
      <w:r>
        <w:rPr>
          <w:rFonts w:ascii="Arial;sans-serif" w:hAnsi="Arial;sans-serif"/>
          <w:b w:val="false"/>
          <w:color w:val="000000"/>
          <w:sz w:val="24"/>
        </w:rPr>
        <w:t>(c)    </w:t>
      </w:r>
      <w:r>
        <w:rPr>
          <w:rFonts w:ascii="Arial;sans-serif" w:hAnsi="Arial;sans-serif"/>
          <w:b w:val="false"/>
          <w:color w:val="000000"/>
          <w:sz w:val="24"/>
          <w:u w:val="single"/>
        </w:rPr>
        <w:t>Other Compliance Provisions</w:t>
      </w:r>
      <w:r>
        <w:rPr>
          <w:rFonts w:ascii="Arial;sans-serif" w:hAnsi="Arial;sans-serif"/>
          <w:b w:val="false"/>
          <w:color w:val="000000"/>
          <w:sz w:val="24"/>
        </w:rPr>
        <w:t>. The following provisions apply to Restricted Stock Units (including, if so specified, non-409A RSUs):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Arial;sans-serif" w:hAnsi="Arial;sans-serif"/>
          <w:b w:val="false"/>
          <w:color w:val="000000"/>
          <w:sz w:val="24"/>
        </w:rPr>
      </w:pPr>
      <w:r>
        <w:rPr>
          <w:rFonts w:ascii="Arial;sans-serif" w:hAnsi="Arial;sans-serif"/>
          <w:b w:val="false"/>
          <w:color w:val="000000"/>
          <w:sz w:val="24"/>
        </w:rPr>
        <w:t>(i)    The settlement of 409A RSUs may not be accelerated by the Company except to the extent permitted under Code Section 409A.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Arial;sans-serif" w:hAnsi="Arial;sans-serif"/>
          <w:b w:val="false"/>
          <w:color w:val="000000"/>
          <w:sz w:val="24"/>
        </w:rPr>
      </w:pPr>
      <w:r>
        <w:rPr>
          <w:rFonts w:ascii="Arial;sans-serif" w:hAnsi="Arial;sans-serif"/>
          <w:b w:val="false"/>
          <w:color w:val="000000"/>
          <w:sz w:val="24"/>
        </w:rPr>
        <w:t>(ii)    Any restriction imposed on 409A RSUs hereunder or under the terms of other documents solely to ensure compliance with Code Section 409A shall not be applied to a Restricted Stock Unit that is not a “deferral of compensation” under Code Section 409A.</w:t>
      </w:r>
    </w:p>
    <w:p>
      <w:pPr>
        <w:pStyle w:val="TextBody"/>
        <w:bidi w:val="0"/>
        <w:spacing w:before="0" w:after="0"/>
        <w:jc w:val="both"/>
        <w:rPr/>
      </w:pPr>
      <w:r>
        <w:rPr/>
      </w:r>
    </w:p>
    <w:p>
      <w:pPr>
        <w:pStyle w:val="TextBody"/>
        <w:bidi w:val="0"/>
        <w:spacing w:lineRule="auto" w:line="240" w:before="0" w:after="0"/>
        <w:ind w:left="0" w:right="0" w:firstLine="360"/>
        <w:jc w:val="both"/>
        <w:rPr>
          <w:rFonts w:ascii="Arial;sans-serif" w:hAnsi="Arial;sans-serif"/>
          <w:b w:val="false"/>
          <w:color w:val="000000"/>
          <w:sz w:val="24"/>
        </w:rPr>
      </w:pPr>
      <w:r>
        <w:rPr>
          <w:rFonts w:ascii="Arial;sans-serif" w:hAnsi="Arial;sans-serif"/>
          <w:b w:val="false"/>
          <w:color w:val="000000"/>
          <w:sz w:val="24"/>
        </w:rPr>
        <w:t>(iii)    If any mandatory term required for 409A RSUs or non- 409A RSUs to avoid tax penalties under Code Section 409A is not otherwise explicitly provided under this document or other applicable documents, such term is hereby incorporated by reference and fully applicable as though set forth at length herein.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Arial;sans-serif" w:hAnsi="Arial;sans-serif"/>
          <w:b w:val="false"/>
          <w:color w:val="000000"/>
          <w:sz w:val="24"/>
        </w:rPr>
      </w:pPr>
      <w:r>
        <w:rPr>
          <w:rFonts w:ascii="Arial;sans-serif" w:hAnsi="Arial;sans-serif"/>
          <w:b w:val="false"/>
          <w:color w:val="000000"/>
          <w:sz w:val="24"/>
        </w:rPr>
        <w:t>(iv)    Each vesting tranche of Restricted Stock Units set forth in the Notice shall be deemed a separate payment for purposes of Code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1" w:after="283"/>
        <w:jc w:val="right"/>
        <w:rPr/>
      </w:pPr>
      <w:r>
        <w:rPr/>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Notice of Grant of Restricted Stock Units and Award Agreement</w:t>
      </w:r>
    </w:p>
    <w:p>
      <w:pPr>
        <w:pStyle w:val="TextBody"/>
        <w:bidi w:val="0"/>
        <w:spacing w:before="7" w:after="283"/>
        <w:jc w:val="left"/>
        <w:rPr/>
      </w:pPr>
      <w:r>
        <w:rPr/>
      </w:r>
    </w:p>
    <w:p>
      <w:pPr>
        <w:pStyle w:val="TextBody"/>
        <w:bidi w:val="0"/>
        <w:spacing w:before="0" w:after="0"/>
        <w:jc w:val="left"/>
        <w:rPr/>
      </w:pPr>
      <w:r>
        <w:rPr/>
      </w:r>
    </w:p>
    <w:tbl>
      <w:tblPr>
        <w:tblW w:w="2940" w:type="dxa"/>
        <w:jc w:val="left"/>
        <w:tblInd w:w="0" w:type="dxa"/>
        <w:tblLayout w:type="fixed"/>
        <w:tblCellMar>
          <w:top w:w="28" w:type="dxa"/>
          <w:left w:w="28" w:type="dxa"/>
          <w:bottom w:w="28" w:type="dxa"/>
          <w:right w:w="28" w:type="dxa"/>
        </w:tblCellMar>
      </w:tblPr>
      <w:tblGrid>
        <w:gridCol w:w="941"/>
        <w:gridCol w:w="826"/>
        <w:gridCol w:w="1173"/>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Expand Energy Corporation</w:t>
              <w:br/>
              <w:t>6100 North Western Avenue</w:t>
              <w:br/>
              <w:t>Oklahoma City, OK 73118</w:t>
              <w:br/>
              <w:t>ID: 73-1395733</w:t>
            </w:r>
          </w:p>
        </w:tc>
      </w:tr>
    </w:tbl>
    <w:p>
      <w:pPr>
        <w:pStyle w:val="TextBody"/>
        <w:bidi w:val="0"/>
        <w:spacing w:before="0" w:after="0"/>
        <w:jc w:val="left"/>
        <w:rPr/>
      </w:pPr>
      <w:r>
        <w:rPr/>
      </w:r>
    </w:p>
    <w:p>
      <w:pPr>
        <w:pStyle w:val="TextBody"/>
        <w:bidi w:val="0"/>
        <w:spacing w:before="0" w:after="0"/>
        <w:jc w:val="left"/>
        <w:rPr/>
      </w:pPr>
      <w:r>
        <w:rPr/>
      </w:r>
    </w:p>
    <w:tbl>
      <w:tblPr>
        <w:tblW w:w="6746" w:type="dxa"/>
        <w:jc w:val="left"/>
        <w:tblInd w:w="0" w:type="dxa"/>
        <w:tblLayout w:type="fixed"/>
        <w:tblCellMar>
          <w:top w:w="28" w:type="dxa"/>
          <w:left w:w="28" w:type="dxa"/>
          <w:bottom w:w="28" w:type="dxa"/>
          <w:right w:w="28" w:type="dxa"/>
        </w:tblCellMar>
      </w:tblPr>
      <w:tblGrid>
        <w:gridCol w:w="288"/>
        <w:gridCol w:w="252"/>
        <w:gridCol w:w="255"/>
        <w:gridCol w:w="755"/>
        <w:gridCol w:w="755"/>
        <w:gridCol w:w="755"/>
        <w:gridCol w:w="109"/>
        <w:gridCol w:w="109"/>
        <w:gridCol w:w="109"/>
        <w:gridCol w:w="589"/>
        <w:gridCol w:w="589"/>
        <w:gridCol w:w="591"/>
        <w:gridCol w:w="466"/>
        <w:gridCol w:w="466"/>
        <w:gridCol w:w="658"/>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Name:</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Award Number:</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____________</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Plan:</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2021 LTIP</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ID:</w:t>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Effective [__________] (the “Effective Date”), you have been granted an award of _________ Restricted Stock Units. These Restricted Stock Units will vest on the date(s) shown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Award will vest in increments on the vesting date(s) shown.</w:t>
      </w:r>
    </w:p>
    <w:p>
      <w:pPr>
        <w:pStyle w:val="TextBody"/>
        <w:bidi w:val="0"/>
        <w:spacing w:before="0" w:after="0"/>
        <w:jc w:val="left"/>
        <w:rPr/>
      </w:pPr>
      <w:r>
        <w:rPr/>
      </w:r>
    </w:p>
    <w:tbl>
      <w:tblPr>
        <w:tblW w:w="3734" w:type="dxa"/>
        <w:jc w:val="left"/>
        <w:tblInd w:w="0" w:type="dxa"/>
        <w:tblLayout w:type="fixed"/>
        <w:tblCellMar>
          <w:top w:w="28" w:type="dxa"/>
          <w:left w:w="28" w:type="dxa"/>
          <w:bottom w:w="28" w:type="dxa"/>
          <w:right w:w="28" w:type="dxa"/>
        </w:tblCellMar>
      </w:tblPr>
      <w:tblGrid>
        <w:gridCol w:w="842"/>
        <w:gridCol w:w="739"/>
        <w:gridCol w:w="743"/>
        <w:gridCol w:w="412"/>
        <w:gridCol w:w="412"/>
        <w:gridCol w:w="586"/>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Restricted Stock Units</w:t>
            </w:r>
          </w:p>
        </w:tc>
        <w:tc>
          <w:tcPr>
            <w:tcW w:w="14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Vesting Date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3" w:after="1"/>
              <w:jc w:val="center"/>
              <w:rPr>
                <w:rFonts w:ascii="Arial;sans-serif" w:hAnsi="Arial;sans-serif"/>
                <w:b w:val="false"/>
                <w:color w:val="000000"/>
                <w:sz w:val="22"/>
              </w:rPr>
            </w:pPr>
            <w:r>
              <w:rPr>
                <w:rFonts w:ascii="Arial;sans-serif" w:hAnsi="Arial;sans-serif"/>
                <w:b w:val="false"/>
                <w:color w:val="000000"/>
                <w:sz w:val="22"/>
              </w:rPr>
              <w:t>_______________</w:t>
            </w:r>
          </w:p>
        </w:tc>
        <w:tc>
          <w:tcPr>
            <w:tcW w:w="1410" w:type="dxa"/>
            <w:gridSpan w:val="3"/>
            <w:tcBorders/>
            <w:tcMar>
              <w:top w:w="0" w:type="dxa"/>
              <w:left w:w="0" w:type="dxa"/>
              <w:bottom w:w="0" w:type="dxa"/>
              <w:right w:w="0" w:type="dxa"/>
            </w:tcMar>
            <w:vAlign w:val="center"/>
          </w:tcPr>
          <w:p>
            <w:pPr>
              <w:pStyle w:val="TableContents"/>
              <w:bidi w:val="0"/>
              <w:spacing w:lineRule="auto" w:line="256" w:before="26" w:after="283"/>
              <w:jc w:val="center"/>
              <w:rPr>
                <w:rFonts w:ascii="Arial;sans-serif" w:hAnsi="Arial;sans-serif"/>
                <w:b w:val="false"/>
                <w:color w:val="000000"/>
                <w:sz w:val="22"/>
              </w:rPr>
            </w:pPr>
            <w:r>
              <w:rPr>
                <w:rFonts w:ascii="Arial;sans-serif" w:hAnsi="Arial;sans-serif"/>
                <w:b w:val="false"/>
                <w:color w:val="000000"/>
                <w:sz w:val="22"/>
              </w:rPr>
              <w:t>[_________]</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3" w:after="1"/>
              <w:jc w:val="center"/>
              <w:rPr>
                <w:rFonts w:ascii="Arial;sans-serif" w:hAnsi="Arial;sans-serif"/>
                <w:b w:val="false"/>
                <w:color w:val="000000"/>
                <w:sz w:val="22"/>
              </w:rPr>
            </w:pPr>
            <w:r>
              <w:rPr>
                <w:rFonts w:ascii="Arial;sans-serif" w:hAnsi="Arial;sans-serif"/>
                <w:b w:val="false"/>
                <w:color w:val="000000"/>
                <w:sz w:val="22"/>
              </w:rPr>
              <w:t>_______________</w:t>
            </w:r>
          </w:p>
        </w:tc>
        <w:tc>
          <w:tcPr>
            <w:tcW w:w="1410" w:type="dxa"/>
            <w:gridSpan w:val="3"/>
            <w:tcBorders/>
            <w:tcMar>
              <w:top w:w="0" w:type="dxa"/>
              <w:left w:w="0" w:type="dxa"/>
              <w:bottom w:w="0" w:type="dxa"/>
              <w:right w:w="0" w:type="dxa"/>
            </w:tcMar>
            <w:vAlign w:val="center"/>
          </w:tcPr>
          <w:p>
            <w:pPr>
              <w:pStyle w:val="TableContents"/>
              <w:bidi w:val="0"/>
              <w:spacing w:lineRule="auto" w:line="256" w:before="26" w:after="283"/>
              <w:jc w:val="center"/>
              <w:rPr>
                <w:rFonts w:ascii="Arial;sans-serif" w:hAnsi="Arial;sans-serif"/>
                <w:b w:val="false"/>
                <w:color w:val="000000"/>
                <w:sz w:val="22"/>
              </w:rPr>
            </w:pPr>
            <w:r>
              <w:rPr>
                <w:rFonts w:ascii="Arial;sans-serif" w:hAnsi="Arial;sans-serif"/>
                <w:b w:val="false"/>
                <w:color w:val="000000"/>
                <w:sz w:val="22"/>
              </w:rPr>
              <w:t>[_________]</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3" w:after="1"/>
              <w:jc w:val="center"/>
              <w:rPr>
                <w:rFonts w:ascii="Arial;sans-serif" w:hAnsi="Arial;sans-serif"/>
                <w:b w:val="false"/>
                <w:color w:val="000000"/>
                <w:sz w:val="22"/>
              </w:rPr>
            </w:pPr>
            <w:r>
              <w:rPr>
                <w:rFonts w:ascii="Arial;sans-serif" w:hAnsi="Arial;sans-serif"/>
                <w:b w:val="false"/>
                <w:color w:val="000000"/>
                <w:sz w:val="22"/>
              </w:rPr>
              <w:t>_______________</w:t>
            </w:r>
          </w:p>
        </w:tc>
        <w:tc>
          <w:tcPr>
            <w:tcW w:w="1410" w:type="dxa"/>
            <w:gridSpan w:val="3"/>
            <w:tcBorders/>
            <w:tcMar>
              <w:top w:w="0" w:type="dxa"/>
              <w:left w:w="0" w:type="dxa"/>
              <w:bottom w:w="0" w:type="dxa"/>
              <w:right w:w="0" w:type="dxa"/>
            </w:tcMar>
            <w:vAlign w:val="center"/>
          </w:tcPr>
          <w:p>
            <w:pPr>
              <w:pStyle w:val="TableContents"/>
              <w:bidi w:val="0"/>
              <w:spacing w:lineRule="auto" w:line="256" w:before="26" w:after="283"/>
              <w:jc w:val="center"/>
              <w:rPr>
                <w:rFonts w:ascii="Arial;sans-serif" w:hAnsi="Arial;sans-serif"/>
                <w:b w:val="false"/>
                <w:color w:val="000000"/>
                <w:sz w:val="22"/>
              </w:rPr>
            </w:pPr>
            <w:r>
              <w:rPr>
                <w:rFonts w:ascii="Arial;sans-serif" w:hAnsi="Arial;sans-serif"/>
                <w:b w:val="false"/>
                <w:color w:val="000000"/>
                <w:sz w:val="22"/>
              </w:rPr>
              <w:t>[_________]</w:t>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Acceptance</w:t>
      </w:r>
      <w:r>
        <w:rPr>
          <w:rFonts w:ascii="Arial;sans-serif" w:hAnsi="Arial;sans-serif"/>
          <w:b w:val="false"/>
          <w:color w:val="000000"/>
          <w:sz w:val="22"/>
        </w:rPr>
        <w:t>. You are required to accept the terms and conditions set forth in this Notice, the Agreement and the 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pStyle w:val="TextBody"/>
        <w:bidi w:val="0"/>
        <w:spacing w:before="0" w:after="0"/>
        <w:jc w:val="left"/>
        <w:rPr/>
      </w:pPr>
      <w:r>
        <w:rPr/>
      </w:r>
    </w:p>
    <w:tbl>
      <w:tblPr>
        <w:tblW w:w="8515" w:type="dxa"/>
        <w:jc w:val="left"/>
        <w:tblInd w:w="0" w:type="dxa"/>
        <w:tblLayout w:type="fixed"/>
        <w:tblCellMar>
          <w:top w:w="28" w:type="dxa"/>
          <w:left w:w="28" w:type="dxa"/>
          <w:bottom w:w="28" w:type="dxa"/>
          <w:right w:w="28" w:type="dxa"/>
        </w:tblCellMar>
      </w:tblPr>
      <w:tblGrid>
        <w:gridCol w:w="1653"/>
        <w:gridCol w:w="1453"/>
        <w:gridCol w:w="1453"/>
        <w:gridCol w:w="109"/>
        <w:gridCol w:w="109"/>
        <w:gridCol w:w="109"/>
        <w:gridCol w:w="1063"/>
        <w:gridCol w:w="1063"/>
        <w:gridCol w:w="1503"/>
      </w:tblGrid>
      <w:tr>
        <w:trPr/>
        <w:tc>
          <w:tcPr>
            <w:tcW w:w="16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_____________________________________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_____________________________</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Expand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_____________________________________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_____________________________</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Arial;sans-serif" w:hAnsi="Arial;sans-serif"/>
          <w:b/>
          <w:color w:val="000000"/>
          <w:sz w:val="24"/>
        </w:rPr>
      </w:pPr>
      <w:r>
        <w:rPr>
          <w:rFonts w:ascii="Arial;sans-serif" w:hAnsi="Arial;sans-serif"/>
          <w:b/>
          <w:color w:val="000000"/>
          <w:sz w:val="24"/>
        </w:rPr>
        <w:t>Exhibit 10.2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4"/>
        </w:rPr>
        <w:t xml:space="preserve">PERFORMANCE SHARE UNIT AWARD AGREEMENT FOR </w:t>
        <w:br/>
        <w:t>EXPAND ENERGY CORPORATION</w:t>
        <w:br/>
      </w:r>
      <w:r>
        <w:rPr>
          <w:rFonts w:ascii="Arial;sans-serif" w:hAnsi="Arial;sans-serif"/>
          <w:b/>
          <w:color w:val="000000"/>
          <w:sz w:val="24"/>
          <w:u w:val="single"/>
        </w:rPr>
        <w:t>LONG TERM INCENTIVE PLAN</w:t>
      </w:r>
    </w:p>
    <w:p>
      <w:pPr>
        <w:pStyle w:val="TextBody"/>
        <w:bidi w:val="0"/>
        <w:spacing w:lineRule="auto" w:line="288" w:before="0" w:after="480"/>
        <w:jc w:val="center"/>
        <w:rPr>
          <w:rFonts w:ascii="Arial;sans-serif" w:hAnsi="Arial;sans-serif"/>
          <w:b/>
          <w:color w:val="000000"/>
          <w:sz w:val="24"/>
          <w:u w:val="single"/>
        </w:rPr>
      </w:pPr>
      <w:r>
        <w:rPr>
          <w:rFonts w:ascii="Arial;sans-serif" w:hAnsi="Arial;sans-serif"/>
          <w:b/>
          <w:color w:val="000000"/>
          <w:sz w:val="24"/>
          <w:u w:val="single"/>
        </w:rPr>
        <w:t>(Absolute TSR)</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pStyle w:val="TextBody"/>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W I T N E S S E T H:</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WHEREAS, the Company has previously adopted the Expand Energy Corporation 2021 Long Term Incentive Plan effective as of February 9, 2021, as amended, restated or otherwise modified from time to time (the “Plan”); and</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WHEREAS, the Company has awarded the Participant Performance Share Units under the Plan (which are a subcategory of Performance Shares under the Plan), as set forth on the Notice, subject to the terms and conditions of this Agreement.</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NOW, THEREFORE, in consideration of the premises and the mutual promises and covenants herein contained, the Participant and the Company agree as follows:</w:t>
      </w:r>
    </w:p>
    <w:p>
      <w:pPr>
        <w:pStyle w:val="TextBody"/>
        <w:bidi w:val="0"/>
        <w:spacing w:lineRule="auto" w:line="288" w:before="0" w:after="240"/>
        <w:ind w:left="0" w:right="0" w:firstLine="1440"/>
        <w:jc w:val="both"/>
        <w:rPr/>
      </w:pPr>
      <w:r>
        <w:rPr>
          <w:rFonts w:ascii="Arial;sans-serif" w:hAnsi="Arial;sans-serif"/>
          <w:b w:val="false"/>
          <w:color w:val="000000"/>
          <w:sz w:val="24"/>
        </w:rPr>
        <w:t>1.    </w:t>
      </w:r>
      <w:r>
        <w:rPr>
          <w:rFonts w:ascii="Arial;sans-serif" w:hAnsi="Arial;sans-serif"/>
          <w:b w:val="false"/>
          <w:color w:val="000000"/>
          <w:sz w:val="24"/>
          <w:u w:val="single"/>
        </w:rPr>
        <w:t>The Plan</w:t>
      </w:r>
      <w:r>
        <w:rPr>
          <w:rFonts w:ascii="Arial;sans-serif" w:hAnsi="Arial;sans-serif"/>
          <w:b w:val="false"/>
          <w:color w:val="000000"/>
          <w:sz w:val="24"/>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pStyle w:val="TextBody"/>
        <w:bidi w:val="0"/>
        <w:spacing w:lineRule="auto" w:line="288" w:before="0" w:after="240"/>
        <w:ind w:left="0" w:right="0" w:firstLine="1440"/>
        <w:jc w:val="both"/>
        <w:rPr/>
      </w:pPr>
      <w:r>
        <w:rPr>
          <w:rFonts w:ascii="Arial;sans-serif" w:hAnsi="Arial;sans-serif"/>
          <w:b w:val="false"/>
          <w:color w:val="000000"/>
          <w:sz w:val="24"/>
        </w:rPr>
        <w:t>2.    </w:t>
      </w:r>
      <w:r>
        <w:rPr>
          <w:rFonts w:ascii="Arial;sans-serif" w:hAnsi="Arial;sans-serif"/>
          <w:b w:val="false"/>
          <w:color w:val="000000"/>
          <w:sz w:val="24"/>
          <w:u w:val="single"/>
        </w:rPr>
        <w:t>Grant of Award</w:t>
      </w:r>
      <w:r>
        <w:rPr>
          <w:rFonts w:ascii="Arial;sans-serif" w:hAnsi="Arial;sans-serif"/>
          <w:b w:val="false"/>
          <w:color w:val="000000"/>
          <w:sz w:val="24"/>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pStyle w:val="TextBody"/>
        <w:bidi w:val="0"/>
        <w:spacing w:before="0" w:after="20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Arial;sans-serif" w:hAnsi="Arial;sans-serif"/>
          <w:b w:val="false"/>
          <w:color w:val="000000"/>
          <w:sz w:val="24"/>
        </w:rPr>
        <w:t>3.    </w:t>
      </w:r>
      <w:r>
        <w:rPr>
          <w:rFonts w:ascii="Arial;sans-serif" w:hAnsi="Arial;sans-serif"/>
          <w:b w:val="false"/>
          <w:color w:val="000000"/>
          <w:sz w:val="24"/>
          <w:u w:val="single"/>
        </w:rPr>
        <w:t>Earning, Vesting and Forfeiture</w:t>
      </w:r>
      <w:r>
        <w:rPr>
          <w:rFonts w:ascii="Arial;sans-serif" w:hAnsi="Arial;sans-serif"/>
          <w:b w:val="false"/>
          <w:color w:val="000000"/>
          <w:sz w:val="24"/>
        </w:rPr>
        <w:t>.</w:t>
      </w:r>
    </w:p>
    <w:p>
      <w:pPr>
        <w:pStyle w:val="TextBody"/>
        <w:bidi w:val="0"/>
        <w:spacing w:lineRule="auto" w:line="288" w:before="0" w:after="240"/>
        <w:ind w:left="0" w:right="0" w:firstLine="2160"/>
        <w:jc w:val="both"/>
        <w:rPr/>
      </w:pPr>
      <w:r>
        <w:rPr>
          <w:rFonts w:ascii="Arial;sans-serif" w:hAnsi="Arial;sans-serif"/>
          <w:b w:val="false"/>
          <w:color w:val="000000"/>
          <w:sz w:val="24"/>
        </w:rPr>
        <w:t>(a)    </w:t>
      </w:r>
      <w:r>
        <w:rPr>
          <w:rFonts w:ascii="Arial;sans-serif" w:hAnsi="Arial;sans-serif"/>
          <w:b w:val="false"/>
          <w:color w:val="000000"/>
          <w:sz w:val="24"/>
          <w:u w:val="single"/>
        </w:rPr>
        <w:t>Earning and Vesting</w:t>
      </w:r>
      <w:r>
        <w:rPr>
          <w:rFonts w:ascii="Arial;sans-serif" w:hAnsi="Arial;sans-serif"/>
          <w:b w:val="false"/>
          <w:color w:val="000000"/>
          <w:sz w:val="24"/>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pStyle w:val="TextBody"/>
        <w:bidi w:val="0"/>
        <w:spacing w:lineRule="auto" w:line="288" w:before="0" w:after="240"/>
        <w:ind w:left="0" w:right="0" w:firstLine="2160"/>
        <w:jc w:val="both"/>
        <w:rPr/>
      </w:pPr>
      <w:r>
        <w:rPr>
          <w:rFonts w:ascii="Arial;sans-serif" w:hAnsi="Arial;sans-serif"/>
          <w:b w:val="false"/>
          <w:color w:val="000000"/>
          <w:sz w:val="24"/>
        </w:rPr>
        <w:t>(b)    </w:t>
      </w:r>
      <w:r>
        <w:rPr>
          <w:rFonts w:ascii="Arial;sans-serif" w:hAnsi="Arial;sans-serif"/>
          <w:b w:val="false"/>
          <w:color w:val="000000"/>
          <w:sz w:val="24"/>
          <w:u w:val="single"/>
        </w:rPr>
        <w:t>Forfeiture</w:t>
      </w:r>
      <w:r>
        <w:rPr>
          <w:rFonts w:ascii="Arial;sans-serif" w:hAnsi="Arial;sans-serif"/>
          <w:b w:val="false"/>
          <w:color w:val="000000"/>
          <w:sz w:val="24"/>
        </w:rPr>
        <w:t>. Except as otherwise provided in this Section 3, in the event the Participant ceases to be an Employee prior to the third anniversary of the Grant Date, then all of the Performance Share Units, regardless of whether they have become earned, and any Dividend Equivalents related thereto, shall be immediately forfeited without consideration.</w:t>
      </w:r>
    </w:p>
    <w:p>
      <w:pPr>
        <w:pStyle w:val="TextBody"/>
        <w:bidi w:val="0"/>
        <w:spacing w:lineRule="auto" w:line="288" w:before="0" w:after="240"/>
        <w:ind w:left="0" w:right="0" w:firstLine="2160"/>
        <w:jc w:val="both"/>
        <w:rPr/>
      </w:pPr>
      <w:r>
        <w:rPr>
          <w:rFonts w:ascii="Arial;sans-serif" w:hAnsi="Arial;sans-serif"/>
          <w:b w:val="false"/>
          <w:color w:val="000000"/>
          <w:sz w:val="24"/>
        </w:rPr>
        <w:t>(c)    </w:t>
      </w:r>
      <w:r>
        <w:rPr>
          <w:rFonts w:ascii="Arial;sans-serif" w:hAnsi="Arial;sans-serif"/>
          <w:b w:val="false"/>
          <w:color w:val="000000"/>
          <w:sz w:val="24"/>
          <w:u w:val="single"/>
        </w:rPr>
        <w:t>Acceleration on Death, Disability, Retirement or Involuntary Termination</w:t>
      </w:r>
      <w:r>
        <w:rPr>
          <w:rFonts w:ascii="Arial;sans-serif" w:hAnsi="Arial;sans-serif"/>
          <w:b w:val="false"/>
          <w:color w:val="000000"/>
          <w:sz w:val="24"/>
        </w:rPr>
        <w:t>. This Award shall become vested upon the termination of the Participant’s employment due to the Participant’s death as follows: (i) if such death occurs prior to the end of the Performance Period, then the target number of Performance Share Units shall vest or (ii) if such death occurs after the end of the Performance Period, then the number of Performance Share Units earned based on actual performance shall vest. The Committee may also, in its discretion, waive the service-based vesting requirements or permit continued vesting of the Performance Share Units in the event of the Participant’s Disability or termination of service due to retirement or involuntary termination (as determined by the Committee in its sole discretion).</w:t>
      </w:r>
    </w:p>
    <w:p>
      <w:pPr>
        <w:pStyle w:val="TextBody"/>
        <w:bidi w:val="0"/>
        <w:spacing w:before="0" w:after="20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88" w:before="0" w:after="240"/>
        <w:ind w:left="0" w:right="0" w:firstLine="2160"/>
        <w:jc w:val="both"/>
        <w:rPr/>
      </w:pPr>
      <w:r>
        <w:rPr>
          <w:rFonts w:ascii="Arial;sans-serif" w:hAnsi="Arial;sans-serif"/>
          <w:b w:val="false"/>
          <w:color w:val="000000"/>
          <w:sz w:val="24"/>
        </w:rPr>
        <w:t>(d)    </w:t>
      </w:r>
      <w:r>
        <w:rPr>
          <w:rFonts w:ascii="Arial;sans-serif" w:hAnsi="Arial;sans-serif"/>
          <w:b w:val="false"/>
          <w:color w:val="000000"/>
          <w:sz w:val="24"/>
          <w:u w:val="single"/>
        </w:rPr>
        <w:t>Acceleration on Termination Without Cause or for Good Reason Following a Change of Control</w:t>
      </w:r>
      <w:r>
        <w:rPr>
          <w:rFonts w:ascii="Arial;sans-serif" w:hAnsi="Arial;sans-serif"/>
          <w:b w:val="false"/>
          <w:color w:val="000000"/>
          <w:sz w:val="24"/>
        </w:rPr>
        <w:t>. This Award shall become fully vested based on actual performance measured as provided in the Notice if the Participant’s service is terminated by the Company without Cause or by the Participant for Good Reason, in each case, within the 12-month period following the effective date of a Change of Control (the "Protection Period").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 Participant provides a 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pStyle w:val="TextBody"/>
        <w:bidi w:val="0"/>
        <w:spacing w:lineRule="auto" w:line="288" w:before="0" w:after="2"/>
        <w:ind w:left="0" w:right="0" w:firstLine="2160"/>
        <w:jc w:val="both"/>
        <w:rPr/>
      </w:pPr>
      <w:r>
        <w:rPr>
          <w:rFonts w:ascii="Arial;sans-serif" w:hAnsi="Arial;sans-serif"/>
          <w:b w:val="false"/>
          <w:color w:val="000000"/>
          <w:sz w:val="24"/>
        </w:rPr>
        <w:t>(e)    </w:t>
      </w:r>
      <w:r>
        <w:rPr>
          <w:rFonts w:ascii="Arial;sans-serif" w:hAnsi="Arial;sans-serif"/>
          <w:b w:val="false"/>
          <w:color w:val="000000"/>
          <w:sz w:val="24"/>
          <w:u w:val="single"/>
        </w:rPr>
        <w:t>Acceleration on Termination Without Cause Outside of the Protection Period.</w:t>
      </w:r>
      <w:r>
        <w:rPr>
          <w:color w:val="000000"/>
        </w:rPr>
        <w:t xml:space="preserve"> </w:t>
      </w:r>
      <w:r>
        <w:rPr>
          <w:rFonts w:ascii="Arial;sans-serif" w:hAnsi="Arial;sans-serif"/>
          <w:b w:val="false"/>
          <w:color w:val="000000"/>
          <w:sz w:val="24"/>
        </w:rPr>
        <w:t>If the Participant’s service is terminated by the Company without Cause other than during the Protection Period, a pro rata portion of this Award shall vest as follows: the number of Performance Share Units that vest shall be equal to (1) the number of Performance Share Units earned based on the actual performance measured as provided in the Notice multiplied by (2) a fraction (a) the numerator of which equals the number of days that the Participant has provided continuous service with the Company, a Subsidiary or an Affiliated Entity from the first day of the Performance Period through the date of the Participant’s termination of employment and (b) the denominator of which equals the number of days during the Performance Period. Notwithstanding the foregoing, this Section 3(e) shall not apply if the Participant has not been employed by the Company, a Subsidiary or an Affiliated Entity for at least one (1) calendar year as of the date the Participant’s service is terminated by the Company without Cause. For the avoidance of doubt, the Performance Share Units that vest pursuant to this Section 3(e) shall be settled within sixty (60) days following the date the Company determines the achievement of the performance metrics.</w:t>
      </w:r>
    </w:p>
    <w:p>
      <w:pPr>
        <w:pStyle w:val="TextBody"/>
        <w:bidi w:val="0"/>
        <w:spacing w:before="0" w:after="2"/>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4.    </w:t>
      </w:r>
      <w:r>
        <w:rPr>
          <w:rFonts w:ascii="Arial;sans-serif" w:hAnsi="Arial;sans-serif"/>
          <w:b w:val="false"/>
          <w:color w:val="000000"/>
          <w:sz w:val="24"/>
          <w:u w:val="single"/>
        </w:rPr>
        <w:t>Nontransferability of Award</w:t>
      </w:r>
      <w:r>
        <w:rPr>
          <w:rFonts w:ascii="Arial;sans-serif" w:hAnsi="Arial;sans-serif"/>
          <w:b w:val="false"/>
          <w:color w:val="000000"/>
          <w:sz w:val="24"/>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pStyle w:val="TextBody"/>
        <w:bidi w:val="0"/>
        <w:spacing w:lineRule="auto" w:line="288" w:before="0" w:after="240"/>
        <w:ind w:left="0" w:right="0" w:firstLine="1440"/>
        <w:jc w:val="both"/>
        <w:rPr/>
      </w:pPr>
      <w:r>
        <w:rPr>
          <w:rFonts w:ascii="Arial;sans-serif" w:hAnsi="Arial;sans-serif"/>
          <w:b w:val="false"/>
          <w:color w:val="000000"/>
          <w:sz w:val="24"/>
        </w:rPr>
        <w:t>5.    </w:t>
      </w:r>
      <w:r>
        <w:rPr>
          <w:rFonts w:ascii="Arial;sans-serif" w:hAnsi="Arial;sans-serif"/>
          <w:b w:val="false"/>
          <w:color w:val="000000"/>
          <w:sz w:val="24"/>
          <w:u w:val="single"/>
        </w:rPr>
        <w:t>Payment</w:t>
      </w:r>
      <w:r>
        <w:rPr>
          <w:rFonts w:ascii="Arial;sans-serif" w:hAnsi="Arial;sans-serif"/>
          <w:b w:val="false"/>
          <w:color w:val="000000"/>
          <w:sz w:val="24"/>
        </w:rPr>
        <w:t>. Payment shall be made in the form of an issuance to the Participant of shares of Common Stock equal to the number of vested Performance Share Units within sixty (60) days following the vesting date of such Performance Share Unit.</w:t>
      </w:r>
    </w:p>
    <w:p>
      <w:pPr>
        <w:pStyle w:val="TextBody"/>
        <w:bidi w:val="0"/>
        <w:spacing w:lineRule="auto" w:line="288" w:before="0" w:after="240"/>
        <w:ind w:left="0" w:right="0" w:firstLine="1440"/>
        <w:jc w:val="both"/>
        <w:rPr/>
      </w:pPr>
      <w:r>
        <w:rPr>
          <w:rFonts w:ascii="Arial;sans-serif" w:hAnsi="Arial;sans-serif"/>
          <w:b w:val="false"/>
          <w:color w:val="000000"/>
          <w:sz w:val="24"/>
        </w:rPr>
        <w:t>6.    </w:t>
      </w:r>
      <w:r>
        <w:rPr>
          <w:rFonts w:ascii="Arial;sans-serif" w:hAnsi="Arial;sans-serif"/>
          <w:b w:val="false"/>
          <w:color w:val="000000"/>
          <w:sz w:val="24"/>
          <w:u w:val="single"/>
        </w:rPr>
        <w:t>Dividends</w:t>
      </w:r>
      <w:r>
        <w:rPr>
          <w:color w:val="000000"/>
          <w:u w:val="single"/>
        </w:rPr>
        <w:t xml:space="preserve"> </w:t>
      </w:r>
      <w:r>
        <w:rPr>
          <w:rFonts w:ascii="Arial;sans-serif" w:hAnsi="Arial;sans-serif"/>
          <w:b w:val="false"/>
          <w:color w:val="000000"/>
          <w:sz w:val="24"/>
          <w:u w:val="single"/>
        </w:rPr>
        <w:t>Equivalents</w:t>
      </w:r>
      <w:r>
        <w:rPr>
          <w:rFonts w:ascii="Arial;sans-serif" w:hAnsi="Arial;sans-serif"/>
          <w:b w:val="false"/>
          <w:color w:val="000000"/>
          <w:sz w:val="24"/>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 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pStyle w:val="TextBody"/>
        <w:bidi w:val="0"/>
        <w:spacing w:lineRule="auto" w:line="288" w:before="0" w:after="240"/>
        <w:ind w:left="0" w:right="0" w:firstLine="1440"/>
        <w:jc w:val="both"/>
        <w:rPr/>
      </w:pPr>
      <w:r>
        <w:rPr>
          <w:rFonts w:ascii="Arial;sans-serif" w:hAnsi="Arial;sans-serif"/>
          <w:b w:val="false"/>
          <w:color w:val="000000"/>
          <w:sz w:val="24"/>
        </w:rPr>
        <w:t>7.    </w:t>
      </w:r>
      <w:r>
        <w:rPr>
          <w:rFonts w:ascii="Arial;sans-serif" w:hAnsi="Arial;sans-serif"/>
          <w:b w:val="false"/>
          <w:color w:val="000000"/>
          <w:sz w:val="24"/>
          <w:u w:val="single"/>
        </w:rPr>
        <w:t>Withholding</w:t>
      </w:r>
      <w:r>
        <w:rPr>
          <w:rFonts w:ascii="Arial;sans-serif" w:hAnsi="Arial;sans-serif"/>
          <w:b w:val="false"/>
          <w:color w:val="000000"/>
          <w:sz w:val="24"/>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Performance Share Units.</w:t>
      </w:r>
    </w:p>
    <w:p>
      <w:pPr>
        <w:pStyle w:val="TextBody"/>
        <w:bidi w:val="0"/>
        <w:spacing w:before="0" w:after="20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8.    </w:t>
      </w:r>
      <w:r>
        <w:rPr>
          <w:rFonts w:ascii="Arial;sans-serif" w:hAnsi="Arial;sans-serif"/>
          <w:b w:val="false"/>
          <w:color w:val="000000"/>
          <w:sz w:val="24"/>
          <w:u w:val="single"/>
        </w:rPr>
        <w:t>Amendments</w:t>
      </w:r>
      <w:r>
        <w:rPr>
          <w:rFonts w:ascii="Arial;sans-serif" w:hAnsi="Arial;sans-serif"/>
          <w:b w:val="false"/>
          <w:color w:val="000000"/>
          <w:sz w:val="24"/>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pStyle w:val="TextBody"/>
        <w:bidi w:val="0"/>
        <w:spacing w:lineRule="auto" w:line="288" w:before="0" w:after="240"/>
        <w:ind w:left="0" w:right="0" w:firstLine="1440"/>
        <w:jc w:val="both"/>
        <w:rPr/>
      </w:pPr>
      <w:r>
        <w:rPr>
          <w:rFonts w:ascii="Arial;sans-serif" w:hAnsi="Arial;sans-serif"/>
          <w:b w:val="false"/>
          <w:color w:val="000000"/>
          <w:sz w:val="24"/>
        </w:rPr>
        <w:t>9.    </w:t>
      </w:r>
      <w:r>
        <w:rPr>
          <w:rFonts w:ascii="Arial;sans-serif" w:hAnsi="Arial;sans-serif"/>
          <w:b w:val="false"/>
          <w:color w:val="000000"/>
          <w:sz w:val="24"/>
          <w:u w:val="single"/>
        </w:rPr>
        <w:t>Securities Law Restrictions</w:t>
      </w:r>
      <w:r>
        <w:rPr>
          <w:rFonts w:ascii="Arial;sans-serif" w:hAnsi="Arial;sans-serif"/>
          <w:b w:val="false"/>
          <w:color w:val="000000"/>
          <w:sz w:val="24"/>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pStyle w:val="TextBody"/>
        <w:bidi w:val="0"/>
        <w:spacing w:lineRule="auto" w:line="288" w:before="0" w:after="240"/>
        <w:ind w:left="0" w:right="0" w:firstLine="1440"/>
        <w:jc w:val="both"/>
        <w:rPr/>
      </w:pPr>
      <w:r>
        <w:rPr>
          <w:rFonts w:ascii="Arial;sans-serif" w:hAnsi="Arial;sans-serif"/>
          <w:b w:val="false"/>
          <w:color w:val="000000"/>
          <w:sz w:val="24"/>
        </w:rPr>
        <w:t>10.    </w:t>
      </w:r>
      <w:r>
        <w:rPr>
          <w:rFonts w:ascii="Arial;sans-serif" w:hAnsi="Arial;sans-serif"/>
          <w:b w:val="false"/>
          <w:color w:val="000000"/>
          <w:sz w:val="24"/>
          <w:u w:val="single"/>
        </w:rPr>
        <w:t>Non-Disclosure of Confidential and Proprietary Information</w:t>
      </w:r>
      <w:r>
        <w:rPr>
          <w:rFonts w:ascii="Arial;sans-serif" w:hAnsi="Arial;sans-serif"/>
          <w:b w:val="false"/>
          <w:color w:val="000000"/>
          <w:sz w:val="24"/>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pStyle w:val="TextBody"/>
        <w:bidi w:val="0"/>
        <w:spacing w:before="0" w:after="20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Notwithstanding the foregoing, nothing in this Agreement shall prohibit or restrict the Participant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pStyle w:val="TextBody"/>
        <w:bidi w:val="0"/>
        <w:spacing w:before="0" w:after="0"/>
        <w:jc w:val="both"/>
        <w:rPr/>
      </w:pPr>
      <w:r>
        <w:rPr/>
      </w:r>
    </w:p>
    <w:p>
      <w:pPr>
        <w:pStyle w:val="TextBody"/>
        <w:bidi w:val="0"/>
        <w:spacing w:lineRule="auto" w:line="288" w:before="0" w:after="240"/>
        <w:ind w:left="0" w:right="0" w:firstLine="1440"/>
        <w:jc w:val="left"/>
        <w:rPr/>
      </w:pPr>
      <w:r>
        <w:rPr>
          <w:rFonts w:ascii="Arial;sans-serif" w:hAnsi="Arial;sans-serif"/>
          <w:b w:val="false"/>
          <w:color w:val="000000"/>
          <w:sz w:val="24"/>
        </w:rPr>
        <w:t>11.    </w:t>
      </w:r>
      <w:r>
        <w:rPr>
          <w:rFonts w:ascii="Arial;sans-serif" w:hAnsi="Arial;sans-serif"/>
          <w:b w:val="false"/>
          <w:color w:val="000000"/>
          <w:sz w:val="24"/>
          <w:u w:val="single"/>
        </w:rPr>
        <w:t>Participant Misconduct; Compensation Recovery</w:t>
      </w:r>
      <w:r>
        <w:rPr>
          <w:rFonts w:ascii="Arial;sans-serif" w:hAnsi="Arial;sans-serif"/>
          <w:b w:val="false"/>
          <w:color w:val="000000"/>
          <w:sz w:val="24"/>
        </w:rPr>
        <w:t>.</w:t>
      </w:r>
    </w:p>
    <w:p>
      <w:pPr>
        <w:pStyle w:val="TextBody"/>
        <w:bidi w:val="0"/>
        <w:spacing w:lineRule="auto" w:line="288" w:before="0" w:after="240"/>
        <w:ind w:left="0" w:right="0" w:firstLine="2160"/>
        <w:jc w:val="both"/>
        <w:rPr>
          <w:rFonts w:ascii="Arial;sans-serif" w:hAnsi="Arial;sans-serif"/>
          <w:b w:val="false"/>
          <w:color w:val="000000"/>
          <w:sz w:val="24"/>
        </w:rPr>
      </w:pPr>
      <w:r>
        <w:rPr>
          <w:rFonts w:ascii="Arial;sans-serif" w:hAnsi="Arial;sans-serif"/>
          <w:b w:val="false"/>
          <w:color w:val="000000"/>
          <w:sz w:val="24"/>
        </w:rPr>
        <w:t>(a)    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pStyle w:val="TextBody"/>
        <w:bidi w:val="0"/>
        <w:spacing w:lineRule="auto" w:line="288" w:before="0" w:after="240"/>
        <w:ind w:left="0" w:right="0" w:firstLine="2160"/>
        <w:jc w:val="both"/>
        <w:rPr>
          <w:rFonts w:ascii="Arial;sans-serif" w:hAnsi="Arial;sans-serif"/>
          <w:b w:val="false"/>
          <w:color w:val="000000"/>
          <w:sz w:val="24"/>
        </w:rPr>
      </w:pPr>
      <w:r>
        <w:rPr>
          <w:rFonts w:ascii="Arial;sans-serif" w:hAnsi="Arial;sans-serif"/>
          <w:b w:val="false"/>
          <w:color w:val="000000"/>
          <w:sz w:val="24"/>
        </w:rPr>
        <w:t>(b)    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pStyle w:val="TextBody"/>
        <w:bidi w:val="0"/>
        <w:spacing w:before="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12.    </w:t>
      </w:r>
      <w:r>
        <w:rPr>
          <w:rFonts w:ascii="Arial;sans-serif" w:hAnsi="Arial;sans-serif"/>
          <w:b w:val="false"/>
          <w:color w:val="000000"/>
          <w:sz w:val="24"/>
          <w:u w:val="single"/>
        </w:rPr>
        <w:t>Notices</w:t>
      </w:r>
      <w:r>
        <w:rPr>
          <w:rFonts w:ascii="Arial;sans-serif" w:hAnsi="Arial;sans-serif"/>
          <w:b w:val="false"/>
          <w:color w:val="000000"/>
          <w:sz w:val="24"/>
        </w:rPr>
        <w:t>. All notices or other communications relating to the Plan and this Agreement as it relates to the Participant shall be in electronic or written form. If in writing, such notices shall be deemed to have been made (a) 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pStyle w:val="TextBody"/>
        <w:bidi w:val="0"/>
        <w:spacing w:lineRule="auto" w:line="288" w:before="0" w:after="240"/>
        <w:ind w:left="0" w:right="0" w:firstLine="1440"/>
        <w:jc w:val="both"/>
        <w:rPr/>
      </w:pPr>
      <w:r>
        <w:rPr>
          <w:rFonts w:ascii="Arial;sans-serif" w:hAnsi="Arial;sans-serif"/>
          <w:b w:val="false"/>
          <w:color w:val="000000"/>
          <w:sz w:val="24"/>
        </w:rPr>
        <w:t>13.    </w:t>
      </w:r>
      <w:r>
        <w:rPr>
          <w:rFonts w:ascii="Arial;sans-serif" w:hAnsi="Arial;sans-serif"/>
          <w:b w:val="false"/>
          <w:color w:val="000000"/>
          <w:sz w:val="24"/>
          <w:u w:val="single"/>
        </w:rPr>
        <w:t>Binding Effect and Governing Law</w:t>
      </w:r>
      <w:r>
        <w:rPr>
          <w:rFonts w:ascii="Arial;sans-serif" w:hAnsi="Arial;sans-serif"/>
          <w:b w:val="false"/>
          <w:color w:val="000000"/>
          <w:sz w:val="24"/>
        </w:rPr>
        <w:t>. This Agreement shall be (i) binding upon and inure to the benefit of the parties hereto and their respective heirs, successors and assigns except as may be limited by the Plan and (ii) governed and construed under the laws of the State of Oklahoma.</w:t>
      </w:r>
    </w:p>
    <w:p>
      <w:pPr>
        <w:pStyle w:val="TextBody"/>
        <w:bidi w:val="0"/>
        <w:spacing w:lineRule="auto" w:line="288" w:before="0" w:after="240"/>
        <w:ind w:left="0" w:right="0" w:firstLine="1440"/>
        <w:jc w:val="both"/>
        <w:rPr/>
      </w:pPr>
      <w:r>
        <w:rPr>
          <w:rFonts w:ascii="Arial;sans-serif" w:hAnsi="Arial;sans-serif"/>
          <w:b w:val="false"/>
          <w:color w:val="000000"/>
          <w:sz w:val="24"/>
        </w:rPr>
        <w:t>14.    </w:t>
      </w:r>
      <w:r>
        <w:rPr>
          <w:rFonts w:ascii="Arial;sans-serif" w:hAnsi="Arial;sans-serif"/>
          <w:b w:val="false"/>
          <w:color w:val="000000"/>
          <w:sz w:val="24"/>
          <w:u w:val="single"/>
        </w:rPr>
        <w:t>Captions</w:t>
      </w:r>
      <w:r>
        <w:rPr>
          <w:rFonts w:ascii="Arial;sans-serif" w:hAnsi="Arial;sans-serif"/>
          <w:b w:val="false"/>
          <w:color w:val="000000"/>
          <w:sz w:val="24"/>
        </w:rPr>
        <w:t>. The captions of specific provisions of this Agreement are for convenience and reference only, and in no way define, describe, extend or limit the scope of this Agreement or the intent of any provision hereof.</w:t>
      </w:r>
    </w:p>
    <w:p>
      <w:pPr>
        <w:pStyle w:val="TextBody"/>
        <w:bidi w:val="0"/>
        <w:spacing w:lineRule="auto" w:line="288" w:before="0" w:after="240"/>
        <w:ind w:left="0" w:right="0" w:firstLine="1440"/>
        <w:jc w:val="both"/>
        <w:rPr/>
      </w:pPr>
      <w:r>
        <w:rPr>
          <w:rFonts w:ascii="Arial;sans-serif" w:hAnsi="Arial;sans-serif"/>
          <w:b w:val="false"/>
          <w:color w:val="000000"/>
          <w:sz w:val="24"/>
        </w:rPr>
        <w:t>15.    </w:t>
      </w:r>
      <w:r>
        <w:rPr>
          <w:rFonts w:ascii="Arial;sans-serif" w:hAnsi="Arial;sans-serif"/>
          <w:b w:val="false"/>
          <w:color w:val="000000"/>
          <w:sz w:val="24"/>
          <w:u w:val="single"/>
        </w:rPr>
        <w:t>Counterparts</w:t>
      </w:r>
      <w:r>
        <w:rPr>
          <w:rFonts w:ascii="Arial;sans-serif" w:hAnsi="Arial;sans-serif"/>
          <w:b w:val="false"/>
          <w:color w:val="000000"/>
          <w:sz w:val="24"/>
        </w:rPr>
        <w:t>. This Agreement may be executed in any number of identical counterparts, each of which shall be deemed an original for all purposes, but all of which taken together shall form but one agreement.</w:t>
      </w:r>
    </w:p>
    <w:p>
      <w:pPr>
        <w:pStyle w:val="TextBody"/>
        <w:bidi w:val="0"/>
        <w:spacing w:lineRule="auto" w:line="276" w:before="0" w:after="0"/>
        <w:ind w:left="0" w:right="0" w:firstLine="1440"/>
        <w:jc w:val="both"/>
        <w:rPr/>
      </w:pPr>
      <w:r>
        <w:rPr>
          <w:rFonts w:ascii="Arial;sans-serif" w:hAnsi="Arial;sans-serif"/>
          <w:b w:val="false"/>
          <w:color w:val="000000"/>
          <w:sz w:val="24"/>
        </w:rPr>
        <w:t>16.    </w:t>
      </w:r>
      <w:r>
        <w:rPr>
          <w:rFonts w:ascii="Arial;sans-serif" w:hAnsi="Arial;sans-serif"/>
          <w:b w:val="false"/>
          <w:color w:val="000000"/>
          <w:sz w:val="24"/>
          <w:u w:val="single"/>
        </w:rPr>
        <w:t>Company Recoupment of Awards</w:t>
      </w:r>
      <w:r>
        <w:rPr>
          <w:rFonts w:ascii="Arial;sans-serif" w:hAnsi="Arial;sans-serif"/>
          <w:b w:val="false"/>
          <w:color w:val="000000"/>
          <w:sz w:val="24"/>
        </w:rPr>
        <w:t>. 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stock exchange on which the Common Stock may be listed.</w:t>
      </w:r>
    </w:p>
    <w:p>
      <w:pPr>
        <w:pStyle w:val="TextBody"/>
        <w:bidi w:val="0"/>
        <w:spacing w:before="0" w:after="2"/>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17.    </w:t>
      </w:r>
      <w:r>
        <w:rPr>
          <w:rFonts w:ascii="Arial;sans-serif" w:hAnsi="Arial;sans-serif"/>
          <w:b w:val="false"/>
          <w:color w:val="000000"/>
          <w:sz w:val="24"/>
          <w:u w:val="single"/>
        </w:rPr>
        <w:t>Code Section 409A</w:t>
      </w:r>
      <w:r>
        <w:rPr>
          <w:rFonts w:ascii="Arial;sans-serif" w:hAnsi="Arial;sans-serif"/>
          <w:b w:val="false"/>
          <w:color w:val="000000"/>
          <w:sz w:val="24"/>
        </w:rPr>
        <w:t>.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 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Notice of Grant of Performance Share Units and Award Agreement</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Expand Energy Corporation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6100 North Western Avenue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Oklahoma City, OK 73118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ID: 73-1395733</w:t>
      </w:r>
    </w:p>
    <w:p>
      <w:pPr>
        <w:pStyle w:val="TextBody"/>
        <w:bidi w:val="0"/>
        <w:spacing w:before="0" w:after="2"/>
        <w:jc w:val="left"/>
        <w:rPr/>
      </w:pPr>
      <w:r>
        <w:rPr/>
      </w:r>
    </w:p>
    <w:tbl>
      <w:tblPr>
        <w:tblW w:w="4625" w:type="dxa"/>
        <w:jc w:val="left"/>
        <w:tblInd w:w="0" w:type="dxa"/>
        <w:tblLayout w:type="fixed"/>
        <w:tblCellMar>
          <w:top w:w="28" w:type="dxa"/>
          <w:left w:w="28" w:type="dxa"/>
          <w:bottom w:w="28" w:type="dxa"/>
          <w:right w:w="28" w:type="dxa"/>
        </w:tblCellMar>
      </w:tblPr>
      <w:tblGrid>
        <w:gridCol w:w="298"/>
        <w:gridCol w:w="263"/>
        <w:gridCol w:w="264"/>
        <w:gridCol w:w="109"/>
        <w:gridCol w:w="109"/>
        <w:gridCol w:w="109"/>
        <w:gridCol w:w="109"/>
        <w:gridCol w:w="109"/>
        <w:gridCol w:w="109"/>
        <w:gridCol w:w="629"/>
        <w:gridCol w:w="629"/>
        <w:gridCol w:w="631"/>
        <w:gridCol w:w="196"/>
        <w:gridCol w:w="196"/>
        <w:gridCol w:w="196"/>
        <w:gridCol w:w="196"/>
        <w:gridCol w:w="196"/>
        <w:gridCol w:w="277"/>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Award Number:</w:t>
            </w:r>
          </w:p>
        </w:tc>
        <w:tc>
          <w:tcPr>
            <w:tcW w:w="125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Plan:</w:t>
            </w:r>
          </w:p>
        </w:tc>
        <w:tc>
          <w:tcPr>
            <w:tcW w:w="12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2021 LTIP</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ID:</w:t>
            </w:r>
          </w:p>
        </w:tc>
        <w:tc>
          <w:tcPr>
            <w:tcW w:w="12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Effective [_______] (the “Grant Date”), you have been granted a target number of _____________ Performance Share Units. These Performance Share Units will become earned and vested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4"/>
          <w:u w:val="single"/>
        </w:rPr>
        <w:t>Determination of Earned Performance Share Units</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Subject to earlier forfeiture in Section 3(b) of the Award Agreement, the number of your Performance Share Units that become earned shall be determined based on the annualized absolute total stockholder return (“ATSR”) during the period beginning on December 31, 20__ and ending on December 31, 20__ (the “Performance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Company’s ATSR, as set forth below, shall determine the percentage of your target number of Performance Share Units that are earned. For ATSR performance between the values listed in the table below, the number of Performance Share Units that become earned shall be determined by straight-line interpolation. The Committee will review, analyze and certify the achievement of the Company’s performance under the ATSR goal for the Performance Period, and will determine whether the ATSR performance requirement for your Performance Share Units has been satisfied in accordance with the terms of this Agreement.</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Company ATSR Performance and Payout Schedule</w:t>
      </w:r>
    </w:p>
    <w:p>
      <w:pPr>
        <w:pStyle w:val="TextBody"/>
        <w:bidi w:val="0"/>
        <w:spacing w:before="0" w:after="0"/>
        <w:jc w:val="both"/>
        <w:rPr/>
      </w:pPr>
      <w:r>
        <w:rPr/>
      </w:r>
    </w:p>
    <w:tbl>
      <w:tblPr>
        <w:tblW w:w="8038" w:type="dxa"/>
        <w:jc w:val="left"/>
        <w:tblInd w:w="0" w:type="dxa"/>
        <w:tblLayout w:type="fixed"/>
        <w:tblCellMar>
          <w:top w:w="28" w:type="dxa"/>
          <w:left w:w="28" w:type="dxa"/>
          <w:bottom w:w="28" w:type="dxa"/>
          <w:right w:w="28" w:type="dxa"/>
        </w:tblCellMar>
      </w:tblPr>
      <w:tblGrid>
        <w:gridCol w:w="607"/>
        <w:gridCol w:w="534"/>
        <w:gridCol w:w="538"/>
        <w:gridCol w:w="1861"/>
        <w:gridCol w:w="1861"/>
        <w:gridCol w:w="2637"/>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color w:val="000000"/>
                <w:sz w:val="24"/>
              </w:rPr>
            </w:pPr>
            <w:r>
              <w:rPr>
                <w:rFonts w:ascii="Arial;sans-serif" w:hAnsi="Arial;sans-serif"/>
                <w:b/>
                <w:color w:val="000000"/>
                <w:sz w:val="24"/>
              </w:rPr>
              <w:t>ATSR</w:t>
            </w:r>
          </w:p>
        </w:tc>
        <w:tc>
          <w:tcPr>
            <w:tcW w:w="635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Percentage of Target Performance-Share Units Earned</w:t>
            </w:r>
          </w:p>
        </w:tc>
      </w:tr>
      <w:tr>
        <w:trPr/>
        <w:tc>
          <w:tcPr>
            <w:tcW w:w="1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Less than 0%</w:t>
            </w:r>
          </w:p>
        </w:tc>
        <w:tc>
          <w:tcPr>
            <w:tcW w:w="635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0%</w:t>
            </w:r>
          </w:p>
        </w:tc>
      </w:tr>
      <w:tr>
        <w:trPr/>
        <w:tc>
          <w:tcPr>
            <w:tcW w:w="1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0%</w:t>
            </w:r>
          </w:p>
        </w:tc>
        <w:tc>
          <w:tcPr>
            <w:tcW w:w="635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40%</w:t>
            </w:r>
          </w:p>
        </w:tc>
      </w:tr>
      <w:tr>
        <w:trPr/>
        <w:tc>
          <w:tcPr>
            <w:tcW w:w="1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5%</w:t>
            </w:r>
          </w:p>
        </w:tc>
        <w:tc>
          <w:tcPr>
            <w:tcW w:w="635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80%</w:t>
            </w:r>
          </w:p>
        </w:tc>
      </w:tr>
      <w:tr>
        <w:trPr/>
        <w:tc>
          <w:tcPr>
            <w:tcW w:w="1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10%</w:t>
            </w:r>
          </w:p>
        </w:tc>
        <w:tc>
          <w:tcPr>
            <w:tcW w:w="635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120%</w:t>
            </w:r>
          </w:p>
        </w:tc>
      </w:tr>
      <w:tr>
        <w:trPr/>
        <w:tc>
          <w:tcPr>
            <w:tcW w:w="1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15%</w:t>
            </w:r>
          </w:p>
        </w:tc>
        <w:tc>
          <w:tcPr>
            <w:tcW w:w="635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160%</w:t>
            </w:r>
          </w:p>
        </w:tc>
      </w:tr>
      <w:tr>
        <w:trPr/>
        <w:tc>
          <w:tcPr>
            <w:tcW w:w="167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20% or greater</w:t>
            </w:r>
          </w:p>
        </w:tc>
        <w:tc>
          <w:tcPr>
            <w:tcW w:w="635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200%</w:t>
            </w:r>
          </w:p>
        </w:tc>
      </w:tr>
    </w:tbl>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4"/>
        </w:rPr>
      </w:pPr>
      <w:r>
        <w:rPr>
          <w:rFonts w:ascii="Arial;sans-serif" w:hAnsi="Arial;sans-serif"/>
          <w:b w:val="false"/>
          <w:color w:val="000000"/>
          <w:sz w:val="24"/>
        </w:rPr>
        <w:t xml:space="preserve">All unearned Performance Share Units that are outstanding as of the date immediately following the last day of the Performance Period shall be forfeited and cancelled for no consideration if they do not become earned as set forth above. </w:t>
      </w:r>
    </w:p>
    <w:p>
      <w:pPr>
        <w:pStyle w:val="TextBody"/>
        <w:bidi w:val="0"/>
        <w:spacing w:lineRule="auto" w:line="288" w:before="0" w:after="0"/>
        <w:jc w:val="both"/>
        <w:rPr/>
      </w:pPr>
      <w:r>
        <w:rPr>
          <w:rFonts w:ascii="Arial;sans-serif" w:hAnsi="Arial;sans-serif"/>
          <w:b w:val="false"/>
          <w:color w:val="000000"/>
          <w:sz w:val="24"/>
          <w:u w:val="single"/>
        </w:rPr>
        <w:t>Vesting of Performance Share Units</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earned Performance Share Units will vest upon the third anniversary of the Grant Date provided that you remain an Employee through such date, except as otherwise provided in Section 3 of the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Determination of ATSR</w:t>
      </w:r>
    </w:p>
    <w:p>
      <w:pPr>
        <w:pStyle w:val="TextBody"/>
        <w:bidi w:val="0"/>
        <w:spacing w:before="0" w:after="2"/>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ATSR for the Performance Period is determined as follows:</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ATSR = [(EP + CD)/BP)^(1/3)] - 1, where</w:t>
      </w:r>
    </w:p>
    <w:p>
      <w:pPr>
        <w:pStyle w:val="TextBody"/>
        <w:bidi w:val="0"/>
        <w:spacing w:before="0" w:after="2"/>
        <w:jc w:val="left"/>
        <w:rPr/>
      </w:pPr>
      <w:r>
        <w:rPr/>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Ending Price (EP) – equals the Company’s Fourth Quarter VWAP for the period ending on December 31, 20__. In the event that a Change of Control occurs during the Performance Period, the Ending Price shall be determined by the Committee.</w:t>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Beginning Price (BP) – equals the Company’s Fourth Quarter VWAP for the period ending on December 31, 20__.</w:t>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Cash Dividends (CD) – equals the total of all cash dividends paid on a share of Common Stock during the Performance Period.</w:t>
      </w:r>
    </w:p>
    <w:p>
      <w:pPr>
        <w:pStyle w:val="TextBody"/>
        <w:bidi w:val="0"/>
        <w:spacing w:before="0" w:after="20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As used herein, “Fourth Quarter VWAP” means, as of any date of determination, the volume-weighted average price of a share of Common Stock as displayed under the heading “Bloomberg VWAP” on Bloomberg page “EXE&lt;equity&gt;VWAP” (or its equivalent successor if such page is not available) for the Trading Days occurring during the fourth quarter of the applicable calendar year (or if such volume-weighted average price is unavailable, the market value of a share of Common Stock during such period, determined using a volume-weighted average method by a nationally recognized independent investment banking firm retained for this purpose by the Company).</w:t>
      </w:r>
    </w:p>
    <w:p>
      <w:pPr>
        <w:pStyle w:val="TextBody"/>
        <w:bidi w:val="0"/>
        <w:spacing w:before="0" w:after="2"/>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As used herein, “Trading Day” means a day on which (a) trading in the Common Stock generally occurs on NASDAQ or, if the Common Stock is not then listed on NASDAQ, on the principal securities exchange on which the Common Stock is then listed or, if the Common Stock is not then listed on a securities exchange, on the principal other market on which the Common Stock is then traded; and (b) a Fourth Quarter VWAP for the Common Stock is available on such securities exchange or market, but if the Common Stock is not so listed or traded, “Trading Day” means mean any day except a Saturday, Sunday or other day on which commercial banks in Oklahoma City, Oklahoma are authorized or required by law to be closed.</w:t>
      </w:r>
    </w:p>
    <w:p>
      <w:pPr>
        <w:pStyle w:val="TextBody"/>
        <w:bidi w:val="0"/>
        <w:spacing w:before="0" w:after="0"/>
        <w:jc w:val="both"/>
        <w:rPr/>
      </w:pPr>
      <w:r>
        <w:rPr/>
      </w:r>
    </w:p>
    <w:p>
      <w:pPr>
        <w:pStyle w:val="TextBody"/>
        <w:bidi w:val="0"/>
        <w:spacing w:lineRule="auto" w:line="288" w:before="0" w:after="600"/>
        <w:jc w:val="both"/>
        <w:rPr/>
      </w:pPr>
      <w:r>
        <w:rPr>
          <w:rFonts w:ascii="Arial;sans-serif" w:hAnsi="Arial;sans-serif"/>
          <w:b/>
          <w:color w:val="000000"/>
          <w:sz w:val="24"/>
        </w:rPr>
        <w:t>Acceptance</w:t>
      </w:r>
      <w:r>
        <w:rPr>
          <w:rFonts w:ascii="Arial;sans-serif" w:hAnsi="Arial;sans-serif"/>
          <w:b w:val="false"/>
          <w:color w:val="000000"/>
          <w:sz w:val="24"/>
        </w:rPr>
        <w:t>. You are required to accept the terms and conditions set forth in this Notice, the Agreement and the 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tbl>
      <w:tblPr>
        <w:tblW w:w="4078" w:type="dxa"/>
        <w:jc w:val="left"/>
        <w:tblInd w:w="0" w:type="dxa"/>
        <w:tblLayout w:type="fixed"/>
        <w:tblCellMar>
          <w:top w:w="28" w:type="dxa"/>
          <w:left w:w="28" w:type="dxa"/>
          <w:bottom w:w="28" w:type="dxa"/>
          <w:right w:w="28" w:type="dxa"/>
        </w:tblCellMar>
      </w:tblPr>
      <w:tblGrid>
        <w:gridCol w:w="1119"/>
        <w:gridCol w:w="984"/>
        <w:gridCol w:w="987"/>
        <w:gridCol w:w="109"/>
        <w:gridCol w:w="109"/>
        <w:gridCol w:w="109"/>
        <w:gridCol w:w="193"/>
        <w:gridCol w:w="193"/>
        <w:gridCol w:w="275"/>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Expand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Date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Arial;sans-serif" w:hAnsi="Arial;sans-serif"/>
          <w:b/>
          <w:color w:val="000000"/>
          <w:sz w:val="24"/>
        </w:rPr>
      </w:pPr>
      <w:r>
        <w:rPr>
          <w:rFonts w:ascii="Arial;sans-serif" w:hAnsi="Arial;sans-serif"/>
          <w:b/>
          <w:color w:val="000000"/>
          <w:sz w:val="24"/>
        </w:rPr>
        <w:t>Exhibit 10.3</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4"/>
        </w:rPr>
        <w:t xml:space="preserve">PERFORMANCE SHARE UNIT AWARD AGREEMENT FOR </w:t>
        <w:br/>
        <w:t>EXPAND ENERGY CORPORATION</w:t>
        <w:br/>
      </w:r>
      <w:r>
        <w:rPr>
          <w:rFonts w:ascii="Arial;sans-serif" w:hAnsi="Arial;sans-serif"/>
          <w:b/>
          <w:color w:val="000000"/>
          <w:sz w:val="24"/>
          <w:u w:val="single"/>
        </w:rPr>
        <w:t>LONG TERM INCENTIVE PLAN</w:t>
      </w:r>
    </w:p>
    <w:p>
      <w:pPr>
        <w:pStyle w:val="TextBody"/>
        <w:bidi w:val="0"/>
        <w:spacing w:lineRule="auto" w:line="288" w:before="0" w:after="480"/>
        <w:jc w:val="center"/>
        <w:rPr>
          <w:rFonts w:ascii="Arial;sans-serif" w:hAnsi="Arial;sans-serif"/>
          <w:b/>
          <w:color w:val="000000"/>
          <w:sz w:val="24"/>
          <w:u w:val="single"/>
        </w:rPr>
      </w:pPr>
      <w:r>
        <w:rPr>
          <w:rFonts w:ascii="Arial;sans-serif" w:hAnsi="Arial;sans-serif"/>
          <w:b/>
          <w:color w:val="000000"/>
          <w:sz w:val="24"/>
          <w:u w:val="single"/>
        </w:rPr>
        <w:t>(Relative TSR)</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pStyle w:val="TextBody"/>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W I T N E S S E T H:</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WHEREAS, the Company has previously adopted the Expand Energy Corporation 2021 Long Term Incentive Plan effective as of February 9, 2021, as amended, restated or otherwise modified from time to time (the “Plan”); and</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WHEREAS, the Company has awarded the Participant Performance Share Units under the Plan (which are a subcategory of Performance Shares under the Plan), as set forth on the Notice, subject to the terms and conditions of this Agreement.</w:t>
      </w:r>
    </w:p>
    <w:p>
      <w:pPr>
        <w:pStyle w:val="TextBody"/>
        <w:bidi w:val="0"/>
        <w:spacing w:lineRule="auto" w:line="288" w:before="0" w:after="240"/>
        <w:ind w:left="0" w:right="0" w:firstLine="1440"/>
        <w:jc w:val="both"/>
        <w:rPr>
          <w:rFonts w:ascii="Arial;sans-serif" w:hAnsi="Arial;sans-serif"/>
          <w:b w:val="false"/>
          <w:color w:val="000000"/>
          <w:sz w:val="24"/>
        </w:rPr>
      </w:pPr>
      <w:r>
        <w:rPr>
          <w:rFonts w:ascii="Arial;sans-serif" w:hAnsi="Arial;sans-serif"/>
          <w:b w:val="false"/>
          <w:color w:val="000000"/>
          <w:sz w:val="24"/>
        </w:rPr>
        <w:t>NOW, THEREFORE, in consideration of the premises and the mutual promises and covenants herein contained, the Participant and the Company agree as follows:</w:t>
      </w:r>
    </w:p>
    <w:p>
      <w:pPr>
        <w:pStyle w:val="TextBody"/>
        <w:bidi w:val="0"/>
        <w:spacing w:lineRule="auto" w:line="288" w:before="0" w:after="240"/>
        <w:ind w:left="0" w:right="0" w:firstLine="1440"/>
        <w:jc w:val="both"/>
        <w:rPr/>
      </w:pPr>
      <w:r>
        <w:rPr>
          <w:rFonts w:ascii="Arial;sans-serif" w:hAnsi="Arial;sans-serif"/>
          <w:b w:val="false"/>
          <w:color w:val="000000"/>
          <w:sz w:val="24"/>
        </w:rPr>
        <w:t>1.    </w:t>
      </w:r>
      <w:r>
        <w:rPr>
          <w:rFonts w:ascii="Arial;sans-serif" w:hAnsi="Arial;sans-serif"/>
          <w:b w:val="false"/>
          <w:color w:val="000000"/>
          <w:sz w:val="24"/>
          <w:u w:val="single"/>
        </w:rPr>
        <w:t>The Plan</w:t>
      </w:r>
      <w:r>
        <w:rPr>
          <w:rFonts w:ascii="Arial;sans-serif" w:hAnsi="Arial;sans-serif"/>
          <w:b w:val="false"/>
          <w:color w:val="000000"/>
          <w:sz w:val="24"/>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pStyle w:val="TextBody"/>
        <w:bidi w:val="0"/>
        <w:spacing w:lineRule="auto" w:line="288" w:before="0" w:after="240"/>
        <w:ind w:left="0" w:right="0" w:firstLine="1440"/>
        <w:jc w:val="both"/>
        <w:rPr/>
      </w:pPr>
      <w:r>
        <w:rPr>
          <w:rFonts w:ascii="Arial;sans-serif" w:hAnsi="Arial;sans-serif"/>
          <w:b w:val="false"/>
          <w:color w:val="000000"/>
          <w:sz w:val="24"/>
        </w:rPr>
        <w:t>2.    </w:t>
      </w:r>
      <w:r>
        <w:rPr>
          <w:rFonts w:ascii="Arial;sans-serif" w:hAnsi="Arial;sans-serif"/>
          <w:b w:val="false"/>
          <w:color w:val="000000"/>
          <w:sz w:val="24"/>
          <w:u w:val="single"/>
        </w:rPr>
        <w:t>Grant of Award</w:t>
      </w:r>
      <w:r>
        <w:rPr>
          <w:rFonts w:ascii="Arial;sans-serif" w:hAnsi="Arial;sans-serif"/>
          <w:b w:val="false"/>
          <w:color w:val="000000"/>
          <w:sz w:val="24"/>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pStyle w:val="TextBody"/>
        <w:bidi w:val="0"/>
        <w:spacing w:before="0" w:after="20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Arial;sans-serif" w:hAnsi="Arial;sans-serif"/>
          <w:b w:val="false"/>
          <w:color w:val="000000"/>
          <w:sz w:val="24"/>
        </w:rPr>
        <w:t>3.    </w:t>
      </w:r>
      <w:r>
        <w:rPr>
          <w:rFonts w:ascii="Arial;sans-serif" w:hAnsi="Arial;sans-serif"/>
          <w:b w:val="false"/>
          <w:color w:val="000000"/>
          <w:sz w:val="24"/>
          <w:u w:val="single"/>
        </w:rPr>
        <w:t>Earning, Vesting and Forfeiture</w:t>
      </w:r>
      <w:r>
        <w:rPr>
          <w:rFonts w:ascii="Arial;sans-serif" w:hAnsi="Arial;sans-serif"/>
          <w:b w:val="false"/>
          <w:color w:val="000000"/>
          <w:sz w:val="24"/>
        </w:rPr>
        <w:t>.</w:t>
      </w:r>
    </w:p>
    <w:p>
      <w:pPr>
        <w:pStyle w:val="TextBody"/>
        <w:bidi w:val="0"/>
        <w:spacing w:lineRule="auto" w:line="288" w:before="0" w:after="240"/>
        <w:ind w:left="0" w:right="0" w:firstLine="2160"/>
        <w:jc w:val="both"/>
        <w:rPr/>
      </w:pPr>
      <w:r>
        <w:rPr>
          <w:rFonts w:ascii="Arial;sans-serif" w:hAnsi="Arial;sans-serif"/>
          <w:b w:val="false"/>
          <w:color w:val="000000"/>
          <w:sz w:val="24"/>
        </w:rPr>
        <w:t>(a)    </w:t>
      </w:r>
      <w:r>
        <w:rPr>
          <w:rFonts w:ascii="Arial;sans-serif" w:hAnsi="Arial;sans-serif"/>
          <w:b w:val="false"/>
          <w:color w:val="000000"/>
          <w:sz w:val="24"/>
          <w:u w:val="single"/>
        </w:rPr>
        <w:t>Earning and Vesting</w:t>
      </w:r>
      <w:r>
        <w:rPr>
          <w:rFonts w:ascii="Arial;sans-serif" w:hAnsi="Arial;sans-serif"/>
          <w:b w:val="false"/>
          <w:color w:val="000000"/>
          <w:sz w:val="24"/>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pStyle w:val="TextBody"/>
        <w:bidi w:val="0"/>
        <w:spacing w:lineRule="auto" w:line="288" w:before="0" w:after="240"/>
        <w:ind w:left="0" w:right="0" w:firstLine="2160"/>
        <w:jc w:val="both"/>
        <w:rPr/>
      </w:pPr>
      <w:r>
        <w:rPr>
          <w:rFonts w:ascii="Arial;sans-serif" w:hAnsi="Arial;sans-serif"/>
          <w:b w:val="false"/>
          <w:color w:val="000000"/>
          <w:sz w:val="24"/>
        </w:rPr>
        <w:t>(b)    </w:t>
      </w:r>
      <w:r>
        <w:rPr>
          <w:rFonts w:ascii="Arial;sans-serif" w:hAnsi="Arial;sans-serif"/>
          <w:b w:val="false"/>
          <w:color w:val="000000"/>
          <w:sz w:val="24"/>
          <w:u w:val="single"/>
        </w:rPr>
        <w:t>Forfeiture</w:t>
      </w:r>
      <w:r>
        <w:rPr>
          <w:rFonts w:ascii="Arial;sans-serif" w:hAnsi="Arial;sans-serif"/>
          <w:b w:val="false"/>
          <w:color w:val="000000"/>
          <w:sz w:val="24"/>
        </w:rPr>
        <w:t>. Except as otherwise provided in this Section 3, in the event the Participant ceases to be an Employee prior to the third anniversary of the Grant Date, then all of the Performance Share Units, regardless of whether they have become earned, and any Dividend Equivalents related thereto, shall be immediately forfeited without consideration.</w:t>
      </w:r>
    </w:p>
    <w:p>
      <w:pPr>
        <w:pStyle w:val="TextBody"/>
        <w:bidi w:val="0"/>
        <w:spacing w:lineRule="auto" w:line="288" w:before="0" w:after="240"/>
        <w:ind w:left="0" w:right="0" w:firstLine="2160"/>
        <w:jc w:val="both"/>
        <w:rPr/>
      </w:pPr>
      <w:r>
        <w:rPr>
          <w:rFonts w:ascii="Arial;sans-serif" w:hAnsi="Arial;sans-serif"/>
          <w:b w:val="false"/>
          <w:color w:val="000000"/>
          <w:sz w:val="24"/>
        </w:rPr>
        <w:t>(c)    </w:t>
      </w:r>
      <w:r>
        <w:rPr>
          <w:rFonts w:ascii="Arial;sans-serif" w:hAnsi="Arial;sans-serif"/>
          <w:b w:val="false"/>
          <w:color w:val="000000"/>
          <w:sz w:val="24"/>
          <w:u w:val="single"/>
        </w:rPr>
        <w:t>Acceleration on Death, Disability, Retirement or Involuntary Termination</w:t>
      </w:r>
      <w:r>
        <w:rPr>
          <w:rFonts w:ascii="Arial;sans-serif" w:hAnsi="Arial;sans-serif"/>
          <w:b w:val="false"/>
          <w:color w:val="000000"/>
          <w:sz w:val="24"/>
        </w:rPr>
        <w:t>. This Award shall become vested upon the termination of the Participant’s employment due to the Participant’s death as follows: (i) if such death occurs prior to the end of the Performance Period, then the target number of Performance Share Units shall vest or (ii) if such death occurs after the end of the Performance Period, then the number of Performance Share Units earned based on actual performance shall vest. The Committee may also, in its discretion, waive the service-based vesting requirements or permit continued vesting of the Performance Share Units in the event of the Participant’s Disability or termination of service due to retirement or involuntary termination (as determined by the Committee in its sole discretion).</w:t>
      </w:r>
    </w:p>
    <w:p>
      <w:pPr>
        <w:pStyle w:val="TextBody"/>
        <w:bidi w:val="0"/>
        <w:spacing w:before="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88" w:before="0" w:after="240"/>
        <w:ind w:left="0" w:right="0" w:firstLine="2160"/>
        <w:jc w:val="both"/>
        <w:rPr/>
      </w:pPr>
      <w:r>
        <w:rPr>
          <w:rFonts w:ascii="Arial;sans-serif" w:hAnsi="Arial;sans-serif"/>
          <w:b w:val="false"/>
          <w:color w:val="000000"/>
          <w:sz w:val="24"/>
        </w:rPr>
        <w:t>(d)    </w:t>
      </w:r>
      <w:r>
        <w:rPr>
          <w:rFonts w:ascii="Arial;sans-serif" w:hAnsi="Arial;sans-serif"/>
          <w:b w:val="false"/>
          <w:color w:val="000000"/>
          <w:sz w:val="24"/>
          <w:u w:val="single"/>
        </w:rPr>
        <w:t>Acceleration on Termination Without Cause or for Good Reason Following a Change of Control</w:t>
      </w:r>
      <w:r>
        <w:rPr>
          <w:rFonts w:ascii="Arial;sans-serif" w:hAnsi="Arial;sans-serif"/>
          <w:b w:val="false"/>
          <w:color w:val="000000"/>
          <w:sz w:val="24"/>
        </w:rPr>
        <w:t>. This Award shall become fully vested based on actual performance measured through the date of the Participant’s termination if the Participant’s service is terminated by the Company without Cause or by the Participant for Good Reason, in each case, within the 12-month period following the effective date of a Change of Control (the "Protection Period").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 Participant provides a 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pStyle w:val="TextBody"/>
        <w:bidi w:val="0"/>
        <w:spacing w:lineRule="auto" w:line="288" w:before="0" w:after="2"/>
        <w:ind w:left="0" w:right="0" w:firstLine="2160"/>
        <w:jc w:val="both"/>
        <w:rPr/>
      </w:pPr>
      <w:r>
        <w:rPr>
          <w:rFonts w:ascii="Arial;sans-serif" w:hAnsi="Arial;sans-serif"/>
          <w:b w:val="false"/>
          <w:color w:val="000000"/>
          <w:sz w:val="24"/>
        </w:rPr>
        <w:t>(e)    </w:t>
      </w:r>
      <w:r>
        <w:rPr>
          <w:rFonts w:ascii="Arial;sans-serif" w:hAnsi="Arial;sans-serif"/>
          <w:b w:val="false"/>
          <w:color w:val="000000"/>
          <w:sz w:val="24"/>
          <w:u w:val="single"/>
        </w:rPr>
        <w:t>Acceleration on Termination Without Cause Outside of the Protection Period.</w:t>
      </w:r>
      <w:r>
        <w:rPr>
          <w:color w:val="000000"/>
        </w:rPr>
        <w:t xml:space="preserve"> </w:t>
      </w:r>
      <w:r>
        <w:rPr>
          <w:rFonts w:ascii="Arial;sans-serif" w:hAnsi="Arial;sans-serif"/>
          <w:b w:val="false"/>
          <w:color w:val="000000"/>
          <w:sz w:val="24"/>
        </w:rPr>
        <w:t>If the Participant’s service is terminated by the Company without Cause other than during the Protection Period, a pro rata portion of this Award shall vest as follows: the number of Performance Share Units that vest shall be equal to (1) the number of Performance Share Units earned based on the actual performance measured as provided in the Notice multiplied by (2) a fraction (a) the numerator of which equals the number of days that the Participant has provided continuous service with the Company, a Subsidiary or an Affiliated Entity from the first day of the Performance Period through the date of the Participant’s termination of employment and (b) the denominator of which equals the number of days during the Performance Period. Notwithstanding the foregoing, this Section 3(e) shall not apply if the Participant has not been employed by the Company, a Subsidiary or an Affiliated Entity for at least one (1) calendar year as of the date the Participant’s service is terminated by the Company without Cause. For the avoidance of doubt, the Performance Share Units that vest pursuant to this Section 3(e) shall be settled within sixty (60) days following the date the Company determines the achievement of the performance metrics.</w:t>
      </w:r>
    </w:p>
    <w:p>
      <w:pPr>
        <w:pStyle w:val="TextBody"/>
        <w:bidi w:val="0"/>
        <w:spacing w:before="0" w:after="2"/>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4.    </w:t>
      </w:r>
      <w:r>
        <w:rPr>
          <w:rFonts w:ascii="Arial;sans-serif" w:hAnsi="Arial;sans-serif"/>
          <w:b w:val="false"/>
          <w:color w:val="000000"/>
          <w:sz w:val="24"/>
          <w:u w:val="single"/>
        </w:rPr>
        <w:t>Nontransferability of Award</w:t>
      </w:r>
      <w:r>
        <w:rPr>
          <w:rFonts w:ascii="Arial;sans-serif" w:hAnsi="Arial;sans-serif"/>
          <w:b w:val="false"/>
          <w:color w:val="000000"/>
          <w:sz w:val="24"/>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pStyle w:val="TextBody"/>
        <w:bidi w:val="0"/>
        <w:spacing w:lineRule="auto" w:line="288" w:before="0" w:after="240"/>
        <w:ind w:left="0" w:right="0" w:firstLine="1440"/>
        <w:jc w:val="both"/>
        <w:rPr/>
      </w:pPr>
      <w:r>
        <w:rPr>
          <w:rFonts w:ascii="Arial;sans-serif" w:hAnsi="Arial;sans-serif"/>
          <w:b w:val="false"/>
          <w:color w:val="000000"/>
          <w:sz w:val="24"/>
        </w:rPr>
        <w:t>5.    </w:t>
      </w:r>
      <w:r>
        <w:rPr>
          <w:rFonts w:ascii="Arial;sans-serif" w:hAnsi="Arial;sans-serif"/>
          <w:b w:val="false"/>
          <w:color w:val="000000"/>
          <w:sz w:val="24"/>
          <w:u w:val="single"/>
        </w:rPr>
        <w:t>Payment</w:t>
      </w:r>
      <w:r>
        <w:rPr>
          <w:rFonts w:ascii="Arial;sans-serif" w:hAnsi="Arial;sans-serif"/>
          <w:b w:val="false"/>
          <w:color w:val="000000"/>
          <w:sz w:val="24"/>
        </w:rPr>
        <w:t>. Payment shall be made in the form of an issuance to the Participant of shares of Common Stock equal to the number of vested Performance Share Units within sixty (60) days following the vesting date of such Performance Share Unit.</w:t>
      </w:r>
    </w:p>
    <w:p>
      <w:pPr>
        <w:pStyle w:val="TextBody"/>
        <w:bidi w:val="0"/>
        <w:spacing w:lineRule="auto" w:line="288" w:before="0" w:after="240"/>
        <w:ind w:left="0" w:right="0" w:firstLine="1440"/>
        <w:jc w:val="both"/>
        <w:rPr/>
      </w:pPr>
      <w:r>
        <w:rPr>
          <w:rFonts w:ascii="Arial;sans-serif" w:hAnsi="Arial;sans-serif"/>
          <w:b w:val="false"/>
          <w:color w:val="000000"/>
          <w:sz w:val="24"/>
        </w:rPr>
        <w:t>6.    </w:t>
      </w:r>
      <w:r>
        <w:rPr>
          <w:rFonts w:ascii="Arial;sans-serif" w:hAnsi="Arial;sans-serif"/>
          <w:b w:val="false"/>
          <w:color w:val="000000"/>
          <w:sz w:val="24"/>
          <w:u w:val="single"/>
        </w:rPr>
        <w:t>Dividends</w:t>
      </w:r>
      <w:r>
        <w:rPr>
          <w:color w:val="000000"/>
          <w:u w:val="single"/>
        </w:rPr>
        <w:t xml:space="preserve"> </w:t>
      </w:r>
      <w:r>
        <w:rPr>
          <w:rFonts w:ascii="Arial;sans-serif" w:hAnsi="Arial;sans-serif"/>
          <w:b w:val="false"/>
          <w:color w:val="000000"/>
          <w:sz w:val="24"/>
          <w:u w:val="single"/>
        </w:rPr>
        <w:t>Equivalents</w:t>
      </w:r>
      <w:r>
        <w:rPr>
          <w:rFonts w:ascii="Arial;sans-serif" w:hAnsi="Arial;sans-serif"/>
          <w:b w:val="false"/>
          <w:color w:val="000000"/>
          <w:sz w:val="24"/>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 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pStyle w:val="TextBody"/>
        <w:bidi w:val="0"/>
        <w:spacing w:lineRule="auto" w:line="288" w:before="0" w:after="240"/>
        <w:ind w:left="0" w:right="0" w:firstLine="1440"/>
        <w:jc w:val="both"/>
        <w:rPr/>
      </w:pPr>
      <w:r>
        <w:rPr>
          <w:rFonts w:ascii="Arial;sans-serif" w:hAnsi="Arial;sans-serif"/>
          <w:b w:val="false"/>
          <w:color w:val="000000"/>
          <w:sz w:val="24"/>
        </w:rPr>
        <w:t>7.    </w:t>
      </w:r>
      <w:r>
        <w:rPr>
          <w:rFonts w:ascii="Arial;sans-serif" w:hAnsi="Arial;sans-serif"/>
          <w:b w:val="false"/>
          <w:color w:val="000000"/>
          <w:sz w:val="24"/>
          <w:u w:val="single"/>
        </w:rPr>
        <w:t>Withholding</w:t>
      </w:r>
      <w:r>
        <w:rPr>
          <w:rFonts w:ascii="Arial;sans-serif" w:hAnsi="Arial;sans-serif"/>
          <w:b w:val="false"/>
          <w:color w:val="000000"/>
          <w:sz w:val="24"/>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Performance Share Units.</w:t>
      </w:r>
    </w:p>
    <w:p>
      <w:pPr>
        <w:pStyle w:val="TextBody"/>
        <w:bidi w:val="0"/>
        <w:spacing w:before="0" w:after="20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8.    </w:t>
      </w:r>
      <w:r>
        <w:rPr>
          <w:rFonts w:ascii="Arial;sans-serif" w:hAnsi="Arial;sans-serif"/>
          <w:b w:val="false"/>
          <w:color w:val="000000"/>
          <w:sz w:val="24"/>
          <w:u w:val="single"/>
        </w:rPr>
        <w:t>Amendments</w:t>
      </w:r>
      <w:r>
        <w:rPr>
          <w:rFonts w:ascii="Arial;sans-serif" w:hAnsi="Arial;sans-serif"/>
          <w:b w:val="false"/>
          <w:color w:val="000000"/>
          <w:sz w:val="24"/>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pStyle w:val="TextBody"/>
        <w:bidi w:val="0"/>
        <w:spacing w:lineRule="auto" w:line="288" w:before="0" w:after="240"/>
        <w:ind w:left="0" w:right="0" w:firstLine="1440"/>
        <w:jc w:val="both"/>
        <w:rPr/>
      </w:pPr>
      <w:r>
        <w:rPr>
          <w:rFonts w:ascii="Arial;sans-serif" w:hAnsi="Arial;sans-serif"/>
          <w:b w:val="false"/>
          <w:color w:val="000000"/>
          <w:sz w:val="24"/>
        </w:rPr>
        <w:t>9.    </w:t>
      </w:r>
      <w:r>
        <w:rPr>
          <w:rFonts w:ascii="Arial;sans-serif" w:hAnsi="Arial;sans-serif"/>
          <w:b w:val="false"/>
          <w:color w:val="000000"/>
          <w:sz w:val="24"/>
          <w:u w:val="single"/>
        </w:rPr>
        <w:t>Securities Law Restrictions</w:t>
      </w:r>
      <w:r>
        <w:rPr>
          <w:rFonts w:ascii="Arial;sans-serif" w:hAnsi="Arial;sans-serif"/>
          <w:b w:val="false"/>
          <w:color w:val="000000"/>
          <w:sz w:val="24"/>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pStyle w:val="TextBody"/>
        <w:bidi w:val="0"/>
        <w:spacing w:lineRule="auto" w:line="288"/>
        <w:ind w:left="0" w:right="0" w:firstLine="1440"/>
        <w:jc w:val="both"/>
        <w:rPr/>
      </w:pPr>
      <w:r>
        <w:rPr>
          <w:rFonts w:ascii="Arial;sans-serif" w:hAnsi="Arial;sans-serif"/>
          <w:b w:val="false"/>
          <w:color w:val="000000"/>
          <w:sz w:val="24"/>
        </w:rPr>
        <w:t>10.    </w:t>
      </w:r>
      <w:r>
        <w:rPr>
          <w:rFonts w:ascii="Arial;sans-serif" w:hAnsi="Arial;sans-serif"/>
          <w:b w:val="false"/>
          <w:color w:val="000000"/>
          <w:sz w:val="24"/>
          <w:u w:val="single"/>
        </w:rPr>
        <w:t>Non-Disclosure of Confidential and Proprietary Information</w:t>
      </w:r>
      <w:r>
        <w:rPr>
          <w:rFonts w:ascii="Arial;sans-serif" w:hAnsi="Arial;sans-serif"/>
          <w:b w:val="false"/>
          <w:color w:val="000000"/>
          <w:sz w:val="24"/>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pStyle w:val="TextBody"/>
        <w:bidi w:val="0"/>
        <w:spacing w:before="0" w:after="20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val="false"/>
          <w:color w:val="000000"/>
          <w:sz w:val="24"/>
        </w:rPr>
      </w:pPr>
      <w:r>
        <w:rPr>
          <w:rFonts w:ascii="Arial;sans-serif" w:hAnsi="Arial;sans-serif"/>
          <w:b w:val="false"/>
          <w:color w:val="000000"/>
          <w:sz w:val="24"/>
        </w:rPr>
        <w:t>Notwithstanding the foregoing, nothing in this Agreement shall prohibit or restrict the Participant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pStyle w:val="TextBody"/>
        <w:bidi w:val="0"/>
        <w:spacing w:before="0" w:after="0"/>
        <w:jc w:val="both"/>
        <w:rPr/>
      </w:pPr>
      <w:r>
        <w:rPr/>
      </w:r>
    </w:p>
    <w:p>
      <w:pPr>
        <w:pStyle w:val="TextBody"/>
        <w:bidi w:val="0"/>
        <w:spacing w:lineRule="auto" w:line="288" w:before="0" w:after="240"/>
        <w:ind w:left="0" w:right="0" w:firstLine="1440"/>
        <w:jc w:val="left"/>
        <w:rPr/>
      </w:pPr>
      <w:r>
        <w:rPr>
          <w:rFonts w:ascii="Arial;sans-serif" w:hAnsi="Arial;sans-serif"/>
          <w:b w:val="false"/>
          <w:color w:val="000000"/>
          <w:sz w:val="24"/>
        </w:rPr>
        <w:t>11.    </w:t>
      </w:r>
      <w:r>
        <w:rPr>
          <w:rFonts w:ascii="Arial;sans-serif" w:hAnsi="Arial;sans-serif"/>
          <w:b w:val="false"/>
          <w:color w:val="000000"/>
          <w:sz w:val="24"/>
          <w:u w:val="single"/>
        </w:rPr>
        <w:t>Participant Misconduct; Compensation Recovery</w:t>
      </w:r>
      <w:r>
        <w:rPr>
          <w:rFonts w:ascii="Arial;sans-serif" w:hAnsi="Arial;sans-serif"/>
          <w:b w:val="false"/>
          <w:color w:val="000000"/>
          <w:sz w:val="24"/>
        </w:rPr>
        <w:t>.</w:t>
      </w:r>
    </w:p>
    <w:p>
      <w:pPr>
        <w:pStyle w:val="TextBody"/>
        <w:bidi w:val="0"/>
        <w:spacing w:lineRule="auto" w:line="288" w:before="0" w:after="240"/>
        <w:ind w:left="0" w:right="0" w:firstLine="2160"/>
        <w:jc w:val="both"/>
        <w:rPr>
          <w:rFonts w:ascii="Arial;sans-serif" w:hAnsi="Arial;sans-serif"/>
          <w:b w:val="false"/>
          <w:color w:val="000000"/>
          <w:sz w:val="24"/>
        </w:rPr>
      </w:pPr>
      <w:r>
        <w:rPr>
          <w:rFonts w:ascii="Arial;sans-serif" w:hAnsi="Arial;sans-serif"/>
          <w:b w:val="false"/>
          <w:color w:val="000000"/>
          <w:sz w:val="24"/>
        </w:rPr>
        <w:t>(a)    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pStyle w:val="TextBody"/>
        <w:bidi w:val="0"/>
        <w:spacing w:lineRule="auto" w:line="288" w:before="0" w:after="240"/>
        <w:ind w:left="0" w:right="0" w:firstLine="2160"/>
        <w:jc w:val="both"/>
        <w:rPr>
          <w:rFonts w:ascii="Arial;sans-serif" w:hAnsi="Arial;sans-serif"/>
          <w:b w:val="false"/>
          <w:color w:val="000000"/>
          <w:sz w:val="24"/>
        </w:rPr>
      </w:pPr>
      <w:r>
        <w:rPr>
          <w:rFonts w:ascii="Arial;sans-serif" w:hAnsi="Arial;sans-serif"/>
          <w:b w:val="false"/>
          <w:color w:val="000000"/>
          <w:sz w:val="24"/>
        </w:rPr>
        <w:t>(b)    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pStyle w:val="TextBody"/>
        <w:bidi w:val="0"/>
        <w:spacing w:before="0" w:after="20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12.    </w:t>
      </w:r>
      <w:r>
        <w:rPr>
          <w:rFonts w:ascii="Arial;sans-serif" w:hAnsi="Arial;sans-serif"/>
          <w:b w:val="false"/>
          <w:color w:val="000000"/>
          <w:sz w:val="24"/>
          <w:u w:val="single"/>
        </w:rPr>
        <w:t>Notices</w:t>
      </w:r>
      <w:r>
        <w:rPr>
          <w:rFonts w:ascii="Arial;sans-serif" w:hAnsi="Arial;sans-serif"/>
          <w:b w:val="false"/>
          <w:color w:val="000000"/>
          <w:sz w:val="24"/>
        </w:rPr>
        <w:t>. All notices or other communications relating to the Plan and this Agreement as it relates to the Participant shall be in electronic or written form. If in writing, such notices shall be deemed to have been made (a) 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pStyle w:val="TextBody"/>
        <w:bidi w:val="0"/>
        <w:spacing w:lineRule="auto" w:line="288" w:before="0" w:after="240"/>
        <w:ind w:left="0" w:right="0" w:firstLine="1440"/>
        <w:jc w:val="both"/>
        <w:rPr/>
      </w:pPr>
      <w:r>
        <w:rPr>
          <w:rFonts w:ascii="Arial;sans-serif" w:hAnsi="Arial;sans-serif"/>
          <w:b w:val="false"/>
          <w:color w:val="000000"/>
          <w:sz w:val="24"/>
        </w:rPr>
        <w:t>13.    </w:t>
      </w:r>
      <w:r>
        <w:rPr>
          <w:rFonts w:ascii="Arial;sans-serif" w:hAnsi="Arial;sans-serif"/>
          <w:b w:val="false"/>
          <w:color w:val="000000"/>
          <w:sz w:val="24"/>
          <w:u w:val="single"/>
        </w:rPr>
        <w:t>Binding Effect and Governing Law</w:t>
      </w:r>
      <w:r>
        <w:rPr>
          <w:rFonts w:ascii="Arial;sans-serif" w:hAnsi="Arial;sans-serif"/>
          <w:b w:val="false"/>
          <w:color w:val="000000"/>
          <w:sz w:val="24"/>
        </w:rPr>
        <w:t>. This Agreement shall be (i) binding upon and inure to the benefit of the parties hereto and their respective heirs, successors and assigns except as may be limited by the Plan and (ii) governed and construed under the laws of the State of Oklahoma.</w:t>
      </w:r>
    </w:p>
    <w:p>
      <w:pPr>
        <w:pStyle w:val="TextBody"/>
        <w:bidi w:val="0"/>
        <w:spacing w:lineRule="auto" w:line="288" w:before="0" w:after="240"/>
        <w:ind w:left="0" w:right="0" w:firstLine="1440"/>
        <w:jc w:val="both"/>
        <w:rPr/>
      </w:pPr>
      <w:r>
        <w:rPr>
          <w:rFonts w:ascii="Arial;sans-serif" w:hAnsi="Arial;sans-serif"/>
          <w:b w:val="false"/>
          <w:color w:val="000000"/>
          <w:sz w:val="24"/>
        </w:rPr>
        <w:t>14.    </w:t>
      </w:r>
      <w:r>
        <w:rPr>
          <w:rFonts w:ascii="Arial;sans-serif" w:hAnsi="Arial;sans-serif"/>
          <w:b w:val="false"/>
          <w:color w:val="000000"/>
          <w:sz w:val="24"/>
          <w:u w:val="single"/>
        </w:rPr>
        <w:t>Captions</w:t>
      </w:r>
      <w:r>
        <w:rPr>
          <w:rFonts w:ascii="Arial;sans-serif" w:hAnsi="Arial;sans-serif"/>
          <w:b w:val="false"/>
          <w:color w:val="000000"/>
          <w:sz w:val="24"/>
        </w:rPr>
        <w:t>. The captions of specific provisions of this Agreement are for convenience and reference only, and in no way define, describe, extend or limit the scope of this Agreement or the intent of any provision hereof.</w:t>
      </w:r>
    </w:p>
    <w:p>
      <w:pPr>
        <w:pStyle w:val="TextBody"/>
        <w:bidi w:val="0"/>
        <w:spacing w:lineRule="auto" w:line="288" w:before="0" w:after="240"/>
        <w:ind w:left="0" w:right="0" w:firstLine="1440"/>
        <w:jc w:val="both"/>
        <w:rPr/>
      </w:pPr>
      <w:r>
        <w:rPr>
          <w:rFonts w:ascii="Arial;sans-serif" w:hAnsi="Arial;sans-serif"/>
          <w:b w:val="false"/>
          <w:color w:val="000000"/>
          <w:sz w:val="24"/>
        </w:rPr>
        <w:t>15.    </w:t>
      </w:r>
      <w:r>
        <w:rPr>
          <w:rFonts w:ascii="Arial;sans-serif" w:hAnsi="Arial;sans-serif"/>
          <w:b w:val="false"/>
          <w:color w:val="000000"/>
          <w:sz w:val="24"/>
          <w:u w:val="single"/>
        </w:rPr>
        <w:t>Counterparts</w:t>
      </w:r>
      <w:r>
        <w:rPr>
          <w:rFonts w:ascii="Arial;sans-serif" w:hAnsi="Arial;sans-serif"/>
          <w:b w:val="false"/>
          <w:color w:val="000000"/>
          <w:sz w:val="24"/>
        </w:rPr>
        <w:t>. This Agreement may be executed in any number of identical counterparts, each of which shall be deemed an original for all purposes, but all of which taken together shall form but one agreement.</w:t>
      </w:r>
    </w:p>
    <w:p>
      <w:pPr>
        <w:pStyle w:val="TextBody"/>
        <w:bidi w:val="0"/>
        <w:spacing w:lineRule="auto" w:line="288" w:before="0" w:after="0"/>
        <w:ind w:left="0" w:right="0" w:firstLine="1440"/>
        <w:jc w:val="both"/>
        <w:rPr/>
      </w:pPr>
      <w:r>
        <w:rPr>
          <w:rFonts w:ascii="Arial;sans-serif" w:hAnsi="Arial;sans-serif"/>
          <w:b w:val="false"/>
          <w:color w:val="000000"/>
          <w:sz w:val="24"/>
        </w:rPr>
        <w:t>16.    </w:t>
      </w:r>
      <w:r>
        <w:rPr>
          <w:rFonts w:ascii="Arial;sans-serif" w:hAnsi="Arial;sans-serif"/>
          <w:b w:val="false"/>
          <w:color w:val="000000"/>
          <w:sz w:val="24"/>
          <w:u w:val="single"/>
        </w:rPr>
        <w:t>Company Recoupment of Awards</w:t>
      </w:r>
      <w:r>
        <w:rPr>
          <w:rFonts w:ascii="Arial;sans-serif" w:hAnsi="Arial;sans-serif"/>
          <w:b w:val="false"/>
          <w:color w:val="000000"/>
          <w:sz w:val="24"/>
        </w:rPr>
        <w:t>. 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stock exchange on which the Common Stock may be listed.</w:t>
      </w:r>
    </w:p>
    <w:p>
      <w:pPr>
        <w:pStyle w:val="TextBody"/>
        <w:bidi w:val="0"/>
        <w:spacing w:before="0" w:after="2"/>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4"/>
        </w:rPr>
        <w:t>17.    </w:t>
      </w:r>
      <w:r>
        <w:rPr>
          <w:rFonts w:ascii="Arial;sans-serif" w:hAnsi="Arial;sans-serif"/>
          <w:b w:val="false"/>
          <w:color w:val="000000"/>
          <w:sz w:val="24"/>
          <w:u w:val="single"/>
        </w:rPr>
        <w:t>Code Section 409A</w:t>
      </w:r>
      <w:r>
        <w:rPr>
          <w:rFonts w:ascii="Arial;sans-serif" w:hAnsi="Arial;sans-serif"/>
          <w:b w:val="false"/>
          <w:color w:val="000000"/>
          <w:sz w:val="24"/>
        </w:rPr>
        <w:t>.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 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lineRule="auto" w:line="484" w:before="0" w:after="240"/>
        <w:jc w:val="center"/>
        <w:rPr>
          <w:rFonts w:ascii="Arial;sans-serif" w:hAnsi="Arial;sans-serif"/>
          <w:b/>
          <w:color w:val="000000"/>
          <w:sz w:val="24"/>
        </w:rPr>
      </w:pPr>
      <w:r>
        <w:rPr>
          <w:rFonts w:ascii="Arial;sans-serif" w:hAnsi="Arial;sans-serif"/>
          <w:b/>
          <w:color w:val="000000"/>
          <w:sz w:val="24"/>
        </w:rPr>
        <w:t>Notice of Grant of Performance Share Units and Award Agreement</w:t>
      </w:r>
    </w:p>
    <w:p>
      <w:pPr>
        <w:pStyle w:val="TextBody"/>
        <w:bidi w:val="0"/>
        <w:spacing w:lineRule="auto" w:line="333" w:before="0" w:after="0"/>
        <w:jc w:val="left"/>
        <w:rPr>
          <w:rFonts w:ascii="Arial;sans-serif" w:hAnsi="Arial;sans-serif"/>
          <w:b w:val="false"/>
          <w:color w:val="000000"/>
          <w:sz w:val="24"/>
        </w:rPr>
      </w:pPr>
      <w:r>
        <w:rPr>
          <w:rFonts w:ascii="Arial;sans-serif" w:hAnsi="Arial;sans-serif"/>
          <w:b w:val="false"/>
          <w:color w:val="000000"/>
          <w:sz w:val="24"/>
        </w:rPr>
        <w:t>Expand Energy Corporation</w:t>
      </w:r>
    </w:p>
    <w:p>
      <w:pPr>
        <w:pStyle w:val="TextBody"/>
        <w:bidi w:val="0"/>
        <w:spacing w:lineRule="auto" w:line="333" w:before="0" w:after="0"/>
        <w:jc w:val="left"/>
        <w:rPr>
          <w:rFonts w:ascii="Arial;sans-serif" w:hAnsi="Arial;sans-serif"/>
          <w:b w:val="false"/>
          <w:color w:val="000000"/>
          <w:sz w:val="24"/>
        </w:rPr>
      </w:pPr>
      <w:r>
        <w:rPr>
          <w:rFonts w:ascii="Arial;sans-serif" w:hAnsi="Arial;sans-serif"/>
          <w:b w:val="false"/>
          <w:color w:val="000000"/>
          <w:sz w:val="24"/>
        </w:rPr>
        <w:t>6100 North Western Avenue</w:t>
      </w:r>
    </w:p>
    <w:p>
      <w:pPr>
        <w:pStyle w:val="TextBody"/>
        <w:bidi w:val="0"/>
        <w:spacing w:lineRule="auto" w:line="333" w:before="0" w:after="0"/>
        <w:jc w:val="left"/>
        <w:rPr>
          <w:rFonts w:ascii="Arial;sans-serif" w:hAnsi="Arial;sans-serif"/>
          <w:b w:val="false"/>
          <w:color w:val="000000"/>
          <w:sz w:val="24"/>
        </w:rPr>
      </w:pPr>
      <w:r>
        <w:rPr>
          <w:rFonts w:ascii="Arial;sans-serif" w:hAnsi="Arial;sans-serif"/>
          <w:b w:val="false"/>
          <w:color w:val="000000"/>
          <w:sz w:val="24"/>
        </w:rPr>
        <w:t>Oklahoma City, OK 73118</w:t>
      </w:r>
    </w:p>
    <w:p>
      <w:pPr>
        <w:pStyle w:val="TextBody"/>
        <w:bidi w:val="0"/>
        <w:spacing w:lineRule="auto" w:line="333" w:before="0" w:after="0"/>
        <w:jc w:val="left"/>
        <w:rPr>
          <w:rFonts w:ascii="Arial;sans-serif" w:hAnsi="Arial;sans-serif"/>
          <w:b w:val="false"/>
          <w:color w:val="000000"/>
          <w:sz w:val="24"/>
        </w:rPr>
      </w:pPr>
      <w:r>
        <w:rPr>
          <w:rFonts w:ascii="Arial;sans-serif" w:hAnsi="Arial;sans-serif"/>
          <w:b w:val="false"/>
          <w:color w:val="000000"/>
          <w:sz w:val="24"/>
        </w:rPr>
        <w:t>ID: 73-1395733</w:t>
      </w:r>
    </w:p>
    <w:p>
      <w:pPr>
        <w:pStyle w:val="TextBody"/>
        <w:bidi w:val="0"/>
        <w:spacing w:before="0" w:after="2"/>
        <w:jc w:val="left"/>
        <w:rPr/>
      </w:pPr>
      <w:r>
        <w:rPr/>
      </w:r>
    </w:p>
    <w:tbl>
      <w:tblPr>
        <w:tblW w:w="4625" w:type="dxa"/>
        <w:jc w:val="left"/>
        <w:tblInd w:w="0" w:type="dxa"/>
        <w:tblLayout w:type="fixed"/>
        <w:tblCellMar>
          <w:top w:w="28" w:type="dxa"/>
          <w:left w:w="28" w:type="dxa"/>
          <w:bottom w:w="28" w:type="dxa"/>
          <w:right w:w="28" w:type="dxa"/>
        </w:tblCellMar>
      </w:tblPr>
      <w:tblGrid>
        <w:gridCol w:w="298"/>
        <w:gridCol w:w="263"/>
        <w:gridCol w:w="264"/>
        <w:gridCol w:w="109"/>
        <w:gridCol w:w="109"/>
        <w:gridCol w:w="109"/>
        <w:gridCol w:w="109"/>
        <w:gridCol w:w="109"/>
        <w:gridCol w:w="109"/>
        <w:gridCol w:w="629"/>
        <w:gridCol w:w="629"/>
        <w:gridCol w:w="631"/>
        <w:gridCol w:w="196"/>
        <w:gridCol w:w="196"/>
        <w:gridCol w:w="196"/>
        <w:gridCol w:w="196"/>
        <w:gridCol w:w="196"/>
        <w:gridCol w:w="277"/>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Award Number:</w:t>
            </w:r>
          </w:p>
        </w:tc>
        <w:tc>
          <w:tcPr>
            <w:tcW w:w="125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Plan:</w:t>
            </w:r>
          </w:p>
        </w:tc>
        <w:tc>
          <w:tcPr>
            <w:tcW w:w="12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2021 LTIP</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ID:</w:t>
            </w:r>
          </w:p>
        </w:tc>
        <w:tc>
          <w:tcPr>
            <w:tcW w:w="12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Effective [________] (the “Grant Date”), you have been granted a target number of _____________ Performance Share Units. These Performance Share Units will become earned and vested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4"/>
          <w:u w:val="single"/>
        </w:rPr>
        <w:t>Determination of Earned Performance Share Units</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Subject to earlier forfeiture in Section 3(b) of the Award Agreement, the number of your Performance Share Units that become earned shall be determined based on the Company’s relative total stockholder return (“rTSR”), which measures the Company’s TSR (as defined below) as compared to the TSR of the entities or indices in the Company’s performance peer group, as listed in Exhibit A to this Notice (the “Peer Group” and each member thereof a “Peer Group Member”), during the period beginning on December 31, 20__ and ending on December 31, 20__ (the “Performance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Company’s rTSR, as set forth below, shall determine the percentage of your target number of Performance Share Units that are earned. For rTSR performance between the values listed in the table below, the number of Performance Share Units that become earned shall be determined by straight-line interpolation. The Committee will review, analyze and certify the achievement of the Company’s performance under the rTSR goal for the Performance Period, and will determine whether the rTSR performance requirement for your Performance Share Units has been satisfied in accordance with the terms of this Agreement.</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Arial;sans-serif" w:hAnsi="Arial;sans-serif"/>
          <w:b/>
          <w:color w:val="000000"/>
          <w:sz w:val="24"/>
        </w:rPr>
      </w:pPr>
      <w:r>
        <w:rPr>
          <w:rFonts w:ascii="Arial;sans-serif" w:hAnsi="Arial;sans-serif"/>
          <w:b/>
          <w:color w:val="000000"/>
          <w:sz w:val="24"/>
        </w:rPr>
        <w:t>Company rTSR Performance and Payout Schedule</w:t>
      </w:r>
    </w:p>
    <w:p>
      <w:pPr>
        <w:pStyle w:val="TextBody"/>
        <w:bidi w:val="0"/>
        <w:spacing w:before="0" w:after="0"/>
        <w:jc w:val="both"/>
        <w:rPr/>
      </w:pPr>
      <w:r>
        <w:rPr/>
      </w:r>
    </w:p>
    <w:tbl>
      <w:tblPr>
        <w:tblW w:w="8024" w:type="dxa"/>
        <w:jc w:val="left"/>
        <w:tblInd w:w="0" w:type="dxa"/>
        <w:tblLayout w:type="fixed"/>
        <w:tblCellMar>
          <w:top w:w="28" w:type="dxa"/>
          <w:left w:w="28" w:type="dxa"/>
          <w:bottom w:w="28" w:type="dxa"/>
          <w:right w:w="28" w:type="dxa"/>
        </w:tblCellMar>
      </w:tblPr>
      <w:tblGrid>
        <w:gridCol w:w="607"/>
        <w:gridCol w:w="535"/>
        <w:gridCol w:w="538"/>
        <w:gridCol w:w="1855"/>
        <w:gridCol w:w="1855"/>
        <w:gridCol w:w="263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color w:val="000000"/>
                <w:sz w:val="24"/>
              </w:rPr>
            </w:pPr>
            <w:r>
              <w:rPr>
                <w:rFonts w:ascii="Arial;sans-serif" w:hAnsi="Arial;sans-serif"/>
                <w:b/>
                <w:color w:val="000000"/>
                <w:sz w:val="24"/>
              </w:rPr>
              <w:t>rTSR</w:t>
            </w:r>
          </w:p>
        </w:tc>
        <w:tc>
          <w:tcPr>
            <w:tcW w:w="634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Percentage of Target Performance Share Units Earned</w:t>
            </w:r>
          </w:p>
        </w:tc>
      </w:tr>
      <w:tr>
        <w:trPr/>
        <w:tc>
          <w:tcPr>
            <w:tcW w:w="168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20% or less</w:t>
            </w:r>
          </w:p>
        </w:tc>
        <w:tc>
          <w:tcPr>
            <w:tcW w:w="634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0%</w:t>
            </w:r>
          </w:p>
        </w:tc>
      </w:tr>
      <w:tr>
        <w:trPr/>
        <w:tc>
          <w:tcPr>
            <w:tcW w:w="168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55%</w:t>
            </w:r>
          </w:p>
        </w:tc>
        <w:tc>
          <w:tcPr>
            <w:tcW w:w="634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100%</w:t>
            </w:r>
          </w:p>
        </w:tc>
      </w:tr>
      <w:tr>
        <w:trPr/>
        <w:tc>
          <w:tcPr>
            <w:tcW w:w="168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90% or greater</w:t>
            </w:r>
          </w:p>
        </w:tc>
        <w:tc>
          <w:tcPr>
            <w:tcW w:w="634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88" w:before="0" w:after="283"/>
              <w:jc w:val="both"/>
              <w:rPr>
                <w:rFonts w:ascii="Arial;sans-serif" w:hAnsi="Arial;sans-serif"/>
                <w:b w:val="false"/>
                <w:color w:val="000000"/>
                <w:sz w:val="24"/>
              </w:rPr>
            </w:pPr>
            <w:r>
              <w:rPr>
                <w:rFonts w:ascii="Arial;sans-serif" w:hAnsi="Arial;sans-serif"/>
                <w:b w:val="false"/>
                <w:color w:val="000000"/>
                <w:sz w:val="24"/>
              </w:rPr>
              <w:t>200%</w:t>
            </w:r>
          </w:p>
        </w:tc>
      </w:tr>
    </w:tbl>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4"/>
        </w:rPr>
      </w:pPr>
      <w:r>
        <w:rPr>
          <w:rFonts w:ascii="Arial;sans-serif" w:hAnsi="Arial;sans-serif"/>
          <w:b w:val="false"/>
          <w:color w:val="000000"/>
          <w:sz w:val="24"/>
        </w:rPr>
        <w:t xml:space="preserve">All unearned Performance Share Units that are outstanding as of the date immediately following the last day of the Performance Period shall be forfeited and cancelled for no consideration if they do not become earned as set forth above. </w:t>
      </w:r>
    </w:p>
    <w:p>
      <w:pPr>
        <w:pStyle w:val="TextBody"/>
        <w:bidi w:val="0"/>
        <w:spacing w:lineRule="auto" w:line="288" w:before="0" w:after="0"/>
        <w:jc w:val="both"/>
        <w:rPr/>
      </w:pPr>
      <w:r>
        <w:rPr>
          <w:rFonts w:ascii="Arial;sans-serif" w:hAnsi="Arial;sans-serif"/>
          <w:b w:val="false"/>
          <w:color w:val="000000"/>
          <w:sz w:val="24"/>
          <w:u w:val="single"/>
        </w:rPr>
        <w:t>Vesting of Performance Share Units</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earned Performance Share Units will vest upon the third anniversary of the Grant Date provided that you remain an Employee through such date, except as otherwise provided in Section 3 of the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Determination of TSR</w:t>
      </w:r>
    </w:p>
    <w:p>
      <w:pPr>
        <w:pStyle w:val="TextBody"/>
        <w:bidi w:val="0"/>
        <w:spacing w:before="0" w:after="2"/>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TSR for each Peer Group Member for the Performance Period is determined as follows:</w:t>
      </w:r>
    </w:p>
    <w:p>
      <w:pPr>
        <w:pStyle w:val="TextBody"/>
        <w:bidi w:val="0"/>
        <w:spacing w:before="0" w:after="0"/>
        <w:jc w:val="both"/>
        <w:rPr/>
      </w:pPr>
      <w:r>
        <w:rPr/>
      </w:r>
    </w:p>
    <w:p>
      <w:pPr>
        <w:pStyle w:val="TextBody"/>
        <w:bidi w:val="0"/>
        <w:spacing w:lineRule="auto" w:line="288" w:before="0" w:after="20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TSR = [(EP + CD)/BP)] - 1, where: </w:t>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Ending Price (EP) – equals the relevant company or index’s Fourth Quarter VWAP for the quarter ending on December 31, 20__. In the event that a Change of Control occurs during the Performance Period, the Ending Price of the Company shall be determined by the Committee.</w:t>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Beginning Price (BP) – equals the relevant company or index’s Fourth Quarter VWAP for the quarter ending on December 31, 20__.</w:t>
      </w:r>
    </w:p>
    <w:p>
      <w:pPr>
        <w:pStyle w:val="TextBody"/>
        <w:bidi w:val="0"/>
        <w:spacing w:lineRule="auto" w:line="288" w:before="0" w:after="200"/>
        <w:jc w:val="both"/>
        <w:rPr/>
      </w:pPr>
      <w:r>
        <w:rPr>
          <w:rFonts w:ascii="Arial;sans-serif" w:hAnsi="Arial;sans-serif"/>
          <w:b w:val="false"/>
          <w:color w:val="000000"/>
          <w:sz w:val="24"/>
        </w:rPr>
        <w:t>Cash Dividends (CD) – equals the total of all cash dividends paid on a share of the relevant company or index’s common stock during the Performance Period.</w:t>
      </w:r>
      <w:r>
        <w:rPr>
          <w:color w:val="000000"/>
        </w:rPr>
        <w:t xml:space="preserve"> </w:t>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 xml:space="preserve">For the avoidance of doubt, the TSR calculation for Peer Group Members that are indices will be based on the composite index return for such index. </w:t>
      </w:r>
    </w:p>
    <w:p>
      <w:pPr>
        <w:pStyle w:val="TextBody"/>
        <w:bidi w:val="0"/>
        <w:spacing w:before="0" w:after="20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As used herein, “Fourth Quarter VWAP” means, as of any date of determination, the volume-weighted average price of a share of the relevant company’s common stock or index’s composite index return as displayed under the heading “Bloomberg VWAP” on Bloomberg page for the relevant company or index for the Trading Days occurring during the fourth quarter of the applicable calendar year (or if such volume-weighted average price is unavailable, the market value of a share of relevant company’s common stock or index’s composite index return during such period, determined using a volume-weighted average method by a nationally recognized independent investment banking firm retained for this purpose by the Company).</w:t>
      </w:r>
    </w:p>
    <w:p>
      <w:pPr>
        <w:pStyle w:val="TextBody"/>
        <w:bidi w:val="0"/>
        <w:spacing w:before="0" w:after="2"/>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As used herein, “Trading Day” means a day on which (a) trading in the relevant company or index’s common stock generally occurs on the principal securities exchange or other market on which the relevant company or index’s common stock is then traded; and (b) a Fourth Quarter VWAP for the relevant company or index’s common stock is available on such securities exchange or market.</w:t>
      </w:r>
    </w:p>
    <w:p>
      <w:pPr>
        <w:pStyle w:val="TextBody"/>
        <w:bidi w:val="0"/>
        <w:spacing w:before="0" w:after="0"/>
        <w:jc w:val="both"/>
        <w:rPr/>
      </w:pPr>
      <w:r>
        <w:rPr/>
      </w:r>
    </w:p>
    <w:p>
      <w:pPr>
        <w:pStyle w:val="TextBody"/>
        <w:bidi w:val="0"/>
        <w:spacing w:lineRule="auto" w:line="288" w:before="0" w:after="600"/>
        <w:jc w:val="both"/>
        <w:rPr/>
      </w:pPr>
      <w:r>
        <w:rPr>
          <w:rFonts w:ascii="Arial;sans-serif" w:hAnsi="Arial;sans-serif"/>
          <w:b/>
          <w:color w:val="000000"/>
          <w:sz w:val="24"/>
        </w:rPr>
        <w:t>Acceptance</w:t>
      </w:r>
      <w:r>
        <w:rPr>
          <w:rFonts w:ascii="Arial;sans-serif" w:hAnsi="Arial;sans-serif"/>
          <w:b w:val="false"/>
          <w:color w:val="000000"/>
          <w:sz w:val="24"/>
        </w:rPr>
        <w:t>. You are required to accept the terms and conditions set forth in this Notice, the Agreement and the 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tbl>
      <w:tblPr>
        <w:tblW w:w="4078" w:type="dxa"/>
        <w:jc w:val="left"/>
        <w:tblInd w:w="0" w:type="dxa"/>
        <w:tblLayout w:type="fixed"/>
        <w:tblCellMar>
          <w:top w:w="28" w:type="dxa"/>
          <w:left w:w="28" w:type="dxa"/>
          <w:bottom w:w="28" w:type="dxa"/>
          <w:right w:w="28" w:type="dxa"/>
        </w:tblCellMar>
      </w:tblPr>
      <w:tblGrid>
        <w:gridCol w:w="1119"/>
        <w:gridCol w:w="984"/>
        <w:gridCol w:w="987"/>
        <w:gridCol w:w="109"/>
        <w:gridCol w:w="109"/>
        <w:gridCol w:w="109"/>
        <w:gridCol w:w="193"/>
        <w:gridCol w:w="193"/>
        <w:gridCol w:w="275"/>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Expand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Date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4"/>
        </w:rPr>
      </w:pPr>
      <w:r>
        <w:rPr>
          <w:rFonts w:ascii="Arial;sans-serif" w:hAnsi="Arial;sans-serif"/>
          <w:b/>
          <w:color w:val="000000"/>
          <w:sz w:val="24"/>
        </w:rPr>
        <w:t>Exhibit A</w:t>
      </w:r>
    </w:p>
    <w:p>
      <w:pPr>
        <w:pStyle w:val="TextBody"/>
        <w:bidi w:val="0"/>
        <w:spacing w:lineRule="auto" w:line="288" w:before="0" w:after="200"/>
        <w:jc w:val="left"/>
        <w:rPr>
          <w:rFonts w:ascii="Arial;sans-serif" w:hAnsi="Arial;sans-serif"/>
          <w:b/>
          <w:color w:val="000000"/>
          <w:sz w:val="24"/>
          <w:u w:val="single"/>
        </w:rPr>
      </w:pPr>
      <w:r>
        <w:rPr>
          <w:rFonts w:ascii="Arial;sans-serif" w:hAnsi="Arial;sans-serif"/>
          <w:b/>
          <w:color w:val="000000"/>
          <w:sz w:val="24"/>
          <w:u w:val="single"/>
        </w:rPr>
        <w:t>Peer Group</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4"/>
          <w:u w:val="single"/>
        </w:rPr>
      </w:pPr>
      <w:r>
        <w:rPr>
          <w:rFonts w:ascii="Arial;sans-serif" w:hAnsi="Arial;sans-serif"/>
          <w:b/>
          <w:color w:val="000000"/>
          <w:sz w:val="24"/>
          <w:u w:val="single"/>
        </w:rPr>
        <w:t>Replacement List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
        <w:jc w:val="both"/>
        <w:rPr>
          <w:rFonts w:ascii="Arial;sans-serif" w:hAnsi="Arial;sans-serif"/>
          <w:b w:val="false"/>
          <w:color w:val="000000"/>
          <w:sz w:val="24"/>
        </w:rPr>
      </w:pPr>
      <w:r>
        <w:rPr>
          <w:rFonts w:ascii="Arial;sans-serif" w:hAnsi="Arial;sans-serif"/>
          <w:b w:val="false"/>
          <w:color w:val="000000"/>
          <w:sz w:val="24"/>
        </w:rPr>
        <w:t>If, during the first 18 months of the Performance Period, any Peer Group Member is acquired, then the first company or index on the replacement list, in accordance with the order in the table above, that remains publicly traded as of such date shall replace the Peer Group Member. Once the replacement list above is exhausted, the Board may determine additional replacement companies or indexes in its sole discretion.</w:t>
      </w:r>
    </w:p>
    <w:p>
      <w:pPr>
        <w:pStyle w:val="TextBody"/>
        <w:bidi w:val="0"/>
        <w:spacing w:before="0" w:after="2"/>
        <w:jc w:val="both"/>
        <w:rPr/>
      </w:pPr>
      <w:r>
        <w:rPr/>
      </w:r>
    </w:p>
    <w:p>
      <w:pPr>
        <w:pStyle w:val="TextBody"/>
        <w:bidi w:val="0"/>
        <w:spacing w:lineRule="auto" w:line="288" w:before="0" w:after="200"/>
        <w:jc w:val="both"/>
        <w:rPr>
          <w:rFonts w:ascii="Arial;sans-serif" w:hAnsi="Arial;sans-serif"/>
          <w:b w:val="false"/>
          <w:color w:val="000000"/>
          <w:sz w:val="24"/>
        </w:rPr>
      </w:pPr>
      <w:r>
        <w:rPr>
          <w:rFonts w:ascii="Arial;sans-serif" w:hAnsi="Arial;sans-serif"/>
          <w:b w:val="false"/>
          <w:color w:val="000000"/>
          <w:sz w:val="24"/>
        </w:rPr>
        <w:t>If, during the Performance Period, a Peer Group Member declares bankruptcy or is no longer publicly traded at the end of the Performance Period, the TSR of such Peer Group Member shall be deemed to be the lowest ranked TSR in the Peer Group (and, if multiple Peer Group Members are no longer publicly traded at the end of the Performance Period or declare bankruptcy during the Performance Period, such Peer Group Members shall be ranked in order of when such delisting or bankruptcy occurs, with earlier bankruptcies and de-listings ranking lower than later bankruptcies, and de-listings). If, during the last 18 months of the Performance Period, any Peer Group Member is involved in a merger or acquisition, then such Peer Group Member will move to the top or the bottom of the ranking, based on whether the applicable Peer Group Member’s TSR is greater or less than that for the Company, in each case measured as of the date of the announcement of such merger/acquisition.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31.1</w:t>
            </w:r>
          </w:p>
        </w:tc>
      </w:tr>
    </w:tbl>
    <w:p>
      <w:pPr>
        <w:pStyle w:val="TextBody"/>
        <w:bidi w:val="0"/>
        <w:spacing w:before="0" w:after="0"/>
        <w:jc w:val="right"/>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Domenic J. Dell'Osso, Jr., certify that: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Expand Energy Corporation;</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5158" w:type="dxa"/>
        <w:jc w:val="left"/>
        <w:tblInd w:w="0" w:type="dxa"/>
        <w:tblLayout w:type="fixed"/>
        <w:tblCellMar>
          <w:top w:w="28" w:type="dxa"/>
          <w:left w:w="28" w:type="dxa"/>
          <w:bottom w:w="28" w:type="dxa"/>
          <w:right w:w="28" w:type="dxa"/>
        </w:tblCellMar>
      </w:tblPr>
      <w:tblGrid>
        <w:gridCol w:w="478"/>
        <w:gridCol w:w="418"/>
        <w:gridCol w:w="423"/>
        <w:gridCol w:w="134"/>
        <w:gridCol w:w="134"/>
        <w:gridCol w:w="136"/>
        <w:gridCol w:w="1006"/>
        <w:gridCol w:w="1006"/>
        <w:gridCol w:w="1423"/>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DOMENIC J. DELL'OSSO, JR.</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Domenic J. Dell'Osso, Jr.</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31.2</w:t>
            </w:r>
          </w:p>
        </w:tc>
      </w:tr>
    </w:tbl>
    <w:p>
      <w:pPr>
        <w:pStyle w:val="TextBody"/>
        <w:bidi w:val="0"/>
        <w:spacing w:before="0" w:after="0"/>
        <w:jc w:val="righ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Mohit Singh, certify that: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Expand Energy Corporation;</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448" w:type="dxa"/>
        <w:jc w:val="left"/>
        <w:tblInd w:w="0" w:type="dxa"/>
        <w:tblLayout w:type="fixed"/>
        <w:tblCellMar>
          <w:top w:w="28" w:type="dxa"/>
          <w:left w:w="28" w:type="dxa"/>
          <w:bottom w:w="28" w:type="dxa"/>
          <w:right w:w="28" w:type="dxa"/>
        </w:tblCellMar>
      </w:tblPr>
      <w:tblGrid>
        <w:gridCol w:w="478"/>
        <w:gridCol w:w="418"/>
        <w:gridCol w:w="423"/>
        <w:gridCol w:w="134"/>
        <w:gridCol w:w="134"/>
        <w:gridCol w:w="136"/>
        <w:gridCol w:w="1382"/>
        <w:gridCol w:w="1382"/>
        <w:gridCol w:w="1961"/>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MOHIT SINGH</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Mohit Singh</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i/>
                <w:color w:val="000000"/>
                <w:sz w:val="20"/>
              </w:rPr>
              <w:t>Executive</w:t>
            </w:r>
            <w:r>
              <w:rPr>
                <w:color w:val="000000"/>
              </w:rPr>
              <w:t xml:space="preserve"> </w:t>
            </w:r>
            <w:r>
              <w:rPr>
                <w:rFonts w:ascii="Arial;sans-serif" w:hAnsi="Arial;sans-serif"/>
                <w:b w:val="false"/>
                <w:i/>
                <w:color w:val="000000"/>
                <w:sz w:val="20"/>
              </w:rPr>
              <w:t>Vice</w:t>
            </w:r>
            <w:r>
              <w:rPr>
                <w:color w:val="000000"/>
              </w:rPr>
              <w:t xml:space="preserve"> </w:t>
            </w:r>
            <w:r>
              <w:rPr>
                <w:rFonts w:ascii="Arial;sans-serif" w:hAnsi="Arial;sans-serif"/>
                <w:b w:val="false"/>
                <w:i/>
                <w:color w:val="000000"/>
                <w:sz w:val="20"/>
              </w:rPr>
              <w:t>President</w:t>
            </w:r>
            <w:r>
              <w:rPr>
                <w:color w:val="000000"/>
              </w:rPr>
              <w:t xml:space="preserve"> </w:t>
            </w:r>
            <w:r>
              <w:rPr>
                <w:rFonts w:ascii="Arial;sans-serif" w:hAnsi="Arial;sans-serif"/>
                <w:b w:val="false"/>
                <w:i/>
                <w:color w:val="000000"/>
                <w:sz w:val="20"/>
              </w:rPr>
              <w:t>and</w:t>
            </w:r>
            <w:r>
              <w:rPr>
                <w:color w:val="000000"/>
              </w:rPr>
              <w:t xml:space="preserve"> </w:t>
            </w:r>
            <w:r>
              <w:rPr>
                <w:rFonts w:ascii="Arial;sans-serif" w:hAnsi="Arial;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32.1</w:t>
            </w:r>
          </w:p>
        </w:tc>
      </w:tr>
    </w:tbl>
    <w:p>
      <w:pPr>
        <w:pStyle w:val="TextBody"/>
        <w:bidi w:val="0"/>
        <w:spacing w:before="0" w:after="0"/>
        <w:jc w:val="righ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Expand Energy Corporation (the “Company”) on Form 10-Q for the quarterly period ended March 31, 2025 as filed with the Securities and Exchange Commission on the date hereof (the “Report”), I, Domenic J. Dell'Osso, Jr., President and Chief Executive Officer of the Company, certify, pursuant to 18 U.S.C. § 1350, as adopted pursuant to § 906 of the Sarbanes-Oxley Act of 2002, that:</w:t>
      </w:r>
    </w:p>
    <w:p>
      <w:pPr>
        <w:pStyle w:val="TextBody"/>
        <w:bidi w:val="0"/>
        <w:spacing w:lineRule="auto" w:line="288" w:before="360" w:after="283"/>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00"/>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158" w:type="dxa"/>
        <w:jc w:val="left"/>
        <w:tblInd w:w="0" w:type="dxa"/>
        <w:tblLayout w:type="fixed"/>
        <w:tblCellMar>
          <w:top w:w="28" w:type="dxa"/>
          <w:left w:w="28" w:type="dxa"/>
          <w:bottom w:w="28" w:type="dxa"/>
          <w:right w:w="28" w:type="dxa"/>
        </w:tblCellMar>
      </w:tblPr>
      <w:tblGrid>
        <w:gridCol w:w="478"/>
        <w:gridCol w:w="418"/>
        <w:gridCol w:w="423"/>
        <w:gridCol w:w="134"/>
        <w:gridCol w:w="134"/>
        <w:gridCol w:w="136"/>
        <w:gridCol w:w="1006"/>
        <w:gridCol w:w="1006"/>
        <w:gridCol w:w="1423"/>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DOMENIC J. DELL'OSSO, JR.</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Domenic J. Dell'Osso, Jr.</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32.2</w:t>
            </w:r>
          </w:p>
        </w:tc>
      </w:tr>
    </w:tbl>
    <w:p>
      <w:pPr>
        <w:pStyle w:val="TextBody"/>
        <w:bidi w:val="0"/>
        <w:spacing w:before="0" w:after="0"/>
        <w:jc w:val="righ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Expand Energy Corporation (the “Company”) on Form 10-Q for the quarterly period ended March 31, 2025 as filed with the Securities and Exchange Commission on the date hereof (the “Report”), I, Mohit Singh, Executive Vice President and Chief Financial Officer of the Company, certify, pursuant to 18 U.S.C. § 1350, as adopted pursuant to § 906 of the Sarbanes-Oxley Act of 2002, that:</w:t>
      </w:r>
    </w:p>
    <w:p>
      <w:pPr>
        <w:pStyle w:val="TextBody"/>
        <w:bidi w:val="0"/>
        <w:spacing w:lineRule="auto" w:line="288" w:before="360" w:after="283"/>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00"/>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448" w:type="dxa"/>
        <w:jc w:val="left"/>
        <w:tblInd w:w="0" w:type="dxa"/>
        <w:tblLayout w:type="fixed"/>
        <w:tblCellMar>
          <w:top w:w="28" w:type="dxa"/>
          <w:left w:w="28" w:type="dxa"/>
          <w:bottom w:w="28" w:type="dxa"/>
          <w:right w:w="28" w:type="dxa"/>
        </w:tblCellMar>
      </w:tblPr>
      <w:tblGrid>
        <w:gridCol w:w="478"/>
        <w:gridCol w:w="418"/>
        <w:gridCol w:w="423"/>
        <w:gridCol w:w="134"/>
        <w:gridCol w:w="134"/>
        <w:gridCol w:w="136"/>
        <w:gridCol w:w="1382"/>
        <w:gridCol w:w="1382"/>
        <w:gridCol w:w="1961"/>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MOHIT SINGH</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Mohit Singh</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i/>
                <w:color w:val="000000"/>
                <w:sz w:val="20"/>
              </w:rPr>
              <w:t>Executive</w:t>
            </w:r>
            <w:r>
              <w:rPr>
                <w:color w:val="000000"/>
              </w:rPr>
              <w:t xml:space="preserve"> </w:t>
            </w:r>
            <w:r>
              <w:rPr>
                <w:rFonts w:ascii="Arial;sans-serif" w:hAnsi="Arial;sans-serif"/>
                <w:b w:val="false"/>
                <w:i/>
                <w:color w:val="000000"/>
                <w:sz w:val="20"/>
              </w:rPr>
              <w:t>Vice</w:t>
            </w:r>
            <w:r>
              <w:rPr>
                <w:color w:val="000000"/>
              </w:rPr>
              <w:t xml:space="preserve"> </w:t>
            </w:r>
            <w:r>
              <w:rPr>
                <w:rFonts w:ascii="Arial;sans-serif" w:hAnsi="Arial;sans-serif"/>
                <w:b w:val="false"/>
                <w:i/>
                <w:color w:val="000000"/>
                <w:sz w:val="20"/>
              </w:rPr>
              <w:t>President</w:t>
            </w:r>
            <w:r>
              <w:rPr>
                <w:color w:val="000000"/>
              </w:rPr>
              <w:t xml:space="preserve"> </w:t>
            </w:r>
            <w:r>
              <w:rPr>
                <w:rFonts w:ascii="Arial;sans-serif" w:hAnsi="Arial;sans-serif"/>
                <w:b w:val="false"/>
                <w:i/>
                <w:color w:val="000000"/>
                <w:sz w:val="20"/>
              </w:rPr>
              <w:t>and</w:t>
            </w:r>
            <w:r>
              <w:rPr>
                <w:color w:val="000000"/>
              </w:rPr>
              <w:t xml:space="preserve"> </w:t>
            </w:r>
            <w:r>
              <w:rPr>
                <w:rFonts w:ascii="Arial;sans-serif" w:hAnsi="Arial;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95.1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Mine Safety Disclosures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Section 1503(a) of the Dodd-Frank Wall Street Reform and Consumer Protection Act (the "Act") and Item 104 of Regulation S-K (17 CFR 229.104) require certain disclosures by companies required to file periodic reports under the Securities Exchange Act of 1934, as amended, that operate mines regulated under the Federal Mine Safety and Health Act of 1977 (as amended by the Mine Improvement and New Emergency Response Act of 2006, the "Mine Act").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Geaux Prop LLC ("Geaux Prop") is a wholly owned indirect subsidiary of Expand Energy Corporation ("Expand Energy"). Between March 15, 2024 and October 31, 2024, Geaux Prop acquired surface and sand rights on approximately 700 acres in Red River Parish, Louisiana to construct and operate an in-field sand mine to support Expand Energy's exploration and development activities. Geaux Prop began operating the mine in January 2025 and is subject to regulation by the federal Mine Safety and Health Administration ("MSHA") under the Mine Act. MSHA inspects mining facilities on a regular basis and issues citations and orders when it believes a violation of the Mine Act has occurred.</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MSHA, upon determination that a violation of the Mine Act has occurred, may issue a citation or an order which generally proposes civil penalties or fines upon the mine operator. Citations and orders may be appealed with the potential of reduced or dismissed penalties.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table below reflects citations, orders, violations and proposed assessments issued to Geaux Prop by MSHA during the three-month period ended March 31, 2025. Due to timing and other factors, the data may not agree with the mine data retrieval systems maintained by MSHA at www.MSHA.gov.</w:t>
      </w:r>
    </w:p>
    <w:tbl>
      <w:tblPr>
        <w:tblW w:w="10205" w:type="dxa"/>
        <w:jc w:val="left"/>
        <w:tblInd w:w="0" w:type="dxa"/>
        <w:tblLayout w:type="fixed"/>
        <w:tblCellMar>
          <w:top w:w="28" w:type="dxa"/>
          <w:left w:w="28" w:type="dxa"/>
          <w:bottom w:w="28" w:type="dxa"/>
          <w:right w:w="28" w:type="dxa"/>
        </w:tblCellMar>
      </w:tblPr>
      <w:tblGrid>
        <w:gridCol w:w="2702"/>
        <w:gridCol w:w="2319"/>
        <w:gridCol w:w="2334"/>
        <w:gridCol w:w="109"/>
        <w:gridCol w:w="109"/>
        <w:gridCol w:w="109"/>
        <w:gridCol w:w="628"/>
        <w:gridCol w:w="1433"/>
        <w:gridCol w:w="462"/>
      </w:tblGrid>
      <w:tr>
        <w:trPr/>
        <w:tc>
          <w:tcPr>
            <w:tcW w:w="270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Geaux Prop Sand Mine 16-01618</w:t>
            </w:r>
          </w:p>
        </w:tc>
      </w:tr>
      <w:tr>
        <w:trPr/>
        <w:tc>
          <w:tcPr>
            <w:tcW w:w="7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104 significant and substantial violations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104(b)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104(d) citations and orders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110(b)(2) violations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107(a) orders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dollar value of MSHA proposed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mining related fatalities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Received notice of pattern of violations under section 104(e)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r>
      <w:tr>
        <w:trPr/>
        <w:tc>
          <w:tcPr>
            <w:tcW w:w="7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Received notice of potential to have such pattern under section 104(e)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actions pending before the Federal Mine Safety and Health Review Commission as of last day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actions instituted during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actions resolved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both"/>
        <w:rPr/>
      </w:pPr>
      <w:r>
        <w:rPr/>
      </w:r>
    </w:p>
    <w:p>
      <w:pPr>
        <w:pStyle w:val="TextBody"/>
        <w:bidi w:val="0"/>
        <w:spacing w:before="180" w:after="283"/>
        <w:ind w:left="0" w:right="0" w:hanging="450"/>
        <w:jc w:val="both"/>
        <w:rPr/>
      </w:pPr>
      <w:r>
        <w:rPr/>
      </w:r>
    </w:p>
    <w:p>
      <w:pPr>
        <w:pStyle w:val="TextBody"/>
        <w:bidi w:val="0"/>
        <w:spacing w:before="180" w:after="283"/>
        <w:ind w:left="0" w:right="0" w:firstLine="45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95126/000089512625000021/exe-20241231.htm" TargetMode="External"/><Relationship Id="rId4" Type="http://schemas.openxmlformats.org/officeDocument/2006/relationships/hyperlink" Target="https://www.sec.gov/Archives/edgar/data/895126/000089512625000021/exe-20241231.htm" TargetMode="External"/><Relationship Id="rId5" Type="http://schemas.openxmlformats.org/officeDocument/2006/relationships/hyperlink" Target="https://www.sec.gov/Archives/edgar/data/895126/000089512625000021/exe-20241231.htm" TargetMode="External"/><Relationship Id="rId6" Type="http://schemas.openxmlformats.org/officeDocument/2006/relationships/hyperlink" Target="https://www.sec.gov/Archives/edgar/data/895126/000089512625000021/exe-20241231.htm" TargetMode="External"/><Relationship Id="rId7" Type="http://schemas.openxmlformats.org/officeDocument/2006/relationships/hyperlink" Target="https://www.sec.gov/Archives/edgar/data/895126/000089512625000021/exe-20241231.htm" TargetMode="External"/><Relationship Id="rId8" Type="http://schemas.openxmlformats.org/officeDocument/2006/relationships/hyperlink" Target="https://www.sec.gov/Archives/edgar/data/0000895126/000089512621000016/ex212021-01x16confirmation.htm" TargetMode="External"/><Relationship Id="rId9" Type="http://schemas.openxmlformats.org/officeDocument/2006/relationships/hyperlink" Target="https://www.sec.gov/Archives/edgar/data/895126/000110465924003344/tm243107d1_ex2-1.htm" TargetMode="External"/><Relationship Id="rId10" Type="http://schemas.openxmlformats.org/officeDocument/2006/relationships/hyperlink" Target="https://www.sec.gov/Archives/edgar/data/895126/000110465924104976/tm2425151d1_ex3-1.htm" TargetMode="External"/><Relationship Id="rId11" Type="http://schemas.openxmlformats.org/officeDocument/2006/relationships/hyperlink" Target="https://www.sec.gov/Archives/edgar/data/895126/000110465924104976/tm2425151d1_ex3-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30786</Words>
  <Characters>167126</Characters>
  <CharactersWithSpaces>196625</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