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5334d5_8k.htm"/>
      <w:bookmarkStart w:id="1" w:name="kstm2625334d5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B_edei--DocumentType_c20260917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September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7172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1725"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8_edei--EntityRegistrantName_c2026"/>
      <w:bookmarkEnd w:id="4"/>
      <w:r>
        <w:rPr>
          <w:rFonts w:ascii="Times New Roman;Times;Serif" w:hAnsi="Times New Roman;Times;Serif"/>
          <w:b/>
          <w:i w:val="false"/>
          <w:caps w:val="false"/>
          <w:smallCaps w:val="false"/>
          <w:sz w:val="36"/>
        </w:rPr>
        <w:t>EXPAND ENERGY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125" w:type="dxa"/>
        <w:jc w:val="left"/>
        <w:tblInd w:w="0" w:type="dxa"/>
        <w:tblLayout w:type="fixed"/>
        <w:tblCellMar>
          <w:top w:w="0" w:type="dxa"/>
          <w:left w:w="0" w:type="dxa"/>
          <w:bottom w:w="0" w:type="dxa"/>
          <w:right w:w="0" w:type="dxa"/>
        </w:tblCellMar>
      </w:tblPr>
      <w:tblGrid>
        <w:gridCol w:w="2375"/>
        <w:gridCol w:w="60"/>
        <w:gridCol w:w="1850"/>
        <w:gridCol w:w="60"/>
        <w:gridCol w:w="2780"/>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6_edei--EntityIncorporationStateCo"/>
            <w:bookmarkEnd w:id="5"/>
            <w:r>
              <w:rPr>
                <w:rFonts w:ascii="Times New Roman;Times;Serif" w:hAnsi="Times New Roman;Times;Serif"/>
                <w:b/>
                <w:sz w:val="20"/>
              </w:rPr>
              <w:t>Oklahoma</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rFonts w:ascii="Times New Roman;Times;Serif" w:hAnsi="Times New Roman;Times;Serif"/>
                <w:b/>
                <w:sz w:val="20"/>
              </w:rPr>
            </w:pPr>
            <w:bookmarkStart w:id="6" w:name="xdx_90E_edei--EntityFileNumber_c20260917"/>
            <w:bookmarkEnd w:id="6"/>
            <w:r>
              <w:rPr>
                <w:rFonts w:ascii="Times New Roman;Times;Serif" w:hAnsi="Times New Roman;Times;Serif"/>
                <w:b/>
                <w:sz w:val="20"/>
              </w:rPr>
              <w:t>001-13726</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73-1395733</w:t>
            </w:r>
          </w:p>
        </w:tc>
      </w:tr>
      <w:tr>
        <w:trPr/>
        <w:tc>
          <w:tcPr>
            <w:tcW w:w="237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185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No.)</w:t>
            </w:r>
          </w:p>
        </w:tc>
        <w:tc>
          <w:tcPr>
            <w:tcW w:w="60" w:type="dxa"/>
            <w:tcBorders/>
            <w:vAlign w:val="center"/>
          </w:tcPr>
          <w:p>
            <w:pPr>
              <w:pStyle w:val="TableContents"/>
              <w:bidi w:val="0"/>
              <w:spacing w:before="0" w:after="283"/>
              <w:jc w:val="left"/>
              <w:rPr/>
            </w:pPr>
            <w:r>
              <w:rPr/>
              <w:t> </w:t>
            </w:r>
          </w:p>
        </w:tc>
        <w:tc>
          <w:tcPr>
            <w:tcW w:w="278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283"/>
        <w:jc w:val="left"/>
        <w:rPr/>
      </w:pPr>
      <w:r>
        <w:rPr/>
        <w:t> </w:t>
      </w:r>
    </w:p>
    <w:tbl>
      <w:tblPr>
        <w:tblW w:w="4193" w:type="dxa"/>
        <w:jc w:val="left"/>
        <w:tblInd w:w="0" w:type="dxa"/>
        <w:tblLayout w:type="fixed"/>
        <w:tblCellMar>
          <w:top w:w="0" w:type="dxa"/>
          <w:left w:w="0" w:type="dxa"/>
          <w:bottom w:w="28" w:type="dxa"/>
          <w:right w:w="0" w:type="dxa"/>
        </w:tblCellMar>
      </w:tblPr>
      <w:tblGrid>
        <w:gridCol w:w="1983"/>
        <w:gridCol w:w="648"/>
        <w:gridCol w:w="582"/>
        <w:gridCol w:w="60"/>
        <w:gridCol w:w="920"/>
      </w:tblGrid>
      <w:tr>
        <w:trPr/>
        <w:tc>
          <w:tcPr>
            <w:tcW w:w="1983" w:type="dxa"/>
            <w:tcBorders>
              <w:bottom w:val="single" w:sz="8" w:space="0" w:color="000000"/>
            </w:tcBorders>
            <w:vAlign w:val="center"/>
          </w:tcPr>
          <w:p>
            <w:pPr>
              <w:pStyle w:val="TableContents"/>
              <w:bidi w:val="0"/>
              <w:spacing w:before="0" w:after="283"/>
              <w:jc w:val="right"/>
              <w:rPr>
                <w:rFonts w:ascii="Times New Roman;Times;Serif" w:hAnsi="Times New Roman;Times;Serif"/>
                <w:b/>
                <w:sz w:val="20"/>
              </w:rPr>
            </w:pPr>
            <w:bookmarkStart w:id="8" w:name="xdx_906_edei--EntityAddressAddressLine1_"/>
            <w:bookmarkEnd w:id="8"/>
            <w:r>
              <w:rPr>
                <w:rFonts w:ascii="Times New Roman;Times;Serif" w:hAnsi="Times New Roman;Times;Serif"/>
                <w:b/>
                <w:sz w:val="20"/>
              </w:rPr>
              <w:t xml:space="preserve">10000 Energy Drive </w:t>
            </w:r>
          </w:p>
        </w:tc>
        <w:tc>
          <w:tcPr>
            <w:tcW w:w="648"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9" w:name="xdx_903_edei--EntityAddressCityOrTown_c2"/>
            <w:bookmarkEnd w:id="9"/>
            <w:r>
              <w:rPr>
                <w:rFonts w:ascii="Times New Roman;Times;Serif" w:hAnsi="Times New Roman;Times;Serif"/>
                <w:b/>
                <w:sz w:val="20"/>
              </w:rPr>
              <w:t>Spring</w:t>
            </w:r>
          </w:p>
        </w:tc>
        <w:tc>
          <w:tcPr>
            <w:tcW w:w="582"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bookmarkStart w:id="10" w:name="xdx_905_edei--EntityAddressStateOrProvin"/>
            <w:bookmarkEnd w:id="10"/>
            <w:r>
              <w:rPr>
                <w:rFonts w:ascii="Times New Roman;Times;Serif" w:hAnsi="Times New Roman;Times;Serif"/>
                <w:b/>
                <w:sz w:val="20"/>
              </w:rPr>
              <w:t>Texas</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3_edei--EntityAddressPostalZipCode"/>
            <w:bookmarkEnd w:id="11"/>
            <w:r>
              <w:rPr>
                <w:rFonts w:ascii="Times New Roman;Times;Serif" w:hAnsi="Times New Roman;Times;Serif"/>
                <w:b/>
                <w:sz w:val="20"/>
              </w:rPr>
              <w:t>77389</w:t>
            </w:r>
          </w:p>
        </w:tc>
      </w:tr>
      <w:tr>
        <w:trPr/>
        <w:tc>
          <w:tcPr>
            <w:tcW w:w="3213" w:type="dxa"/>
            <w:gridSpan w:val="3"/>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6_edei--CityAreaCode_c20260917__20"/>
      <w:bookmarkEnd w:id="12"/>
      <w:r>
        <w:rPr>
          <w:rFonts w:ascii="Times New Roman;Times;Serif" w:hAnsi="Times New Roman;Times;Serif"/>
          <w:b/>
          <w:i w:val="false"/>
          <w:caps w:val="false"/>
          <w:smallCaps w:val="false"/>
          <w:sz w:val="20"/>
        </w:rPr>
        <w:t xml:space="preserve">346) </w:t>
      </w:r>
      <w:bookmarkStart w:id="13" w:name="xdx_901_edei--LocalPhoneNumber_c20260917"/>
      <w:bookmarkEnd w:id="13"/>
      <w:r>
        <w:rPr>
          <w:rFonts w:ascii="Times New Roman;Times;Serif" w:hAnsi="Times New Roman;Times;Serif"/>
          <w:b/>
          <w:i w:val="false"/>
          <w:caps w:val="false"/>
          <w:smallCaps w:val="false"/>
          <w:sz w:val="20"/>
        </w:rPr>
        <w:t>535-0990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A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6_edei--SolicitingMaterial_c202609"/>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F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0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3410"/>
        <w:gridCol w:w="60"/>
        <w:gridCol w:w="1340"/>
        <w:gridCol w:w="60"/>
        <w:gridCol w:w="3590"/>
      </w:tblGrid>
      <w:tr>
        <w:trPr/>
        <w:tc>
          <w:tcPr>
            <w:tcW w:w="34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vAlign w:val="center"/>
          </w:tcPr>
          <w:p>
            <w:pPr>
              <w:pStyle w:val="TableContents"/>
              <w:bidi w:val="0"/>
              <w:spacing w:before="0" w:after="283"/>
              <w:jc w:val="center"/>
              <w:rPr/>
            </w:pPr>
            <w:r>
              <w:rPr/>
              <w:t> </w:t>
            </w:r>
          </w:p>
        </w:tc>
        <w:tc>
          <w:tcPr>
            <w:tcW w:w="13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w:t>
            </w:r>
          </w:p>
        </w:tc>
        <w:tc>
          <w:tcPr>
            <w:tcW w:w="60" w:type="dxa"/>
            <w:tcBorders/>
            <w:vAlign w:val="center"/>
          </w:tcPr>
          <w:p>
            <w:pPr>
              <w:pStyle w:val="TableContents"/>
              <w:bidi w:val="0"/>
              <w:spacing w:before="0" w:after="283"/>
              <w:jc w:val="center"/>
              <w:rPr/>
            </w:pPr>
            <w:r>
              <w:rPr/>
              <w:t> </w:t>
            </w:r>
          </w:p>
        </w:tc>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41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bookmarkStart w:id="18" w:name="xdx_90F_edei--Security12bTitle_c20260917"/>
            <w:bookmarkEnd w:id="18"/>
            <w:r>
              <w:rPr>
                <w:rFonts w:ascii="Times New Roman;Times;Serif" w:hAnsi="Times New Roman;Times;Serif"/>
                <w:sz w:val="20"/>
              </w:rPr>
              <w:t>Common Stock, $0.01 par value per share</w:t>
            </w:r>
          </w:p>
        </w:tc>
        <w:tc>
          <w:tcPr>
            <w:tcW w:w="60" w:type="dxa"/>
            <w:tcBorders/>
            <w:vAlign w:val="center"/>
          </w:tcPr>
          <w:p>
            <w:pPr>
              <w:pStyle w:val="TableContents"/>
              <w:bidi w:val="0"/>
              <w:spacing w:before="0" w:after="283"/>
              <w:jc w:val="center"/>
              <w:rPr/>
            </w:pPr>
            <w:r>
              <w:rPr/>
              <w:t> </w:t>
            </w:r>
          </w:p>
        </w:tc>
        <w:tc>
          <w:tcPr>
            <w:tcW w:w="134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19" w:name="xdx_909_edei--TradingSymbol_c20260917__2"/>
            <w:bookmarkEnd w:id="19"/>
            <w:r>
              <w:rPr>
                <w:rFonts w:ascii="Times New Roman;Times;Serif" w:hAnsi="Times New Roman;Times;Serif"/>
                <w:sz w:val="20"/>
              </w:rPr>
              <w:t>EXE</w:t>
            </w:r>
          </w:p>
        </w:tc>
        <w:tc>
          <w:tcPr>
            <w:tcW w:w="60" w:type="dxa"/>
            <w:tcBorders/>
            <w:vAlign w:val="center"/>
          </w:tcPr>
          <w:p>
            <w:pPr>
              <w:pStyle w:val="TableContents"/>
              <w:bidi w:val="0"/>
              <w:spacing w:before="0" w:after="283"/>
              <w:jc w:val="center"/>
              <w:rPr/>
            </w:pPr>
            <w:r>
              <w:rPr/>
              <w:t> </w:t>
            </w:r>
          </w:p>
        </w:tc>
        <w:tc>
          <w:tcPr>
            <w:tcW w:w="359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20" w:name="xdx_904_edei--SecurityExchangeName_c2026"/>
            <w:bookmarkEnd w:id="20"/>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vAlign w:val="center"/>
          </w:tcPr>
          <w:p>
            <w:pPr>
              <w:pStyle w:val="TableContents"/>
              <w:bidi w:val="0"/>
              <w:spacing w:before="0" w:after="283"/>
              <w:jc w:val="both"/>
              <w:rPr>
                <w:sz w:val="20"/>
              </w:rPr>
            </w:pPr>
            <w:r>
              <w:rPr>
                <w:sz w:val="20"/>
              </w:rPr>
              <w:t>Indicate by check mark whether the registrant is an emerging growth company as defined in Rule 405 of the Securities Act of 1933 (17 CFR § 230.405) or Rule 12b-2 of the Securities Exchange Act of 1934 (17 CFR § 240.12b-2).</w:t>
            </w:r>
          </w:p>
        </w:tc>
        <w:tc>
          <w:tcPr>
            <w:tcW w:w="245" w:type="dxa"/>
            <w:tcBorders/>
            <w:vAlign w:val="center"/>
          </w:tcPr>
          <w:p>
            <w:pPr>
              <w:pStyle w:val="TableContents"/>
              <w:bidi w:val="0"/>
              <w:spacing w:before="0" w:after="283"/>
              <w:jc w:val="center"/>
              <w:rPr/>
            </w:pPr>
            <w:r>
              <w:rPr/>
              <w:t> </w:t>
            </w:r>
          </w:p>
        </w:tc>
      </w:tr>
      <w:tr>
        <w:trPr/>
        <w:tc>
          <w:tcPr>
            <w:tcW w:w="99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 </w:t>
            </w:r>
          </w:p>
        </w:tc>
      </w:tr>
      <w:tr>
        <w:trPr/>
        <w:tc>
          <w:tcPr>
            <w:tcW w:w="99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center"/>
              <w:rPr/>
            </w:pPr>
            <w:bookmarkStart w:id="21" w:name="xdx_903_edei--EntityEmergingGrowthCompan"/>
            <w:bookmarkEnd w:id="21"/>
            <w:r>
              <w:rPr/>
              <w:t>☐</w:t>
            </w:r>
          </w:p>
        </w:tc>
      </w:tr>
      <w:tr>
        <w:trPr/>
        <w:tc>
          <w:tcPr>
            <w:tcW w:w="996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center"/>
              <w:rPr/>
            </w:pPr>
            <w:r>
              <w:rPr/>
              <w:t> </w:t>
            </w:r>
          </w:p>
        </w:tc>
      </w:tr>
      <w:tr>
        <w:trPr/>
        <w:tc>
          <w:tcPr>
            <w:tcW w:w="9960" w:type="dxa"/>
            <w:tcBorders/>
            <w:vAlign w:val="center"/>
          </w:tcPr>
          <w:p>
            <w:pPr>
              <w:pStyle w:val="TableContents"/>
              <w:bidi w:val="0"/>
              <w:spacing w:before="0" w:after="283"/>
              <w:jc w:val="both"/>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245" w:type="dxa"/>
            <w:tcBorders/>
            <w:vAlign w:val="center"/>
          </w:tcPr>
          <w:p>
            <w:pPr>
              <w:pStyle w:val="TableContents"/>
              <w:bidi w:val="0"/>
              <w:spacing w:before="0" w:after="283"/>
              <w:jc w:val="center"/>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7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Expand Energy Corporation (the “Company”) completed its previously announced underwritten public offering (the “Notes Offering”) of $500,000,000 aggregate principal amount of its 5.650% Senior Notes due 2031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have been registered under the Securities Act of 1933, as amended (the “Act”), pursuant to a registration statement on Form S-3 (No. 333-283348), filed with the Securities and Exchange Commission (the “SEC”) and automatically effective on November 20, 2024 (the “Shelf Registration Statement”). The terms of the Notes are further described in the Company’s prospectus supplement dated September 15, 2026, as filed with the SEC under Rule 424(b)(2) of the Act on September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the Notes were issued pursuant to the Indenture (the “Base Indenture”), dated as of December 2, 2024, between the Company and Regions Bank (the “Trustee”), as trustee, as supplemented by the Second Supplemental Indenture, dated as of September 17, 2026 (the “Second Supplemental Indenture” and, together with the Base Indenture, the “Indenture”), between the Company and the Trustee, setting forth specific terms applicable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the Company’s senior unsecured obligations and rank equally in right to payment of the holders of the Company’s other current and future unsecured senior debt, including debt under the Company’s revolving credit facility and the Company’s existing senior notes, and senior in right of payment to any future subordinated debt that the Company may incur. The Notes are not guaranteed by any of the Company’s subsidiaries and are therefore structurally subordinated to any indebtedness incurred by any of the Company’s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optionally redeem the Notes, in whole or in part, at any time prior to August 15, 2031 (the “Par Call Date”), at a redemption price calculated in a manner set forth in the Indenture. On or after the Par Call Date, the Company may redeem the Notes, in whole or in part, at any time and from time to time, at a redemption price equal to 100% of the principal amount of the Notes being redeemed plus accrued and unpaid interest thereon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customary terms and covenants, including limitations on the Company’s ability and the ability of certain of its subsidiaries to incur liens securing funded indebtedness and on the Company’s ability to consolidate or merge with or into, or convey, transfer or lease all or substantially all of its properties and assets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Indenture does not purport to be complete and is qualified in its entirety by reference to the full text of the Base Indenture and the First Supplemental Indenture, which are set forth as Exhibits 4.1 and 4.2, respectively, hereto and are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0"/>
        <w:gridCol w:w="9395"/>
      </w:tblGrid>
      <w:tr>
        <w:trPr/>
        <w:tc>
          <w:tcPr>
            <w:tcW w:w="8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2.03</w:t>
            </w:r>
          </w:p>
        </w:tc>
        <w:tc>
          <w:tcPr>
            <w:tcW w:w="9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Creation of a Direct Financial Obligation or an Obligation under an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above with respect to the Notes is incorporated by reference into this Item 2.03.</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8.01</w:t>
            </w:r>
          </w:p>
        </w:tc>
        <w:tc>
          <w:tcPr>
            <w:tcW w:w="11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closing of the Notes Offering, the Company is filing the legal opinions of Kirkland &amp; Ellis LLP, regarding the enforceability of the Notes issued in the Notes Offering, and McAfee &amp; Taft A Professional Corporation, regarding the legality of the Notes issued in the Notes Offering, attached as Exhibits 5.1 and 5.2, respectively, hereto, to incorporate such opinions by reference into the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0"/>
        <w:gridCol w:w="60"/>
        <w:gridCol w:w="9465"/>
      </w:tblGrid>
      <w:tr>
        <w:trPr/>
        <w:tc>
          <w:tcPr>
            <w:tcW w:w="68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6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283"/>
              <w:jc w:val="left"/>
              <w:rPr/>
            </w:pPr>
            <w:r>
              <w:rPr/>
              <w:t> </w:t>
            </w:r>
          </w:p>
        </w:tc>
      </w:tr>
      <w:tr>
        <w:trPr/>
        <w:tc>
          <w:tcPr>
            <w:tcW w:w="680" w:type="dxa"/>
            <w:tcBorders/>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shd w:fill="FFFFFF" w:val="clear"/>
                </w:rPr>
                <w:t>4.1</w:t>
              </w:r>
            </w:hyperlink>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sz w:val="20"/>
                  <w:shd w:fill="FFFFFF" w:val="clear"/>
                </w:rPr>
                <w:t>Indenture, dated as of December 2, 2024, by and between Expand Energy Corporation and Regions Bank, as Trustee (incorporated by reference to Exhibit 4.1 to the Company’s Current Report on Form 8-K filed with the SEC on December 2, 2024).</w:t>
              </w:r>
            </w:hyperlink>
          </w:p>
        </w:tc>
      </w:tr>
      <w:tr>
        <w:trPr/>
        <w:tc>
          <w:tcPr>
            <w:tcW w:w="680" w:type="dxa"/>
            <w:tcBorders/>
            <w:tcMar>
              <w:bottom w:w="0" w:type="dxa"/>
            </w:tcMar>
            <w:vAlign w:val="center"/>
          </w:tcPr>
          <w:p>
            <w:pPr>
              <w:pStyle w:val="TableContents"/>
              <w:bidi w:val="0"/>
              <w:spacing w:before="0" w:after="283"/>
              <w:jc w:val="left"/>
              <w:rPr/>
            </w:pPr>
            <w:hyperlink w:anchor="tm2625334d5_ex4-2.htm">
              <w:r>
                <w:rPr>
                  <w:rStyle w:val="InternetLink"/>
                  <w:rFonts w:ascii="Times New Roman;Times;Serif" w:hAnsi="Times New Roman;Times;Serif"/>
                  <w:sz w:val="20"/>
                  <w:shd w:fill="FFFFFF" w:val="clear"/>
                </w:rPr>
                <w:t>4.2</w:t>
              </w:r>
            </w:hyperlink>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283"/>
              <w:jc w:val="both"/>
              <w:rPr/>
            </w:pPr>
            <w:hyperlink w:anchor="tm2625334d5_ex4-2.htm">
              <w:r>
                <w:rPr>
                  <w:rStyle w:val="InternetLink"/>
                  <w:rFonts w:ascii="Times New Roman;Times;Serif" w:hAnsi="Times New Roman;Times;Serif"/>
                  <w:sz w:val="20"/>
                  <w:shd w:fill="FFFFFF" w:val="clear"/>
                </w:rPr>
                <w:t>Second Supplemental Indenture, dated as of September 17, 2026, by and between Expand Energy Corporation and Regions Bank, as Trustee (including the form of the Notes).</w:t>
              </w:r>
            </w:hyperlink>
          </w:p>
        </w:tc>
      </w:tr>
      <w:tr>
        <w:trPr/>
        <w:tc>
          <w:tcPr>
            <w:tcW w:w="680" w:type="dxa"/>
            <w:tcBorders/>
            <w:tcMar>
              <w:bottom w:w="0" w:type="dxa"/>
            </w:tcMar>
            <w:vAlign w:val="center"/>
          </w:tcPr>
          <w:p>
            <w:pPr>
              <w:pStyle w:val="TableContents"/>
              <w:bidi w:val="0"/>
              <w:spacing w:before="0" w:after="283"/>
              <w:jc w:val="left"/>
              <w:rPr/>
            </w:pPr>
            <w:hyperlink w:anchor="tm2625334d5_ex5-1.htm">
              <w:r>
                <w:rPr>
                  <w:rStyle w:val="InternetLink"/>
                  <w:rFonts w:ascii="Times New Roman;Times;Serif" w:hAnsi="Times New Roman;Times;Serif"/>
                  <w:sz w:val="20"/>
                  <w:shd w:fill="FFFFFF" w:val="clear"/>
                </w:rPr>
                <w:t>5.1</w:t>
              </w:r>
            </w:hyperlink>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283"/>
              <w:jc w:val="left"/>
              <w:rPr/>
            </w:pPr>
            <w:hyperlink w:anchor="tm2625334d5_ex5-1.htm">
              <w:r>
                <w:rPr>
                  <w:rStyle w:val="InternetLink"/>
                  <w:rFonts w:ascii="Times New Roman;Times;Serif" w:hAnsi="Times New Roman;Times;Serif"/>
                  <w:sz w:val="20"/>
                  <w:shd w:fill="FFFFFF" w:val="clear"/>
                </w:rPr>
                <w:t>Opinion of Kirkland &amp; Ellis LLP regarding the enforceability of the Notes.</w:t>
              </w:r>
            </w:hyperlink>
          </w:p>
        </w:tc>
      </w:tr>
      <w:tr>
        <w:trPr/>
        <w:tc>
          <w:tcPr>
            <w:tcW w:w="680" w:type="dxa"/>
            <w:tcBorders/>
            <w:tcMar>
              <w:bottom w:w="0" w:type="dxa"/>
            </w:tcMar>
            <w:vAlign w:val="center"/>
          </w:tcPr>
          <w:p>
            <w:pPr>
              <w:pStyle w:val="TableContents"/>
              <w:bidi w:val="0"/>
              <w:spacing w:before="0" w:after="283"/>
              <w:jc w:val="left"/>
              <w:rPr/>
            </w:pPr>
            <w:hyperlink w:anchor="tm2625334d5_ex5-2.htm">
              <w:r>
                <w:rPr>
                  <w:rStyle w:val="InternetLink"/>
                  <w:rFonts w:ascii="Times New Roman;Times;Serif" w:hAnsi="Times New Roman;Times;Serif"/>
                  <w:sz w:val="20"/>
                  <w:shd w:fill="FFFFFF" w:val="clear"/>
                </w:rPr>
                <w:t>5.2</w:t>
              </w:r>
            </w:hyperlink>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283"/>
              <w:jc w:val="left"/>
              <w:rPr/>
            </w:pPr>
            <w:hyperlink w:anchor="tm2625334d5_ex5-2.htm">
              <w:r>
                <w:rPr>
                  <w:rStyle w:val="InternetLink"/>
                  <w:rFonts w:ascii="Times New Roman;Times;Serif" w:hAnsi="Times New Roman;Times;Serif"/>
                  <w:sz w:val="20"/>
                  <w:shd w:fill="FFFFFF" w:val="clear"/>
                </w:rPr>
                <w:t xml:space="preserve">Opinion of </w:t>
              </w:r>
            </w:hyperlink>
            <w:hyperlink w:anchor="tm2625334d5_ex5-2.htm">
              <w:r>
                <w:rPr>
                  <w:rStyle w:val="InternetLink"/>
                  <w:rFonts w:ascii="Times New Roman;Times;Serif" w:hAnsi="Times New Roman;Times;Serif"/>
                  <w:sz w:val="20"/>
                </w:rPr>
                <w:t xml:space="preserve">McAfee &amp; Taft A Professional Corporation </w:t>
              </w:r>
            </w:hyperlink>
            <w:hyperlink w:anchor="tm2625334d5_ex5-2.htm">
              <w:r>
                <w:rPr>
                  <w:rStyle w:val="InternetLink"/>
                  <w:rFonts w:ascii="Times New Roman;Times;Serif" w:hAnsi="Times New Roman;Times;Serif"/>
                  <w:sz w:val="20"/>
                  <w:shd w:fill="FFFFFF" w:val="clear"/>
                </w:rPr>
                <w:t>regarding the legality of the Notes.</w:t>
              </w:r>
            </w:hyperlink>
          </w:p>
        </w:tc>
      </w:tr>
      <w:tr>
        <w:trPr/>
        <w:tc>
          <w:tcPr>
            <w:tcW w:w="680" w:type="dxa"/>
            <w:tcBorders/>
            <w:tcMar>
              <w:bottom w:w="0" w:type="dxa"/>
            </w:tcMar>
            <w:vAlign w:val="center"/>
          </w:tcPr>
          <w:p>
            <w:pPr>
              <w:pStyle w:val="TableContents"/>
              <w:bidi w:val="0"/>
              <w:spacing w:before="0" w:after="283"/>
              <w:jc w:val="left"/>
              <w:rPr/>
            </w:pPr>
            <w:hyperlink w:anchor="tm2625334d5_ex5-1.htm">
              <w:r>
                <w:rPr>
                  <w:rStyle w:val="InternetLink"/>
                  <w:rFonts w:ascii="Times New Roman;Times;Serif" w:hAnsi="Times New Roman;Times;Serif"/>
                  <w:sz w:val="20"/>
                  <w:shd w:fill="FFFFFF" w:val="clear"/>
                </w:rPr>
                <w:t>23.1</w:t>
              </w:r>
            </w:hyperlink>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283"/>
              <w:jc w:val="left"/>
              <w:rPr/>
            </w:pPr>
            <w:hyperlink w:anchor="tm2625334d5_ex5-1.htm">
              <w:r>
                <w:rPr>
                  <w:rStyle w:val="InternetLink"/>
                  <w:rFonts w:ascii="Times New Roman;Times;Serif" w:hAnsi="Times New Roman;Times;Serif"/>
                  <w:sz w:val="20"/>
                  <w:shd w:fill="FFFFFF" w:val="clear"/>
                </w:rPr>
                <w:t>Consent of Kirkland &amp; Ellis LLP (included in Exhibit 5.1 hereto).</w:t>
              </w:r>
            </w:hyperlink>
          </w:p>
        </w:tc>
      </w:tr>
      <w:tr>
        <w:trPr/>
        <w:tc>
          <w:tcPr>
            <w:tcW w:w="680" w:type="dxa"/>
            <w:tcBorders/>
            <w:tcMar>
              <w:bottom w:w="0" w:type="dxa"/>
            </w:tcMar>
            <w:vAlign w:val="center"/>
          </w:tcPr>
          <w:p>
            <w:pPr>
              <w:pStyle w:val="TableContents"/>
              <w:bidi w:val="0"/>
              <w:spacing w:before="0" w:after="283"/>
              <w:jc w:val="left"/>
              <w:rPr/>
            </w:pPr>
            <w:hyperlink w:anchor="tm2625334d5_ex5-2.htm">
              <w:r>
                <w:rPr>
                  <w:rStyle w:val="InternetLink"/>
                  <w:rFonts w:ascii="Times New Roman;Times;Serif" w:hAnsi="Times New Roman;Times;Serif"/>
                  <w:sz w:val="20"/>
                  <w:shd w:fill="FFFFFF" w:val="clear"/>
                </w:rPr>
                <w:t>23.2</w:t>
              </w:r>
            </w:hyperlink>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283"/>
              <w:jc w:val="left"/>
              <w:rPr/>
            </w:pPr>
            <w:hyperlink w:anchor="tm2625334d5_ex5-2.htm">
              <w:r>
                <w:rPr>
                  <w:rStyle w:val="InternetLink"/>
                  <w:rFonts w:ascii="Times New Roman;Times;Serif" w:hAnsi="Times New Roman;Times;Serif"/>
                  <w:sz w:val="20"/>
                  <w:shd w:fill="FFFFFF" w:val="clear"/>
                </w:rPr>
                <w:t xml:space="preserve">Consent of </w:t>
              </w:r>
            </w:hyperlink>
            <w:hyperlink w:anchor="tm2625334d5_ex5-2.htm">
              <w:r>
                <w:rPr>
                  <w:rStyle w:val="InternetLink"/>
                  <w:rFonts w:ascii="Times New Roman;Times;Serif" w:hAnsi="Times New Roman;Times;Serif"/>
                  <w:sz w:val="20"/>
                </w:rPr>
                <w:t xml:space="preserve">McAfee &amp; Taft A Professional Corporation </w:t>
              </w:r>
            </w:hyperlink>
            <w:hyperlink w:anchor="tm2625334d5_ex5-2.htm">
              <w:r>
                <w:rPr>
                  <w:rStyle w:val="InternetLink"/>
                  <w:rFonts w:ascii="Times New Roman;Times;Serif" w:hAnsi="Times New Roman;Times;Serif"/>
                  <w:sz w:val="20"/>
                  <w:shd w:fill="FFFFFF" w:val="clear"/>
                </w:rPr>
                <w:t>(included in Exhibit 5.2 hereto).</w:t>
              </w:r>
            </w:hyperlink>
          </w:p>
        </w:tc>
      </w:tr>
      <w:tr>
        <w:trPr/>
        <w:tc>
          <w:tcPr>
            <w:tcW w:w="680" w:type="dxa"/>
            <w:tcBorders/>
            <w:tcMar>
              <w:bottom w:w="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104</w:t>
            </w:r>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800" w:type="dxa"/>
        <w:jc w:val="left"/>
        <w:tblInd w:w="0" w:type="dxa"/>
        <w:tblLayout w:type="fixed"/>
        <w:tblCellMar>
          <w:top w:w="0" w:type="dxa"/>
          <w:left w:w="0" w:type="dxa"/>
          <w:bottom w:w="0" w:type="dxa"/>
          <w:right w:w="0" w:type="dxa"/>
        </w:tblCellMar>
      </w:tblPr>
      <w:tblGrid>
        <w:gridCol w:w="470"/>
        <w:gridCol w:w="1640"/>
        <w:gridCol w:w="365"/>
        <w:gridCol w:w="4325"/>
      </w:tblGrid>
      <w:tr>
        <w:trPr/>
        <w:tc>
          <w:tcPr>
            <w:tcW w:w="2110" w:type="dxa"/>
            <w:gridSpan w:val="2"/>
            <w:tcBorders/>
            <w:vAlign w:val="center"/>
          </w:tcPr>
          <w:p>
            <w:pPr>
              <w:pStyle w:val="TableContents"/>
              <w:bidi w:val="0"/>
              <w:spacing w:before="0" w:after="283"/>
              <w:jc w:val="left"/>
              <w:rPr/>
            </w:pPr>
            <w:r>
              <w:rPr/>
              <w:t> </w:t>
            </w:r>
          </w:p>
        </w:tc>
        <w:tc>
          <w:tcPr>
            <w:tcW w:w="46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EXPAND ENERGY CORPORATION</w:t>
            </w:r>
          </w:p>
        </w:tc>
      </w:tr>
      <w:tr>
        <w:trPr/>
        <w:tc>
          <w:tcPr>
            <w:tcW w:w="2110" w:type="dxa"/>
            <w:gridSpan w:val="2"/>
            <w:tcBorders/>
            <w:vAlign w:val="center"/>
          </w:tcPr>
          <w:p>
            <w:pPr>
              <w:pStyle w:val="TableContents"/>
              <w:bidi w:val="0"/>
              <w:spacing w:before="0" w:after="283"/>
              <w:jc w:val="left"/>
              <w:rPr/>
            </w:pPr>
            <w:r>
              <w:rPr/>
              <w:t> </w:t>
            </w:r>
          </w:p>
        </w:tc>
        <w:tc>
          <w:tcPr>
            <w:tcW w:w="4690" w:type="dxa"/>
            <w:gridSpan w:val="2"/>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/s/Marcel Teunissen</w:t>
            </w:r>
          </w:p>
        </w:tc>
      </w:tr>
      <w:tr>
        <w:trPr/>
        <w:tc>
          <w:tcPr>
            <w:tcW w:w="2110"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Marcel Teunissen</w:t>
            </w:r>
          </w:p>
        </w:tc>
      </w:tr>
      <w:tr>
        <w:trPr/>
        <w:tc>
          <w:tcPr>
            <w:tcW w:w="2110"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2110" w:type="dxa"/>
            <w:gridSpan w:val="2"/>
            <w:tcBorders/>
            <w:vAlign w:val="center"/>
          </w:tcPr>
          <w:p>
            <w:pPr>
              <w:pStyle w:val="TableContents"/>
              <w:bidi w:val="0"/>
              <w:spacing w:before="0" w:after="283"/>
              <w:jc w:val="left"/>
              <w:rPr/>
            </w:pPr>
            <w:r>
              <w:rPr/>
              <w:t> </w:t>
            </w:r>
          </w:p>
        </w:tc>
        <w:tc>
          <w:tcPr>
            <w:tcW w:w="4690" w:type="dxa"/>
            <w:gridSpan w:val="2"/>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17, 2026</w:t>
            </w:r>
          </w:p>
        </w:tc>
        <w:tc>
          <w:tcPr>
            <w:tcW w:w="4690" w:type="dxa"/>
            <w:gridSpan w:val="2"/>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5334d5_ex4-2.htm"/>
      <w:bookmarkStart w:id="23" w:name="kstm2625334d5_ex42"/>
      <w:bookmarkEnd w:id="22"/>
      <w:bookmarkEnd w:id="23"/>
      <w:r>
        <w:rPr/>
        <w:t> </w:t>
      </w:r>
      <w:r>
        <w:br w:type="page"/>
      </w:r>
    </w:p>
    <w:p>
      <w:pPr>
        <w:pStyle w:val="TextBody"/>
        <w:bidi w:val="0"/>
        <w:jc w:val="right"/>
        <w:rPr>
          <w:b/>
        </w:rPr>
      </w:pPr>
      <w:r>
        <w:rPr>
          <w:b/>
        </w:rPr>
        <w:t>Exhibit 4.2</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EXPAND ENERGY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REGIONS BANK,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5.650% Senior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December 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7434" w:type="dxa"/>
        <w:jc w:val="left"/>
        <w:tblInd w:w="0" w:type="dxa"/>
        <w:tblLayout w:type="fixed"/>
        <w:tblCellMar>
          <w:top w:w="0" w:type="dxa"/>
          <w:left w:w="0" w:type="dxa"/>
          <w:bottom w:w="0" w:type="dxa"/>
          <w:right w:w="0" w:type="dxa"/>
        </w:tblCellMar>
      </w:tblPr>
      <w:tblGrid>
        <w:gridCol w:w="1298"/>
        <w:gridCol w:w="5891"/>
        <w:gridCol w:w="245"/>
      </w:tblGrid>
      <w:tr>
        <w:trPr/>
        <w:tc>
          <w:tcPr>
            <w:tcW w:w="718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 SCOPE OF SUPPLEMENTAL INDENTURE; GENERAL; THE NOTES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Scope of Supplemental Indenture; General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Applicability of Sections of the Base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Dating and Terms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298" w:type="dxa"/>
            <w:tcBorders/>
            <w:vAlign w:val="center"/>
          </w:tcPr>
          <w:p>
            <w:pPr>
              <w:pStyle w:val="TableContents"/>
              <w:bidi w:val="0"/>
              <w:spacing w:before="0" w:after="283"/>
              <w:jc w:val="left"/>
              <w:rPr/>
            </w:pPr>
            <w:r>
              <w:rPr/>
              <w:t> </w:t>
            </w:r>
          </w:p>
        </w:tc>
        <w:tc>
          <w:tcPr>
            <w:tcW w:w="589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18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II CERTAIN DEFINITIONS</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5</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298" w:type="dxa"/>
            <w:tcBorders/>
            <w:vAlign w:val="center"/>
          </w:tcPr>
          <w:p>
            <w:pPr>
              <w:pStyle w:val="TableContents"/>
              <w:bidi w:val="0"/>
              <w:spacing w:before="0" w:after="283"/>
              <w:jc w:val="left"/>
              <w:rPr/>
            </w:pPr>
            <w:r>
              <w:rPr/>
              <w:t> </w:t>
            </w:r>
          </w:p>
        </w:tc>
        <w:tc>
          <w:tcPr>
            <w:tcW w:w="589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18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III REDEMPTION</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14</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Sinking Fund; Mandatory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Provisions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98" w:type="dxa"/>
            <w:tcBorders/>
            <w:vAlign w:val="center"/>
          </w:tcPr>
          <w:p>
            <w:pPr>
              <w:pStyle w:val="TableContents"/>
              <w:bidi w:val="0"/>
              <w:spacing w:before="0" w:after="283"/>
              <w:jc w:val="left"/>
              <w:rPr/>
            </w:pPr>
            <w:r>
              <w:rPr/>
              <w:t> </w:t>
            </w:r>
          </w:p>
        </w:tc>
        <w:tc>
          <w:tcPr>
            <w:tcW w:w="589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18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IV COVENANTS</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16</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Liens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Unrestricted Subsidiaries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w:t>
            </w:r>
          </w:p>
        </w:tc>
        <w:tc>
          <w:tcPr>
            <w:tcW w:w="589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298" w:type="dxa"/>
            <w:tcBorders/>
            <w:vAlign w:val="center"/>
          </w:tcPr>
          <w:p>
            <w:pPr>
              <w:pStyle w:val="TableContents"/>
              <w:bidi w:val="0"/>
              <w:spacing w:before="0" w:after="283"/>
              <w:jc w:val="left"/>
              <w:rPr/>
            </w:pPr>
            <w:r>
              <w:rPr/>
              <w:t> </w:t>
            </w:r>
          </w:p>
        </w:tc>
        <w:tc>
          <w:tcPr>
            <w:tcW w:w="589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18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V [RESERVED]</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18</w:t>
            </w:r>
          </w:p>
        </w:tc>
      </w:tr>
      <w:tr>
        <w:trPr/>
        <w:tc>
          <w:tcPr>
            <w:tcW w:w="718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18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VI DEFAULTS AND REMEDIES</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18</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6.2</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Acceleration of Maturity; Rescission and Annulment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298" w:type="dxa"/>
            <w:tcBorders/>
            <w:vAlign w:val="center"/>
          </w:tcPr>
          <w:p>
            <w:pPr>
              <w:pStyle w:val="TableContents"/>
              <w:bidi w:val="0"/>
              <w:spacing w:before="0" w:after="283"/>
              <w:jc w:val="left"/>
              <w:rPr/>
            </w:pPr>
            <w:r>
              <w:rPr/>
              <w:t> </w:t>
            </w:r>
          </w:p>
        </w:tc>
        <w:tc>
          <w:tcPr>
            <w:tcW w:w="589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18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VII SATISFACTION AND DISCHARGE; DEFEASANCE</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20</w:t>
            </w:r>
          </w:p>
        </w:tc>
      </w:tr>
      <w:tr>
        <w:trPr/>
        <w:tc>
          <w:tcPr>
            <w:tcW w:w="718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18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VIII AMENDMENT, SUPPLEMENT AND WAIVER</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21</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8.2</w:t>
            </w:r>
          </w:p>
        </w:tc>
        <w:tc>
          <w:tcPr>
            <w:tcW w:w="589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8.3</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8.4</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8.5</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Trust Indenture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8.6</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Revocation and Effect of Consents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8.7</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Notation on or Exchange of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8.8</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Supplemental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298" w:type="dxa"/>
            <w:tcBorders/>
            <w:vAlign w:val="center"/>
          </w:tcPr>
          <w:p>
            <w:pPr>
              <w:pStyle w:val="TableContents"/>
              <w:bidi w:val="0"/>
              <w:spacing w:before="0" w:after="283"/>
              <w:jc w:val="left"/>
              <w:rPr/>
            </w:pPr>
            <w:r>
              <w:rPr/>
              <w:t> </w:t>
            </w:r>
          </w:p>
        </w:tc>
        <w:tc>
          <w:tcPr>
            <w:tcW w:w="589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18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IX MISCELLANEOUS</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24</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9.3</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Multiple Originals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9.4</w:t>
            </w:r>
          </w:p>
        </w:tc>
        <w:tc>
          <w:tcPr>
            <w:tcW w:w="5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Paying Agent and Security Registrar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u w:val="single"/>
        </w:rPr>
      </w:pPr>
      <w:r>
        <w:rPr>
          <w:b/>
          <w:u w:val="single"/>
        </w:rPr>
        <w:t>TABLE OF CONTENTS (CONT'D)</w:t>
      </w:r>
    </w:p>
    <w:p>
      <w:pPr>
        <w:pStyle w:val="TextBody"/>
        <w:bidi w:val="0"/>
        <w:spacing w:before="0" w:after="283"/>
        <w:jc w:val="left"/>
        <w:rPr/>
      </w:pPr>
      <w:r>
        <w:rPr/>
        <w:t> </w:t>
      </w:r>
    </w:p>
    <w:p>
      <w:pPr>
        <w:pStyle w:val="TextBody"/>
        <w:bidi w:val="0"/>
        <w:jc w:val="right"/>
        <w:rPr>
          <w:b/>
          <w:u w:val="single"/>
        </w:rPr>
      </w:pPr>
      <w:r>
        <w:rPr>
          <w:b/>
          <w:u w:val="single"/>
        </w:rPr>
        <w:t>Page</w:t>
      </w:r>
    </w:p>
    <w:p>
      <w:pPr>
        <w:pStyle w:val="TextBody"/>
        <w:bidi w:val="0"/>
        <w:spacing w:before="0" w:after="283"/>
        <w:jc w:val="left"/>
        <w:rPr/>
      </w:pPr>
      <w:r>
        <w:rPr/>
        <w:t> </w:t>
      </w:r>
    </w:p>
    <w:tbl>
      <w:tblPr>
        <w:tblW w:w="5265" w:type="dxa"/>
        <w:jc w:val="left"/>
        <w:tblInd w:w="0" w:type="dxa"/>
        <w:tblLayout w:type="fixed"/>
        <w:tblCellMar>
          <w:top w:w="0" w:type="dxa"/>
          <w:left w:w="0" w:type="dxa"/>
          <w:bottom w:w="0" w:type="dxa"/>
          <w:right w:w="0" w:type="dxa"/>
        </w:tblCellMar>
      </w:tblPr>
      <w:tblGrid>
        <w:gridCol w:w="1055"/>
        <w:gridCol w:w="3965"/>
        <w:gridCol w:w="245"/>
      </w:tblGrid>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9.5</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9.6</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 Indenture Act Controls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9.7</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Table of Contents; Headings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9.8</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Adverse Interpretation of Other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9.9</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Ratification and Incorporation of Base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9.10</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Benefits of Supplemental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9.11</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SUPPLEMENTAL INDENTURE dated as of September 17, 2026 (this “Supplemental Indenture”) by and between EXPAND ENERGY CORPORATION, an Oklahoma corporation (referred to herein as the “Company”), and Regions Bank, as trustee (referred to herein as the “Trustee”), supplementing the Indenture dated as of December 2, 2024, by and between the Company and the Trustee (the “Base Indenture” and, as supplemented by this Supplemental Indenture,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agrees as follows for the benefit of the other parties and for the equal and ratable benefit of the Holders of Notes (as such terms are defined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Company has duly authorized the execution and delivery of the Base Indenture to provide for the issuance from time to time of the Company’s Securities to be issued in one or more series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Base Indenture has been duly authorized, executed and delivered by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Section 9.1 of the Base Indenture provides that the Company and the Trustee may, without the consent of any Holder, enter into a supplemental indenture: in accordance with clause (i) thereof, to provide for the issuance of and establish the form and terms and conditions of Securities of any series as permitted by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 xml:space="preserve">the Company has duly authorized the issue of its 5.650% Senior Notes due 2031 as a series of Securities under the Base Indenture (as they may be issued from time to time under this Supplemental Indenture, including any Additional Notes (as defined below) issued pursuant to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of this Supplemental Indenture, the “Notes”); and in connection therewith, there being no Notes Outstanding at the time of execution and delivery of this Supplemental Indenture, the Company has duly determined to make, execute and deliver this Supplemental Indenture to establish the form and terms of the Notes as required by the Base Indenture, to add to, change and eliminate certain provisions of the Base Indenture in respect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Company has duly authorized the execution and delivery of this Supplemental Indenture, and has requested the Trustee to join them in the execution and delivery of this Supplemental Indenture, in order to establish the form and terms of, and to provide for the issuance by the Company of, the Notes, substantially in the form attached hereto as Exhibit A, on the terms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Company now wishes to issue $500,000,000 aggregate principal amount of the Notes (the “Initial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conditions set forth in the Base Indenture for the execution and delivery of this Supplemental Indenture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all things necessary have been done to make the Initial Notes, when Global Securities representing the Initial Notes have been duly executed by the Company and authenticated and delivered by the Trustee or a duly authorized Authenticating Agent, as provided in the Base Indenture, the valid and legally binding obligations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all things necessary have been done to make this Supplemental Indenture a valid agreement of the Company and the Trustee, in accordance with its terms, and a valid amendment of, and supplement to,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 THEREFORE: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the purchase and acceptance of the Notes by the Holders, the Company covenants and agrees with the Trustee, for the equal and ratable benefit of the Holders of the Notes, that the Base Indenture is supplemented and amended, to the extent expressed herein,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 xml:space="preserve">Article I </w:t>
      </w:r>
      <w:r>
        <w:rPr>
          <w:rFonts w:ascii="Times New Roman;Times;Serif" w:hAnsi="Times New Roman;Times;Serif"/>
          <w:b/>
          <w:i w:val="false"/>
          <w:caps w:val="false"/>
          <w:smallCaps w:val="false"/>
          <w:sz w:val="20"/>
        </w:rPr>
        <w:br/>
        <w:t>SCOPE OF SUPPLEMENTAL INDENTURE; GENERAL;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1.1</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Scope of Supplemental Indenture; 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supplements, and to the extent inconsistent therewith, replaces, the provisions of the Base Indenture, to which provisions reference is hereby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modifications and supplements to the Base Indenture effected by this Supplemental Indenture shall be applicable only with respect to, and govern the terms of, and shall be deemed expressly included in this Supplemental Indenture solely for the benefit of, the Notes (which shall be initially in the aggregate principal amount of $500,000,000) and shall not apply to any other series of Securities that have been or may be issued under the Base Indenture unless a supplemental indenture with respect to such other series of Securities specifically incorporates such changes, modifications and supplements.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1.2</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Applicability of Sections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specified hereby, each of the provisions of the Base Indenture shall apply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1.3</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Form, Dating and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i w:val="false"/>
          <w:caps w:val="false"/>
          <w:smallCaps w:val="false"/>
          <w:sz w:val="20"/>
        </w:rPr>
        <w:t xml:space="preserve">General. </w:t>
      </w:r>
      <w:r>
        <w:rPr>
          <w:rFonts w:ascii="Times New Roman;Times;Serif" w:hAnsi="Times New Roman;Times;Serif"/>
          <w:b w:val="false"/>
          <w:i w:val="false"/>
          <w:caps w:val="false"/>
          <w:smallCaps w:val="false"/>
          <w:sz w:val="20"/>
        </w:rPr>
        <w:t xml:space="preserve">The aggregate principal amount of the Notes that may be authenticated and delivered under the Indenture is unlimited. The aggregate principal amount of the Initial Notes initially authorized for authentication and delivery pursuant to this Supplemental Indenture is limited to $500,000,000 (except for Notes authenticated and delivered upon registration or transfer of, or in exchange for, or in lieu of other Notes pursuant to </w:t>
      </w:r>
      <w:r>
        <w:rPr>
          <w:rFonts w:ascii="Times New Roman;Times;Serif" w:hAnsi="Times New Roman;Times;Serif"/>
          <w:b w:val="false"/>
          <w:i w:val="false"/>
          <w:caps w:val="false"/>
          <w:smallCaps w:val="false"/>
          <w:sz w:val="20"/>
          <w:u w:val="single"/>
        </w:rPr>
        <w:t>Section 1.3(b)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8.6</w:t>
      </w:r>
      <w:r>
        <w:rPr>
          <w:rFonts w:ascii="Times New Roman;Times;Serif" w:hAnsi="Times New Roman;Times;Serif"/>
          <w:b w:val="false"/>
          <w:i w:val="false"/>
          <w:caps w:val="false"/>
          <w:smallCaps w:val="false"/>
          <w:sz w:val="20"/>
        </w:rPr>
        <w:t xml:space="preserve"> of this Supplemental Indenture and Sections 2.7, 2.8, 2.11 and 3.6 of the Base Indenture). Pursuant to this Supplemental Indenture, there is hereby created and designated one series of Securities under the Indenture entitled “5.650% Senior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 respect to the Notes, the Company may issue, from time to time subsequent to the Issue Date in accordance with the provisions of the Indenture, additional Securities (such Securities, the “Additional Notes”) of the same series as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Notes and the Additional Notes shall be considered collectively as a single class for all purposes of the Indenture. Holders of the Initial Notes and the Additional Notes shall vote and consent together on all matters to which such Holders are entitled to vote or consent as one series of Securities, and none of the Holders of the Initial Notes or the Additional Notes shall have the right to vote or consent as a separate class or series on any matter to which such Holders are entitled to vote or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Notes and Additional Notes shall be initially issued in the form of one or more permanent Global Securities substantially in the form of Exhibit A (each, a “Global Note”), duly executed by the Company and authenticated by the Trustee as provided in the Base Indenture. The aggregate principal amount of the Global Notes may from time to time be increased or decreased by adjustments made on the records of the Trustee and the Depositary or its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may have such letters, numbers or other marks of identification and such notations, legends or endorsements as the officer executing the same may approve (execution thereof to be conclusive evidence of such approval) and as are not inconsistent with the provisions of this Supplemental Indenture or the Base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provisions contained in the form of Note attached as Exhibit A hereto shall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any Note conflicts with the express provisions of the Indenture, the provisions of the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principal of, premium, if any, and interest on the Notes at the office or agency designated by the Company, which is initially the corporate trust office of the Trustee in Birmingham, Alabama. The Company shall pay principal of, premium, if any, and interest on the Global Notes registered in the name of or held by the Depositary or its nominee in immediately available funds to the Depositary or its nominee, as the case may be, as the registered holder of such Global Note. The Company shall make all payments in respect of a Definitive Note by mailing a check to the registered address of each Holder thereof as such address shall appear in the Registrar’s books; provided, however, that payments on the Notes represented by Definitive Notes may also be made, by wire transfer to a U.S. dollar account maintained by the payee with a bank in the United States if such Holder elects payment by wire transfer by giving written notice to the Trustee or the Paying Agent in accordance with the terms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i w:val="false"/>
          <w:caps w:val="false"/>
          <w:smallCaps w:val="false"/>
          <w:sz w:val="20"/>
        </w:rPr>
        <w:t xml:space="preserve">Book-Entry Provisions. </w:t>
      </w:r>
      <w:r>
        <w:rPr>
          <w:rFonts w:ascii="Times New Roman;Times;Serif" w:hAnsi="Times New Roman;Times;Serif"/>
          <w:b w:val="false"/>
          <w:i w:val="false"/>
          <w:caps w:val="false"/>
          <w:smallCaps w:val="false"/>
          <w:sz w:val="20"/>
        </w:rPr>
        <w:t xml:space="preserve">Except as otherwise stated in this </w:t>
      </w:r>
      <w:r>
        <w:rPr>
          <w:rFonts w:ascii="Times New Roman;Times;Serif" w:hAnsi="Times New Roman;Times;Serif"/>
          <w:b w:val="false"/>
          <w:i w:val="false"/>
          <w:caps w:val="false"/>
          <w:smallCaps w:val="false"/>
          <w:sz w:val="20"/>
          <w:u w:val="single"/>
        </w:rPr>
        <w:t>Section 1.3(b)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1.3(c)</w:t>
      </w:r>
      <w:r>
        <w:rPr>
          <w:rFonts w:ascii="Times New Roman;Times;Serif" w:hAnsi="Times New Roman;Times;Serif"/>
          <w:b w:val="false"/>
          <w:i w:val="false"/>
          <w:caps w:val="false"/>
          <w:smallCaps w:val="false"/>
          <w:sz w:val="20"/>
        </w:rPr>
        <w:t> below, Section 2.14 of the Base Indenture will apply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caps w:val="false"/>
          <w:smallCaps w:val="false"/>
          <w:sz w:val="20"/>
          <w:u w:val="single"/>
        </w:rPr>
        <w:t>Section 1.3(b)</w:t>
      </w:r>
      <w:r>
        <w:rPr>
          <w:rFonts w:ascii="Times New Roman;Times;Serif" w:hAnsi="Times New Roman;Times;Serif"/>
          <w:b w:val="false"/>
          <w:i w:val="false"/>
          <w:caps w:val="false"/>
          <w:smallCaps w:val="false"/>
          <w:sz w:val="20"/>
        </w:rPr>
        <w:t> shall apply only to Global Notes deposited with the Notes Custodian with respect to such Notes (as appointed by the Depositary), or any successor Person thereto, which shall initially be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Each Global Note initially shall (x) be registered in the name of the Depositary for such Global Note or the nominee of such Depositary, (y) be delivered to the Notes Custodian for such Depositary and (z) bear the legend set forth in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Members of, or participants in, the Depositary (“Agent Members”) shall have no rights under the Indenture with respect to any Global Note held on their behalf by the Depositary or by the Trustee as the custodian of the Depositary or under such Global Note, and the Depositary may be treated by the Company, the Trustee and any agent of the Company or the Trustee as the absolute owner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of the Depositary governing the exercise of the rights of a Holder of a beneficial interest in any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The registered Holder of a Global Note may grant proxies and otherwise authorize any Person, including Agent Members and Persons that may hold interests through Agent Members, to take any action which a Holder is entitled to take under the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 xml:space="preserve">In connection with the transfer of an entire Global Note to beneficial owners pursuant to </w:t>
      </w:r>
      <w:r>
        <w:rPr>
          <w:rFonts w:ascii="Times New Roman;Times;Serif" w:hAnsi="Times New Roman;Times;Serif"/>
          <w:b w:val="false"/>
          <w:i w:val="false"/>
          <w:caps w:val="false"/>
          <w:smallCaps w:val="false"/>
          <w:sz w:val="20"/>
          <w:u w:val="single"/>
        </w:rPr>
        <w:t>Section 1.3(c)</w:t>
      </w:r>
      <w:r>
        <w:rPr>
          <w:rFonts w:ascii="Times New Roman;Times;Serif" w:hAnsi="Times New Roman;Times;Serif"/>
          <w:b w:val="false"/>
          <w:i w:val="false"/>
          <w:caps w:val="false"/>
          <w:smallCaps w:val="false"/>
          <w:sz w:val="20"/>
        </w:rPr>
        <w:t> of this Supplemental Indenture, such Global Note shall be deemed to be surrendered to the Trustee for cancellation, and the Company shall execute, and the Trustee shall authenticate and deliver, to each beneficial owner identified by the Depositary in exchange for its beneficial interest in such Global Note, an equal aggregate principal amount of Definitive Notes of authorized denominations.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(vi)           Any Holder of a Global Note shall, by acceptance of such Global Note, agree that transfers of beneficial interests in such Global Note may be effected only through a book-entry system maintained by (a) the Holder of such Global Note (or its agent) or (b) any Holder of a beneficial interest in such Global Note, and that ownership of a beneficial interest in such Global Note shall be required to be reflected in a book entry.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i w:val="false"/>
          <w:caps w:val="false"/>
          <w:smallCaps w:val="false"/>
          <w:sz w:val="20"/>
        </w:rPr>
        <w:t xml:space="preserve">Definitive Notes. </w:t>
      </w:r>
      <w:r>
        <w:rPr>
          <w:rFonts w:ascii="Times New Roman;Times;Serif" w:hAnsi="Times New Roman;Times;Serif"/>
          <w:b w:val="false"/>
          <w:i w:val="false"/>
          <w:caps w:val="false"/>
          <w:smallCaps w:val="false"/>
          <w:sz w:val="20"/>
        </w:rPr>
        <w:t>Except as provided in the Indenture, owners of beneficial interests in Global Notes shall not be entitled to receive Definitive Notes. Definitive Notes shall be delivered to all beneficial owners in exchange for their beneficial interests in a Global Note if (i) the Depositary notifies the Company that it is unwilling or unable to continue as depositary for such Global Note or the Depositary ceases to be a clearing agency registered under the Exchange Act at a time when the Depositary is required to be so registered in order to act as Depositary, and, in each case, a successor depositary is not appointed by the Company within 90 days of such notice or (ii) an Event of Default has occurred and is continuing and the Registrar has received a request from the Depositary to deliver Definitive Notes to all beneficial owners in exchange for their beneficial interests in such Global Note. Definitive Notes may not be exchanged for beneficial interests in any Global Note unless the transferor first delivers to the Trustee a written certificate to the effect that such transfer will comply with any appropriate transfer restrictions applicable to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i w:val="false"/>
          <w:caps w:val="false"/>
          <w:smallCaps w:val="false"/>
          <w:sz w:val="20"/>
        </w:rPr>
        <w:t xml:space="preserve">Initial Notes. </w:t>
      </w:r>
      <w:r>
        <w:rPr>
          <w:rFonts w:ascii="Times New Roman;Times;Serif" w:hAnsi="Times New Roman;Times;Serif"/>
          <w:b w:val="false"/>
          <w:i w:val="false"/>
          <w:caps w:val="false"/>
          <w:smallCaps w:val="false"/>
          <w:sz w:val="20"/>
        </w:rPr>
        <w:t>The Initial Notes may forthwith be executed by the Company and delivered, together with a Company Order, to the Trustee for authentication and delivery by the Trustee for original issue in accordance with the provisions of Section 2.3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i w:val="false"/>
          <w:caps w:val="false"/>
          <w:smallCaps w:val="false"/>
          <w:sz w:val="20"/>
        </w:rPr>
        <w:t xml:space="preserve">Additional Notes. </w:t>
      </w:r>
      <w:r>
        <w:rPr>
          <w:rFonts w:ascii="Times New Roman;Times;Serif" w:hAnsi="Times New Roman;Times;Serif"/>
          <w:b w:val="false"/>
          <w:i w:val="false"/>
          <w:caps w:val="false"/>
          <w:smallCaps w:val="false"/>
          <w:sz w:val="20"/>
        </w:rPr>
        <w:t xml:space="preserve">At any time and from time to time after the issuance of the Initial Notes, the Trustee shall authenticate and deliver any Additional Notes for original issue in accordance with the provisions of Section 2.3 of the Base Indenture in an aggregate principal amount determined at the time of issuance and specified in a Company Order which shall be accompanied with the Officer’s Certificate or supplemental indenture, as applicable, in respect thereof specified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of this Supplemental Indenture. Such Company Order shall specify the principal amount of the Additional Notes to be authenticated and the date on which the original issue of such Additional Notes is to be authenticated.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1.4</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Additional Notes, there shall be set forth or determined in an Officer’s Certificate delivered to the Trustee or established in one or more indentures supplemental to the Indenture, prior to the issuance of such 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aggregate principal amount of such Additional Notes to be authenticated and delivered;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issue price and the issue date of such Additional Notes, including the date from which interest shall accrue and the first interest payment date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 xml:space="preserve">Article II </w:t>
      </w:r>
      <w:r>
        <w:rPr>
          <w:rFonts w:ascii="Times New Roman;Times;Serif" w:hAnsi="Times New Roman;Times;Serif"/>
          <w:b/>
          <w:i w:val="false"/>
          <w:caps w:val="false"/>
          <w:smallCaps w:val="false"/>
          <w:sz w:val="20"/>
        </w:rPr>
        <w:br/>
        <w:t>CERTAIN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2.1</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Certain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of the Base Indenture is hereby amended by adding the following definitions in their proper alphabetical order which, in the event of a conflict with the definition of terms in the Base Indenture, shall supersede and replace the corresponding definitions in the Base Indenture. Capitalized terms used but not defined herein have the meanings ascribed to such terms in the Base Indenture. The rules of construction set forth in Section 1.1 of the Base Indenture shall be applied hereto as if set forth in full herein, except that unless the context indicates otherwise, references in this Supplemental Indenture to an Article or Section refer to an Article or Section of this Supplemental Indenture,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Bankruptcy Law” </w:t>
      </w:r>
      <w:r>
        <w:rPr>
          <w:rFonts w:ascii="Times New Roman;Times;Serif" w:hAnsi="Times New Roman;Times;Serif"/>
          <w:b w:val="false"/>
          <w:i w:val="false"/>
          <w:caps w:val="false"/>
          <w:smallCaps w:val="false"/>
          <w:sz w:val="20"/>
        </w:rPr>
        <w:t>means Title 11 of the United States Code or any similar federal, state or foreign law for the relief of debtors.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Capital Stock” </w:t>
      </w:r>
      <w:r>
        <w:rPr>
          <w:rFonts w:ascii="Times New Roman;Times;Serif" w:hAnsi="Times New Roman;Times;Serif"/>
          <w:b w:val="false"/>
          <w:i w:val="false"/>
          <w:caps w:val="false"/>
          <w:smallCaps w:val="false"/>
          <w:sz w:val="20"/>
        </w:rPr>
        <w:t>of any Person means any and all shares, interests, rights to purchase, warrants, options, participations or other equivalents of or interests in (however designated) equity of such Person, including, without limitation, any preferred stock and limited liability company or partnership interests (whether general or limited) of such Person, but excluding any debt securities convertible or exchangeable into such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Code” </w:t>
      </w:r>
      <w:r>
        <w:rPr>
          <w:rFonts w:ascii="Times New Roman;Times;Serif" w:hAnsi="Times New Roman;Times;Serif"/>
          <w:b w:val="false"/>
          <w:i w:val="false"/>
          <w:caps w:val="false"/>
          <w:smallCaps w:val="false"/>
          <w:sz w:val="20"/>
        </w:rPr>
        <w:t>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Consolidated Net Tangible Assets” </w:t>
      </w:r>
      <w:r>
        <w:rPr>
          <w:rFonts w:ascii="Times New Roman;Times;Serif" w:hAnsi="Times New Roman;Times;Serif"/>
          <w:b w:val="false"/>
          <w:i w:val="false"/>
          <w:caps w:val="false"/>
          <w:smallCaps w:val="false"/>
          <w:sz w:val="20"/>
        </w:rPr>
        <w:t>means at any date of determination, the total amount of assets of the Company and its Restricted Subsidiaries (less applicable depreciation and valuation reserves and other reserves and items deductible from the gross book value of specific asset accounts under GAAP) after deducting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all current liabilities (excluding (A) any current liabilities that by their terms are extendable or renewable at the option of the obligor thereon to a time more than 12 months after the time as of which the amount thereof is being computed, and (B) current maturities of Funded Debt);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the value of all goodwill, trade names, trademarks, patents, and other like intangible assets, all as set forth on the Company’s consolidated balance sheet as of a date no earlier than the date of the Company’s latest available annual or quarterly consolidated financial statements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Custodian” </w:t>
      </w:r>
      <w:r>
        <w:rPr>
          <w:rFonts w:ascii="Times New Roman;Times;Serif" w:hAnsi="Times New Roman;Times;Serif"/>
          <w:b w:val="false"/>
          <w:i w:val="false"/>
          <w:caps w:val="false"/>
          <w:smallCaps w:val="false"/>
          <w:sz w:val="20"/>
        </w:rPr>
        <w:t>means any receiver, trustee, assignee, liquidator, custodian or similar official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Customary Recourse Exceptions” </w:t>
      </w:r>
      <w:r>
        <w:rPr>
          <w:rFonts w:ascii="Times New Roman;Times;Serif" w:hAnsi="Times New Roman;Times;Serif"/>
          <w:b w:val="false"/>
          <w:i w:val="false"/>
          <w:caps w:val="false"/>
          <w:smallCaps w:val="false"/>
          <w:sz w:val="20"/>
        </w:rPr>
        <w:t>means with respect to any Non-Recourse Debt, exclusions from the exculpation provisions with respect to such Non-Recourse Debt for the voluntary bankruptcy of a Person, fraud, misapplication of cash, environmental claims, waste, willful destruction and other circumstances customarily excluded by lenders from exculpation provisions or included in separate indemnification agreements in non-recourse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Default” </w:t>
      </w:r>
      <w:r>
        <w:rPr>
          <w:rFonts w:ascii="Times New Roman;Times;Serif" w:hAnsi="Times New Roman;Times;Serif"/>
          <w:b w:val="false"/>
          <w:i w:val="false"/>
          <w:caps w:val="false"/>
          <w:smallCaps w:val="false"/>
          <w:sz w:val="20"/>
        </w:rPr>
        <w:t>means any event which is, or after notice or passage of time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Definitive Notes” </w:t>
      </w:r>
      <w:r>
        <w:rPr>
          <w:rFonts w:ascii="Times New Roman;Times;Serif" w:hAnsi="Times New Roman;Times;Serif"/>
          <w:b w:val="false"/>
          <w:i w:val="false"/>
          <w:caps w:val="false"/>
          <w:smallCaps w:val="false"/>
          <w:sz w:val="20"/>
        </w:rPr>
        <w:t>means Notes issued in the form of one or more certificated Notes substantially in the form of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Depositary” </w:t>
      </w:r>
      <w:r>
        <w:rPr>
          <w:rFonts w:ascii="Times New Roman;Times;Serif" w:hAnsi="Times New Roman;Times;Serif"/>
          <w:b w:val="false"/>
          <w:i w:val="false"/>
          <w:caps w:val="false"/>
          <w:smallCaps w:val="false"/>
          <w:sz w:val="20"/>
        </w:rPr>
        <w:t>means The Depository Trust Company, its nominees and their respective successors and assigns, or such other depository institution hereinafter appointed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Exchange Act” </w:t>
      </w:r>
      <w:r>
        <w:rPr>
          <w:rFonts w:ascii="Times New Roman;Times;Serif" w:hAnsi="Times New Roman;Times;Serif"/>
          <w:b w:val="false"/>
          <w:i w:val="false"/>
          <w:caps w:val="false"/>
          <w:smallCaps w:val="false"/>
          <w:sz w:val="20"/>
        </w:rPr>
        <w:t>means the Securities Exchange Act of 1934, as amended, and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Funded Debt” </w:t>
      </w:r>
      <w:r>
        <w:rPr>
          <w:rFonts w:ascii="Times New Roman;Times;Serif" w:hAnsi="Times New Roman;Times;Serif"/>
          <w:b w:val="false"/>
          <w:i w:val="false"/>
          <w:caps w:val="false"/>
          <w:smallCaps w:val="false"/>
          <w:sz w:val="20"/>
        </w:rPr>
        <w:t>means, in respect of any Person, all Indebtedness Incurred by such Person that matures, or is renewable by such Person to a date, more than one year after the date as of which Funded Debt is being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GAAP” </w:t>
      </w:r>
      <w:r>
        <w:rPr>
          <w:rFonts w:ascii="Times New Roman;Times;Serif" w:hAnsi="Times New Roman;Times;Serif"/>
          <w:b w:val="false"/>
          <w:i w:val="false"/>
          <w:caps w:val="false"/>
          <w:smallCaps w:val="false"/>
          <w:sz w:val="20"/>
        </w:rPr>
        <w:t>means generally accepted accounting principles in the United States of America as in effect as of the Issue Date,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guarantee” </w:t>
      </w:r>
      <w:r>
        <w:rPr>
          <w:rFonts w:ascii="Times New Roman;Times;Serif" w:hAnsi="Times New Roman;Times;Serif"/>
          <w:b w:val="false"/>
          <w:i w:val="false"/>
          <w:caps w:val="false"/>
          <w:smallCaps w:val="false"/>
          <w:sz w:val="20"/>
        </w:rPr>
        <w:t>means any obligation, contingent or otherwise, of any Person guaranteeing any Indebtedness of any other Person and any obligation, direct or indirect, contingent or otherwise, of such Person to purchase or pay (or advance or supply funds for the purchase or payment of) such Indebtedness of such other Person (whether arising by virtue of partnership arrangements, or by agreement to keep-well, to purchase assets, goods, securities or services, to take-or-pay, or to maintain financial statement conditions or otherwise). The term “guarantee” will not include endorsements for collection or deposit in the ordinary course of business. The term “guarantee” used as a verb has a corresponding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Holder” </w:t>
      </w:r>
      <w:r>
        <w:rPr>
          <w:rFonts w:ascii="Times New Roman;Times;Serif" w:hAnsi="Times New Roman;Times;Serif"/>
          <w:b w:val="false"/>
          <w:i w:val="false"/>
          <w:caps w:val="false"/>
          <w:smallCaps w:val="false"/>
          <w:sz w:val="20"/>
        </w:rPr>
        <w:t>means a Person in whose name a Note is registered on the Registrar’s books.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Incur” </w:t>
      </w:r>
      <w:r>
        <w:rPr>
          <w:rFonts w:ascii="Times New Roman;Times;Serif" w:hAnsi="Times New Roman;Times;Serif"/>
          <w:b w:val="false"/>
          <w:i w:val="false"/>
          <w:caps w:val="false"/>
          <w:smallCaps w:val="false"/>
          <w:sz w:val="20"/>
        </w:rPr>
        <w:t>means issue, create, assume, guarantee, incur or otherwise become liable for any Indebtedness of a Person existing at the time such Person becomes a Subsidiary (whether by merger, consolidation, acquisition or otherwise) will be deemed to be Incurred by such Subsidiary at the time it becomes a Subsidiary. The terms “Incurred” and “Incurrence” have meanings correlative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Indebtedness” </w:t>
      </w:r>
      <w:r>
        <w:rPr>
          <w:rFonts w:ascii="Times New Roman;Times;Serif" w:hAnsi="Times New Roman;Times;Serif"/>
          <w:b w:val="false"/>
          <w:i w:val="false"/>
          <w:caps w:val="false"/>
          <w:smallCaps w:val="false"/>
          <w:sz w:val="20"/>
        </w:rPr>
        <w:t>means, with respect to any Person on any date of determination, any obligation of such Person, whether contingent or otherwise, for the repayment of borrowed money and any guarantee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Issue Date” </w:t>
      </w:r>
      <w:r>
        <w:rPr>
          <w:rFonts w:ascii="Times New Roman;Times;Serif" w:hAnsi="Times New Roman;Times;Serif"/>
          <w:b w:val="false"/>
          <w:i w:val="false"/>
          <w:caps w:val="false"/>
          <w:smallCaps w:val="false"/>
          <w:sz w:val="20"/>
        </w:rPr>
        <w:t>means September 17, 2026, the date the Initial Notes are first issued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Lien” </w:t>
      </w:r>
      <w:r>
        <w:rPr>
          <w:rFonts w:ascii="Times New Roman;Times;Serif" w:hAnsi="Times New Roman;Times;Serif"/>
          <w:b w:val="false"/>
          <w:i w:val="false"/>
          <w:caps w:val="false"/>
          <w:smallCaps w:val="false"/>
          <w:sz w:val="20"/>
        </w:rPr>
        <w:t>means, with respect to any asset, any mortgage, lien (statutory or otherwise),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For the avoidance of doubt, (1) an operating lease shall be deemed not to constitute a Lien and (2) a contract that would not be considered a capital lease pursuant to GAAP prior to the effectiveness of Accounting Standards Codification 842 shall be deemed not to constitute a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Non-Recourse Debt” </w:t>
      </w:r>
      <w:r>
        <w:rPr>
          <w:rFonts w:ascii="Times New Roman;Times;Serif" w:hAnsi="Times New Roman;Times;Serif"/>
          <w:b w:val="false"/>
          <w:i w:val="false"/>
          <w:caps w:val="false"/>
          <w:smallCaps w:val="false"/>
          <w:sz w:val="20"/>
        </w:rPr>
        <w:t>means Indebtedness as to which neither the Company nor any of its Restricted Subsidiaries (a) provides credit support of any kind (including any undertaking, agreement or instrument that would constitute Indebtedness) or (b) is directly or indirectly liable as a guarantor or otherwise except, in each case for (i) Customary Recourse Exceptions and (ii) the pledge of (or a guarantee limited in recourse solely to) the Capital Stock of such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Notes Custodian” </w:t>
      </w:r>
      <w:r>
        <w:rPr>
          <w:rFonts w:ascii="Times New Roman;Times;Serif" w:hAnsi="Times New Roman;Times;Serif"/>
          <w:b w:val="false"/>
          <w:i w:val="false"/>
          <w:caps w:val="false"/>
          <w:smallCaps w:val="false"/>
          <w:sz w:val="20"/>
        </w:rPr>
        <w:t>means the custodian with respect to the Global Notes (as appointed by the Depositary), or any successor Person thereto, and shall initially be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Officer’s Certificate” </w:t>
      </w:r>
      <w:r>
        <w:rPr>
          <w:rFonts w:ascii="Times New Roman;Times;Serif" w:hAnsi="Times New Roman;Times;Serif"/>
          <w:b w:val="false"/>
          <w:i w:val="false"/>
          <w:caps w:val="false"/>
          <w:smallCaps w:val="false"/>
          <w:sz w:val="20"/>
        </w:rPr>
        <w:t>means a certificate signed by an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Opinion of Counsel” </w:t>
      </w:r>
      <w:r>
        <w:rPr>
          <w:rFonts w:ascii="Times New Roman;Times;Serif" w:hAnsi="Times New Roman;Times;Serif"/>
          <w:b w:val="false"/>
          <w:i w:val="false"/>
          <w:caps w:val="false"/>
          <w:smallCaps w:val="false"/>
          <w:sz w:val="20"/>
        </w:rPr>
        <w:t>means a written opinion from legal counsel who is reasonably acceptable to the Trustee. The counsel may be an employee of or counsel to the Company or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Par Call Date” </w:t>
      </w:r>
      <w:r>
        <w:rPr>
          <w:rFonts w:ascii="Times New Roman;Times;Serif" w:hAnsi="Times New Roman;Times;Serif"/>
          <w:b w:val="false"/>
          <w:i w:val="false"/>
          <w:caps w:val="false"/>
          <w:smallCaps w:val="false"/>
          <w:sz w:val="20"/>
        </w:rPr>
        <w:t>means August 15,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Permitted Liens” </w:t>
      </w:r>
      <w:r>
        <w:rPr>
          <w:rFonts w:ascii="Times New Roman;Times;Serif" w:hAnsi="Times New Roman;Times;Serif"/>
          <w:b w:val="false"/>
          <w:i w:val="false"/>
          <w:caps w:val="false"/>
          <w:smallCaps w:val="false"/>
          <w:sz w:val="20"/>
        </w:rPr>
        <w:t>means, with respect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any Lien in favor of the Trustee for the benefit of the Trustee or the Holders of the Notes or otherwise securing the Notes, a Guarantee or other obligations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Liens securing hedging obligations, swap agreements, derivatives, forward contracts, exchange agreements, in each case excluding such arrangement entered into for speculative purposes or obligations with regard to treasury management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Liens in favor of the Company or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Liens on property of a Person existing at the time such Person becomes a Restricted Subsidiary of the Company or is merged with or into or consolidated with the Company or any Restricted Subsidiary of the Company; provided that such Liens were in existence prior to the contemplation of such Person becoming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Liens on property existing at the time of acquisition of the property by the Company or any Restricted Subsidiary of the Company; provided that such Liens were (i) in existence prior to such acquisition and not Incurred in contemplation of such acquisition or (ii) incurred to secure Indebtedness incurred to refinance Indebtedness secured by Liens described in the foregoing clause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Liens to secure the performance of statutory or regulatory obligations, insurance, surety or appeal bonds, workers’ compensation obligations, bid, plugging and abandonment and performance bonds or other obligations of a like nature incurred in the ordinary course of business (including Liens to secure letters of credit issued to assure payment of such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val="false"/>
          <w:i w:val="false"/>
          <w:caps w:val="false"/>
          <w:smallCaps w:val="false"/>
          <w:sz w:val="20"/>
        </w:rPr>
        <w:t>Liens on insurance policies and proceeds thereof, or other deposits, to secure insurance premium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(8)            </w:t>
      </w:r>
      <w:r>
        <w:rPr>
          <w:rFonts w:ascii="Times New Roman;Times;Serif" w:hAnsi="Times New Roman;Times;Serif"/>
          <w:b w:val="false"/>
          <w:i w:val="false"/>
          <w:caps w:val="false"/>
          <w:smallCaps w:val="false"/>
          <w:sz w:val="20"/>
        </w:rPr>
        <w:t>Liens on cash or other property arising in connection with the defeasance, discharge, or redemptions of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(9)            </w:t>
      </w:r>
      <w:r>
        <w:rPr>
          <w:rFonts w:ascii="Times New Roman;Times;Serif" w:hAnsi="Times New Roman;Times;Serif"/>
          <w:b w:val="false"/>
          <w:i w:val="false"/>
          <w:caps w:val="false"/>
          <w:smallCaps w:val="false"/>
          <w:sz w:val="20"/>
        </w:rPr>
        <w:t>Liens to secure Indebtedness represented by capital lease obligations, finance lease obligations, mortgage financings or purchase money obligations or other Indebtedness, in each case, incurred for the purpose of financing all or any part of the purchase price, other acquisition cost or cost of design, construction, installation, development, repair or improvement of property, plant or equipment used in the business of the Company or any of its Restricted Subsidiaries, and all refinancing indebtedness Incurred to renew, refund, refinance, replace, defease, discharge or otherwise retire for value, in whole or in part, such Indebtedness, covering only the assets acquired with or financed by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          </w:t>
      </w:r>
      <w:r>
        <w:rPr>
          <w:rFonts w:ascii="Times New Roman;Times;Serif" w:hAnsi="Times New Roman;Times;Serif"/>
          <w:b w:val="false"/>
          <w:i w:val="false"/>
          <w:caps w:val="false"/>
          <w:smallCaps w:val="false"/>
          <w:sz w:val="20"/>
        </w:rPr>
        <w:t>Grants of software and other technology licenses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(11)          </w:t>
      </w:r>
      <w:r>
        <w:rPr>
          <w:rFonts w:ascii="Times New Roman;Times;Serif" w:hAnsi="Times New Roman;Times;Serif"/>
          <w:b w:val="false"/>
          <w:i w:val="false"/>
          <w:caps w:val="false"/>
          <w:smallCaps w:val="false"/>
          <w:sz w:val="20"/>
        </w:rPr>
        <w:t>Liens existing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(12)            </w:t>
      </w:r>
      <w:r>
        <w:rPr>
          <w:rFonts w:ascii="Times New Roman;Times;Serif" w:hAnsi="Times New Roman;Times;Serif"/>
          <w:b w:val="false"/>
          <w:i w:val="false"/>
          <w:caps w:val="false"/>
          <w:smallCaps w:val="false"/>
          <w:sz w:val="20"/>
        </w:rPr>
        <w:t>filing of Uniform Commercial Code financing statements as a precautionary measure in connection with 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(13)          </w:t>
      </w:r>
      <w:r>
        <w:rPr>
          <w:rFonts w:ascii="Times New Roman;Times;Serif" w:hAnsi="Times New Roman;Times;Serif"/>
          <w:b w:val="false"/>
          <w:i w:val="false"/>
          <w:caps w:val="false"/>
          <w:smallCaps w:val="false"/>
          <w:sz w:val="20"/>
        </w:rPr>
        <w:t>bankers’ Liens, rights of setoff, rights of revocation, refund or chargeback with respect to money, instruments or accounts of the Company or any Restricted Subsidiary, Liens arising out of judgments or awards and notices of lis pendens and associated rights related to litigation being contested in good faith by appropriate proceedings and for which adequate reserves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(14)          </w:t>
      </w:r>
      <w:r>
        <w:rPr>
          <w:rFonts w:ascii="Times New Roman;Times;Serif" w:hAnsi="Times New Roman;Times;Serif"/>
          <w:b w:val="false"/>
          <w:i w:val="false"/>
          <w:caps w:val="false"/>
          <w:smallCaps w:val="false"/>
          <w:sz w:val="20"/>
        </w:rPr>
        <w:t>Liens in respect of Production Payments and Reserve Sales; provided, that such Liens are limited to the property that is subject to such Production Payments and Reserve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(15)          </w:t>
      </w:r>
      <w:r>
        <w:rPr>
          <w:rFonts w:ascii="Times New Roman;Times;Serif" w:hAnsi="Times New Roman;Times;Serif"/>
          <w:b w:val="false"/>
          <w:i w:val="false"/>
          <w:caps w:val="false"/>
          <w:smallCaps w:val="false"/>
          <w:sz w:val="20"/>
        </w:rPr>
        <w:t>Liens arising under, or in connection with, oil and gas leases or subleases, assignments, farmout agreements, farm-in agreements, division orders, contracts for the sale, purchase, exchange, marketing, transportation, gathering, treating, fractionation, compression, stabilization or processing of hydrocarbons, unitizations and pooling designations, declarations, orders and agreements, development agreements, joint venture agreements, partnership agreements, operating agreements, royalties, working interests, net profits interests, joint interest billing arrangements, participation agreements, production sales contracts, incentive compensation programs for geologists, geophysicists and other providers of technical services to the Company or a Restricted Subsidiary, area of mutual interest agreements, gas balancing or deferred production agreements, injection, repressuring and recycling agreements, overriding royalty agreements, gathering agreements, marketing agreements, processing agreements, treating agreements, fractionation agreements, compression agreements, stabilization agreements, construction agreements, storage agreements, net profits agreements, salt water or other disposal agreements, seismic or geophysical permits or agreements, licenses, sublicenses and other agreements that are customary in the oil and gas business; provided, however, in all instances that such Liens are limited to the assets that are the subject of the relevant agreement, program, order or contract and margin and other deposits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(16)          </w:t>
      </w:r>
      <w:r>
        <w:rPr>
          <w:rFonts w:ascii="Times New Roman;Times;Serif" w:hAnsi="Times New Roman;Times;Serif"/>
          <w:b w:val="false"/>
          <w:i w:val="false"/>
          <w:caps w:val="false"/>
          <w:smallCaps w:val="false"/>
          <w:sz w:val="20"/>
        </w:rPr>
        <w:t>Liens for (i) taxes, assessments or governmental charges or levies on its property if the same shall not at the time be delinquent or thereafter can be paid without penalty or, provided the Company or its Restricted Subsidiaries have knowledge or should have had knowledge of such Liens, are being actively contested in good faith and by appropriate proceedings and for which adequate reserves shall have been set aside on its books in accordance with GAAP (to the extent required thereby) or (ii) for property taxes on property that the Company or any Subsidiary has determined to abandon if the sole recourse for such tax, assessment, charge or claim is to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(17)          </w:t>
      </w:r>
      <w:r>
        <w:rPr>
          <w:rFonts w:ascii="Times New Roman;Times;Serif" w:hAnsi="Times New Roman;Times;Serif"/>
          <w:b w:val="false"/>
          <w:i w:val="false"/>
          <w:caps w:val="false"/>
          <w:smallCaps w:val="false"/>
          <w:sz w:val="20"/>
        </w:rPr>
        <w:t>Liens imposed by law or ordinary course of business contracts, including, without limitation, carriers’, warehousemen’s, suppliers’, mechanics’, materialmen’s, repairmen’s and similar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(18)          </w:t>
      </w:r>
      <w:r>
        <w:rPr>
          <w:rFonts w:ascii="Times New Roman;Times;Serif" w:hAnsi="Times New Roman;Times;Serif"/>
          <w:b w:val="false"/>
          <w:i w:val="false"/>
          <w:caps w:val="false"/>
          <w:smallCaps w:val="false"/>
          <w:sz w:val="20"/>
        </w:rPr>
        <w:t>Liens arising under applicable statutory provisions with respect to production of oil, gas or other hydrocarbons purchased from others (such as Chapter 67 of the Texas Property Code and Louisiana Revised Statutes Title 9, §4863, et seq., (including Louisiana Revised Statutes Title 9, §4869));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(19)          </w:t>
      </w:r>
      <w:r>
        <w:rPr>
          <w:rFonts w:ascii="Times New Roman;Times;Serif" w:hAnsi="Times New Roman;Times;Serif"/>
          <w:b w:val="false"/>
          <w:i w:val="false"/>
          <w:caps w:val="false"/>
          <w:smallCaps w:val="false"/>
          <w:sz w:val="20"/>
        </w:rPr>
        <w:t>Liens in favor of issuers of surety or performance bonds or letters of credit or bankers’ acceptances issued pursuant to the request of and for the account of such Person in the ordinary course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(20)          </w:t>
      </w:r>
      <w:r>
        <w:rPr>
          <w:rFonts w:ascii="Times New Roman;Times;Serif" w:hAnsi="Times New Roman;Times;Serif"/>
          <w:b w:val="false"/>
          <w:i w:val="false"/>
          <w:caps w:val="false"/>
          <w:smallCaps w:val="false"/>
          <w:sz w:val="20"/>
        </w:rPr>
        <w:t>survey exceptions, encumbrances, ground leases, easements, restrictions, servitudes, permits, conditions, covenants, exceptions or reservations of, or rights of others for, licenses, rights-of-way, roads, pipelines, transmission liens, transportation liens, distribution lines for the removal of gas, oil, coal or other minerals or timber, sewers, electric lines, telegraph and telephone lines and other similar purposes, or for the joint or common use of real estate, rights of way, facilities and equipment, Liens related to surface leases and surface operations, or zoning, building codes or other restrictions (including, without limitation, minor defects or irregularities in title and similar encumbrances) as to the use of real properties or Liens incidental to the conduct of the business of the Company or any Restricted Subsidiary of the Company or to the ownership of its properties that do not in the aggregate materially adversely affect the value of said properties or materially impair their use in the operation of the business of the Company or any Restricted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(21)          </w:t>
      </w:r>
      <w:r>
        <w:rPr>
          <w:rFonts w:ascii="Times New Roman;Times;Serif" w:hAnsi="Times New Roman;Times;Serif"/>
          <w:b w:val="false"/>
          <w:i w:val="false"/>
          <w:caps w:val="false"/>
          <w:smallCaps w:val="false"/>
          <w:sz w:val="20"/>
        </w:rPr>
        <w:t>leases, licenses, subleases and sublicenses of assets that do not materially interfere with the ordinary conduct of the business of the Company or any Restricted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          </w:t>
      </w:r>
      <w:r>
        <w:rPr>
          <w:rFonts w:ascii="Times New Roman;Times;Serif" w:hAnsi="Times New Roman;Times;Serif"/>
          <w:b w:val="false"/>
          <w:i w:val="false"/>
          <w:caps w:val="false"/>
          <w:smallCaps w:val="false"/>
          <w:sz w:val="20"/>
        </w:rPr>
        <w:t>Liens on the Capital Stock of a joint venture that does not constitute a Subsidiary securing obligations of such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(23)          </w:t>
      </w:r>
      <w:r>
        <w:rPr>
          <w:rFonts w:ascii="Times New Roman;Times;Serif" w:hAnsi="Times New Roman;Times;Serif"/>
          <w:b w:val="false"/>
          <w:i w:val="false"/>
          <w:caps w:val="false"/>
          <w:smallCaps w:val="false"/>
          <w:sz w:val="20"/>
        </w:rPr>
        <w:t>any interest or title of a lessor under any operating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(24)          </w:t>
      </w:r>
      <w:r>
        <w:rPr>
          <w:rFonts w:ascii="Times New Roman;Times;Serif" w:hAnsi="Times New Roman;Times;Serif"/>
          <w:b w:val="false"/>
          <w:i w:val="false"/>
          <w:caps w:val="false"/>
          <w:smallCaps w:val="false"/>
          <w:sz w:val="20"/>
        </w:rPr>
        <w:t>Liens on pipelines or pipeline facilities that arise by operation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(25)          </w:t>
      </w:r>
      <w:r>
        <w:rPr>
          <w:rFonts w:ascii="Times New Roman;Times;Serif" w:hAnsi="Times New Roman;Times;Serif"/>
          <w:b w:val="false"/>
          <w:i w:val="false"/>
          <w:caps w:val="false"/>
          <w:smallCaps w:val="false"/>
          <w:sz w:val="20"/>
        </w:rPr>
        <w:t>Liens on, or related to, properties or assets to secure all or part of the costs incurred in the ordinary course of business for the exploration, drilling, development, construction, production, processing, treating, fractionation, stabilization, compression, gathering, transportation, marketing or storage, plugging, abandonment or operation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(26)          Liens under industrial revenue, municipal or similar bonds;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(27)          </w:t>
      </w:r>
      <w:r>
        <w:rPr>
          <w:rFonts w:ascii="Times New Roman;Times;Serif" w:hAnsi="Times New Roman;Times;Serif"/>
          <w:b w:val="false"/>
          <w:i w:val="false"/>
          <w:caps w:val="false"/>
          <w:smallCaps w:val="false"/>
          <w:sz w:val="20"/>
        </w:rPr>
        <w:t>any Lien renewing, extending, refinancing, replacing or refunding a Lien permitted by this definition, provided that (a) the principal amount of the Indebtedness secured by such Lien is not increased except by an amount equal to accrued interest and any premium or other amount paid, and fees, costs and expenses incurred, in connection therewith and by an amount equal to any existing commitments unutilized thereunder and (b) no assets are encumbered by any such Lien other than the assets permitted to be encumbered immediately prior to such renewal, extension, refinancing, replacement or refunding.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set forth above, notwithstanding any stated limitation on the assets or property that may be subject to such Lien, a Permitted Lien on a specified asset or property or group or type of assets or property may include Liens on all improvements, additions, repairs, attachments and accessions thereto, construction thereon, assets and property affixed or appurtenant thereto, parts, replacements and substitutions therefor and all products and proceeds thereof, including dividends, distributions, interest and increases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Person” </w:t>
      </w:r>
      <w:r>
        <w:rPr>
          <w:rFonts w:ascii="Times New Roman;Times;Serif" w:hAnsi="Times New Roman;Times;Serif"/>
          <w:b w:val="false"/>
          <w:i w:val="false"/>
          <w:caps w:val="false"/>
          <w:smallCaps w:val="false"/>
          <w:sz w:val="20"/>
        </w:rPr>
        <w:t>means any individual, corporation, partnership, joint venture, association, joint-stock company, trust, unincorporated organization, limited liability company or government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Principal Property” </w:t>
      </w:r>
      <w:r>
        <w:rPr>
          <w:rFonts w:ascii="Times New Roman;Times;Serif" w:hAnsi="Times New Roman;Times;Serif"/>
          <w:b w:val="false"/>
          <w:i w:val="false"/>
          <w:caps w:val="false"/>
          <w:smallCaps w:val="false"/>
          <w:sz w:val="20"/>
        </w:rPr>
        <w:t>means all property interests in oil and gas reserves located in the United States capable of producing hydrocarbon substances in paying quantities, the net book value of which exceeds 3% of Consolidated Net Tangible Assets, other than: (1) property not of material importance to the business of the Company and its Subsidiaries, taken as a whole; (2) assets used in midstream operations; (3) accounts receivable; and (4) production or proceeds from the production of hydrocarbons.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Production Payments and Reserve Sales” </w:t>
      </w:r>
      <w:r>
        <w:rPr>
          <w:rFonts w:ascii="Times New Roman;Times;Serif" w:hAnsi="Times New Roman;Times;Serif"/>
          <w:b w:val="false"/>
          <w:i w:val="false"/>
          <w:caps w:val="false"/>
          <w:smallCaps w:val="false"/>
          <w:sz w:val="20"/>
        </w:rPr>
        <w:t>means the grant or transfer by the Company or any of its Restricted Subsidiaries to any Person of a royalty, overriding royalty, net profits interest, production payment, partnership or other interest in oil and gas properties, reserves or the right to receive all or a portion of the production or the proceeds from the sale of production attributable to such properties where the holder of such interest has recourse solely to such production or proceeds of production, subject to the obligation of the grantor or transferor to operate and maintain, or cause the subject interests to be operated and maintained, in a reasonably prudent manner or other customary standard or subject to the obligation of the grantor or transferor to indemnify for environmental, title or other matters customary in the oil and gas business, including any such grants or transfers pursuant to incentive compensation programs on terms that are reasonably customary in the oil and gas business for geologists, geophysicists or other providers of technical services to the Company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Restricted Subsidiary” </w:t>
      </w:r>
      <w:r>
        <w:rPr>
          <w:rFonts w:ascii="Times New Roman;Times;Serif" w:hAnsi="Times New Roman;Times;Serif"/>
          <w:b w:val="false"/>
          <w:i w:val="false"/>
          <w:caps w:val="false"/>
          <w:smallCaps w:val="false"/>
          <w:sz w:val="20"/>
        </w:rPr>
        <w:t>of any Person means any Subsidiary of the Person that is not an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SEC” </w:t>
      </w:r>
      <w:r>
        <w:rPr>
          <w:rFonts w:ascii="Times New Roman;Times;Serif" w:hAnsi="Times New Roman;Times;Serif"/>
          <w:b w:val="false"/>
          <w:i w:val="false"/>
          <w:caps w:val="false"/>
          <w:smallCaps w:val="false"/>
          <w:sz w:val="20"/>
        </w:rPr>
        <w:t>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Securities Act” </w:t>
      </w:r>
      <w:r>
        <w:rPr>
          <w:rFonts w:ascii="Times New Roman;Times;Serif" w:hAnsi="Times New Roman;Times;Serif"/>
          <w:b w:val="false"/>
          <w:i w:val="false"/>
          <w:caps w:val="false"/>
          <w:smallCaps w:val="false"/>
          <w:sz w:val="20"/>
        </w:rPr>
        <w:t>means the Securities Act of 1933, as amended, and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Stated Maturity” </w:t>
      </w:r>
      <w:r>
        <w:rPr>
          <w:rFonts w:ascii="Times New Roman;Times;Serif" w:hAnsi="Times New Roman;Times;Serif"/>
          <w:b w:val="false"/>
          <w:i w:val="false"/>
          <w:caps w:val="false"/>
          <w:smallCaps w:val="false"/>
          <w:sz w:val="20"/>
        </w:rPr>
        <w:t>means, with respect to any security or Indebtedness, the date specified in such security or Indebtedness as the fixed date on which the payment of principal of such security or Indebtedness is due and payable, including, without limitation, pursuant to any mandatory redemption provision, but shall not include any contingent obligations to repay, redeem or repurchase any such principal prior to the date originally scheduled for the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Subsidiary” </w:t>
      </w:r>
      <w:r>
        <w:rPr>
          <w:rFonts w:ascii="Times New Roman;Times;Serif" w:hAnsi="Times New Roman;Times;Serif"/>
          <w:b w:val="false"/>
          <w:i w:val="false"/>
          <w:caps w:val="false"/>
          <w:smallCaps w:val="false"/>
          <w:sz w:val="20"/>
        </w:rPr>
        <w:t>with respect to any Person, means any (i) corporation, limited liability company or other entity (other than a partnership) of which the outstanding Capital Stock having a majority of the votes entitled to be cast in the election of directors, managers or trustees of such entity under ordinary circumstances shall at the time be owned, directly or indirectly, by such Person or any other Person of which a majority of the voting interests under ordinary circumstances is at the time, directly or indirectly, owned by such Person or (ii) partnership (a) the sole general partner or the managing general partner of which is such Person or a Subsidiary of such Person or (b) the only general partners of which are that Person or one or more Subsidiaries of that Person (or any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Treasury Rate” </w:t>
      </w:r>
      <w:r>
        <w:rPr>
          <w:rFonts w:ascii="Times New Roman;Times;Serif" w:hAnsi="Times New Roman;Times;Serif"/>
          <w:b w:val="false"/>
          <w:i w:val="false"/>
          <w:caps w:val="false"/>
          <w:smallCaps w:val="false"/>
          <w:sz w:val="20"/>
        </w:rPr>
        <w:t>means, with respect to any redemption date, the yield determined by the Company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date of the notice of redemption relating to such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date of the notice of redemption relating to such redemption date H.15 TCM is no longer published, the Company shall calculate the Treasury Rate based on the rate per annum equal to the semi-annual equivalent yield to maturity at 11:00 a.m., New York City time, on the second Business Day preceding the date of such notice of redemption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Unrestricted Subsidiary” </w:t>
      </w:r>
      <w:r>
        <w:rPr>
          <w:rFonts w:ascii="Times New Roman;Times;Serif" w:hAnsi="Times New Roman;Times;Serif"/>
          <w:b w:val="false"/>
          <w:i w:val="false"/>
          <w:caps w:val="false"/>
          <w:smallCaps w:val="false"/>
          <w:sz w:val="20"/>
        </w:rPr>
        <w:t>means (1) any Subsidiary of the Company designated as such pursuant to and in compliance with this Indenture and (2) any Subsidiary of an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terms defined above, the following terms are defined in this Supplemental Indenture where indicated below:</w:t>
      </w:r>
    </w:p>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10" w:type="dxa"/>
        <w:tblLayout w:type="fixed"/>
        <w:tblCellMar>
          <w:top w:w="60" w:type="dxa"/>
          <w:left w:w="120" w:type="dxa"/>
          <w:bottom w:w="60" w:type="dxa"/>
          <w:right w:w="120" w:type="dxa"/>
        </w:tblCellMar>
      </w:tblPr>
      <w:tblGrid>
        <w:gridCol w:w="2180"/>
        <w:gridCol w:w="1550"/>
      </w:tblGrid>
      <w:tr>
        <w:trPr/>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Defined in Section</w:t>
            </w:r>
          </w:p>
        </w:tc>
      </w:tr>
      <w:tr>
        <w:trPr/>
        <w:tc>
          <w:tcPr>
            <w:tcW w:w="21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w:t>
            </w:r>
            <w:r>
              <w:rPr>
                <w:rFonts w:ascii="Times New Roman;Times;Serif" w:hAnsi="Times New Roman;Times;Serif"/>
                <w:sz w:val="20"/>
              </w:rPr>
              <w:t>Additional Notes”</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1.3(a)</w:t>
            </w:r>
          </w:p>
        </w:tc>
      </w:tr>
      <w:tr>
        <w:trPr/>
        <w:tc>
          <w:tcPr>
            <w:tcW w:w="21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w:t>
            </w:r>
            <w:r>
              <w:rPr>
                <w:rFonts w:ascii="Times New Roman;Times;Serif" w:hAnsi="Times New Roman;Times;Serif"/>
                <w:sz w:val="20"/>
              </w:rPr>
              <w:t>Agent Members”</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1.3(b)(iii)</w:t>
            </w:r>
          </w:p>
        </w:tc>
      </w:tr>
      <w:tr>
        <w:trPr/>
        <w:tc>
          <w:tcPr>
            <w:tcW w:w="21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w:t>
            </w:r>
            <w:r>
              <w:rPr>
                <w:rFonts w:ascii="Times New Roman;Times;Serif" w:hAnsi="Times New Roman;Times;Serif"/>
                <w:sz w:val="20"/>
              </w:rPr>
              <w:t>Base Indenture”</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Preamble</w:t>
            </w:r>
          </w:p>
        </w:tc>
      </w:tr>
      <w:tr>
        <w:trPr/>
        <w:tc>
          <w:tcPr>
            <w:tcW w:w="21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w:t>
            </w:r>
            <w:r>
              <w:rPr>
                <w:rFonts w:ascii="Times New Roman;Times;Serif" w:hAnsi="Times New Roman;Times;Serif"/>
                <w:sz w:val="20"/>
              </w:rPr>
              <w:t>Event of Default”</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6.1(a)</w:t>
            </w:r>
          </w:p>
        </w:tc>
      </w:tr>
      <w:tr>
        <w:trPr/>
        <w:tc>
          <w:tcPr>
            <w:tcW w:w="21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w:t>
            </w:r>
            <w:r>
              <w:rPr>
                <w:rFonts w:ascii="Times New Roman;Times;Serif" w:hAnsi="Times New Roman;Times;Serif"/>
                <w:sz w:val="20"/>
              </w:rPr>
              <w:t>Global Note”</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1.3(a)</w:t>
            </w:r>
          </w:p>
        </w:tc>
      </w:tr>
      <w:tr>
        <w:trPr/>
        <w:tc>
          <w:tcPr>
            <w:tcW w:w="21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w:t>
            </w:r>
            <w:r>
              <w:rPr>
                <w:rFonts w:ascii="Times New Roman;Times;Serif" w:hAnsi="Times New Roman;Times;Serif"/>
                <w:sz w:val="20"/>
              </w:rPr>
              <w:t>Indenture”</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Preamble</w:t>
            </w:r>
          </w:p>
        </w:tc>
      </w:tr>
      <w:tr>
        <w:trPr/>
        <w:tc>
          <w:tcPr>
            <w:tcW w:w="21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w:t>
            </w:r>
            <w:r>
              <w:rPr>
                <w:rFonts w:ascii="Times New Roman;Times;Serif" w:hAnsi="Times New Roman;Times;Serif"/>
                <w:sz w:val="20"/>
              </w:rPr>
              <w:t>Initial Notes”</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Recitals</w:t>
            </w:r>
          </w:p>
        </w:tc>
      </w:tr>
      <w:tr>
        <w:trPr/>
        <w:tc>
          <w:tcPr>
            <w:tcW w:w="21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w:t>
            </w:r>
            <w:r>
              <w:rPr>
                <w:rFonts w:ascii="Times New Roman;Times;Serif" w:hAnsi="Times New Roman;Times;Serif"/>
                <w:sz w:val="20"/>
              </w:rPr>
              <w:t>Notes”</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Recitals</w:t>
            </w:r>
          </w:p>
        </w:tc>
      </w:tr>
      <w:tr>
        <w:trPr/>
        <w:tc>
          <w:tcPr>
            <w:tcW w:w="21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w:t>
            </w:r>
            <w:r>
              <w:rPr>
                <w:rFonts w:ascii="Times New Roman;Times;Serif" w:hAnsi="Times New Roman;Times;Serif"/>
                <w:sz w:val="20"/>
              </w:rPr>
              <w:t>payment default”</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6.1(a)(5)(A)</w:t>
            </w:r>
          </w:p>
        </w:tc>
      </w:tr>
      <w:tr>
        <w:trPr/>
        <w:tc>
          <w:tcPr>
            <w:tcW w:w="21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w:t>
            </w:r>
            <w:r>
              <w:rPr>
                <w:rFonts w:ascii="Times New Roman;Times;Serif" w:hAnsi="Times New Roman;Times;Serif"/>
                <w:sz w:val="20"/>
              </w:rPr>
              <w:t>Supplemental Indenture”</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Preamble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 xml:space="preserve">Article III </w:t>
      </w:r>
      <w:r>
        <w:rPr>
          <w:rFonts w:ascii="Times New Roman;Times;Serif" w:hAnsi="Times New Roman;Times;Serif"/>
          <w:b/>
          <w:i w:val="false"/>
          <w:caps w:val="false"/>
          <w:smallCaps w:val="false"/>
          <w:sz w:val="20"/>
        </w:rPr>
        <w:br/>
        <w:t>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3.1</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Prior to the Par Call Date, the Company may redeem the Notes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on the Notes to be redeemed discounted to the Redemption Date (assuming the Notes matured on the Par Call Date) on a semi-annual basis (assuming a 360-day year consisting of twelve 30-day months) at the Treasury Rate plus 20 basis points less (b) interest accrued to the Redemption Date, and (2) 100% of the principal amount of the Notes to be redeemed, plus, in either case, accrued and unpaid interest thereon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On or after the Par Call Date, the Company may redeem the Notes, in whole or in part, at any time and from time to time, at a Redemption Price equal to 100% of the principal amount of the Notes being redeemed plus accrued and unpaid interest thereon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Company’s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In the case of a partial redemption, selection of the Notes for redemption will be made pro rata, by lot or by such other method as the Trustee in its sole discretion deems appropriate and fair, subject to the last sentence of this </w:t>
      </w:r>
      <w:r>
        <w:rPr>
          <w:rFonts w:ascii="Times New Roman;Times;Serif" w:hAnsi="Times New Roman;Times;Serif"/>
          <w:b w:val="false"/>
          <w:i w:val="false"/>
          <w:caps w:val="false"/>
          <w:smallCaps w:val="false"/>
          <w:sz w:val="20"/>
          <w:u w:val="single"/>
        </w:rPr>
        <w:t>Section 3.1(d)</w:t>
      </w:r>
      <w:r>
        <w:rPr>
          <w:rFonts w:ascii="Times New Roman;Times;Serif" w:hAnsi="Times New Roman;Times;Serif"/>
          <w:b w:val="false"/>
          <w:i w:val="false"/>
          <w:caps w:val="false"/>
          <w:smallCaps w:val="false"/>
          <w:sz w:val="20"/>
        </w:rPr>
        <w:t>.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Depositary, the redemption of the Notes shall be done in accordance with the policies and procedures of such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Unless the Company defaults in payment of the Redemption Price or any conditions precedent described in the notice of redemption are not satisfied and therefore the notice of redemption is deemed rescinded, on and after the Redemption Date interest will cease to accrue on the Notes or portions thereof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3.2</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Sinking Fund;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required to make mandatory redemption payments or sinking fund payments with respect to the Notes. Accordingly, Article XI of the Base Indenture shall not apply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3.3</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Redemption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first paragraph of Section 3.3 of the Base Indenture shall not apply to the Notes, and in lieu thereof, the following paragraph shall be deemed included in the Indenture for the benefit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or electronically delivered (or otherwise transmitted in accordance with the Depositary’s Applicable Procedures) in the manner provided in Section 10.2 of the Base Indenture at least 10 days but not more than 60 days before the Redemption Date to each Holder of Notes to be redeemed. Notwithstanding anything herein to the contrary, notices may be sent more than 60 days prior to a Redemption Date if the notice is issued in connection with a Covenant Defeasance or Defeasance with respect to the Notes or a satisfaction and discharge of the Indenture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Notice of any redemption may, at the Company’s discretion, be subject to one or more conditions precedent. If the conditions precedent are satisfied, the Company shall provide written notice to the Trustee of the satisfaction of such conditions as soon as practicable following occurrence of the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Except as otherwise stated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to the extent inconsistent with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Article III of the Base Indenture shall apply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 xml:space="preserve">Article IV </w:t>
      </w:r>
      <w:r>
        <w:rPr>
          <w:rFonts w:ascii="Times New Roman;Times;Serif" w:hAnsi="Times New Roman;Times;Serif"/>
          <w:b/>
          <w:i w:val="false"/>
          <w:caps w:val="false"/>
          <w:smallCaps w:val="false"/>
          <w:sz w:val="20"/>
        </w:rPr>
        <w:b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of the Base Indenture shall not apply to the Notes, and the covenants in Section 4.2 of the Base Indenture shall be deemed included in the Indenture solely for the benefit of series of Securities other than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 following covenants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apply to the Notes and shall be deemed included in the Indenture solely for the benefit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4.1</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Limitation on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and will not permit any of its Restricted Subsidiaries to, create, Incur or assume, any Lien securing Funded Debt (other than Permitted Liens) upon any Principal Property, whether owned on the Issue Date or acquired after that date, unless the Indebtedness due under the Indenture and the Notes is secured equally and ratably with (or senior in priority to in the case of Liens with respect to Funded Debt that is expressly subordinated to the Notes) the Funded Debt secured by such Lien for so long as such Funded Debt is so 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paragraph, the Company may, and may permit any Restricted Subsidiary of the Company to, create, Incur or assume, any Lien securing Funded Debt upon any Principal Property without securing the Indebtedness due under the Indenture and the Notes if the aggregate principal amount of such Funded Debt secured by such Lien upon such Principal Property, together with the aggregate outstanding principal amount of all other Funded Debt of the Company and of any Restricted Subsidiary of the Company secured by any Liens (other than Permitted Liens) upon Principal Property, does not at the time such Funded Debt is created, Incurred or assumed (or, if later, at the time such Lien is created, Incurred or assumed) exceed the greater of (i) 15% of Consolidated Net Tangible Assets at such time and (ii) $3.0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4.2</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The Company will furnish or file with the Trustee, (i) within 15 days after it files the same with the SEC, copies of the annual reports and the information, documents and other reports (or copies of such portions of any of the foregoing as the SEC may by rules and regulations prescribe) that the Company is required to file with the SEC pursuant to Section 13 or 15(d) of the Exchange Act. If the Company is not subject to the requirements of Section 13 or 15(d) of the Exchange Act and (ii) other information, documents, or reports as may be required pursuant to the Trust Indenture Act at the times and in the manner provided in the Trust Indenture Act. For purposes of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the Company will be deemed to have furnished such reports and information to, or filed such reports and information with, the Trustee and the Holders of Notes and prospective purchasers as required by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if it has filed such reports or information with the SEC via the EDGAR filing system (or any successor filing system) or otherwise made such reports or information publicly available on a freely accessible page on the Company’s website. The Trustee shall have no obligation whatsoever to determine whether or not such reports and information have been filed or have been posted on such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Company also shall furnish to the Trustee, within 120 days after the end of each fiscal year of the Company, a brief certificate from the principal executive officer, principal financial officer or principal accounting officer as to his or her knowledge of the Company’s compliance with all covenants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Company will deliver to the Trustee, within 30 days after the occurrence thereof, written notice of any events that would constitute an Event of Default, unless such Event of Default has been cured or waived before the end of such 30-day period, their status and what action the Company is taking or proposing to take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Delivery of any reports, information and documents to the Trustee pursuant to paragraphs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above is for informational purposes only and the Trustee’s receipt of such shall not constitute notice, constructive or otherwise, of any information contained therein or determinable from information contained therein, including the compliance by the Company with any of the Company’s covenants (as to which the Trustee is entitled to rely exclusively on Officer’s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4.3</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Unrestricted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Board of Directors of the Company may after the Issue Date designate any Subsidiary as an “Unrestricted Subsidiary” if: (1) no Default or Event of Default shall have occurred and be continuing at the time of or after giving effect to such designation; and (2) such Subsidiary has no Indebtedness other than Non-Recourse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Board of Directors of the Company may at any time, subject to the following sentence, designate any Unrestricted Subsidiary to be a Restricted Subsidiary of the Company. Any such designation will be deemed to be an incurrence of Funded Debt and Liens by a Restricted Subsidiary of the Company of any outstanding Funded Debt and Liens, respectively, of such Unrestricted Subsidiary, and such designation will only be permitted if no Default or Event of Default would be in existence following such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 xml:space="preserve">Article V </w:t>
      </w:r>
      <w:r>
        <w:rPr>
          <w:rFonts w:ascii="Times New Roman;Times;Serif" w:hAnsi="Times New Roman;Times;Serif"/>
          <w:b/>
          <w:i w:val="false"/>
          <w:caps w:val="false"/>
          <w:smallCaps w:val="false"/>
          <w:sz w:val="20"/>
        </w:rPr>
        <w:b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 xml:space="preserve">Article VI </w:t>
      </w:r>
      <w:r>
        <w:rPr>
          <w:rFonts w:ascii="Times New Roman;Times;Serif" w:hAnsi="Times New Roman;Times;Serif"/>
          <w:b/>
          <w:i w:val="false"/>
          <w:caps w:val="false"/>
          <w:smallCaps w:val="false"/>
          <w:sz w:val="20"/>
        </w:rPr>
        <w:br/>
        <w:t>DEFAULTS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6.1 and 6.2 of the Base Indenture shall not apply to the Notes, and shall be deemed not to be included in the Indenture for the benefit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Sections </w:t>
      </w:r>
      <w:r>
        <w:rPr>
          <w:rFonts w:ascii="Times New Roman;Times;Serif" w:hAnsi="Times New Roman;Times;Serif"/>
          <w:b w:val="false"/>
          <w:i w:val="false"/>
          <w:caps w:val="false"/>
          <w:smallCaps w:val="false"/>
          <w:sz w:val="20"/>
          <w:u w:val="single"/>
        </w:rPr>
        <w:t>6.1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xml:space="preserve"> below shall apply to the Notes and shall be deemed to be included in the Indenture solely for the benefit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6.1</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Each of the following is an “Event of Default”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default in any payment of interest on any Note when due, continued for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default in the payment of principal of or premium, if any, on any Note when due at its Stated Maturity, upon redemption,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 xml:space="preserve">failure by the Company to comply for 180 days after notice as provided below with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 xml:space="preserve">failure by the Company to comply for 90 days after notice as provided below with its agreements (other than the agreements that are the subjects of clauses </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above) contained in the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default under any mortgage, indenture or similar instrument under which there is issued or by which there is secured or evidenced any Indebtedness for money borrowed by the Company (or the payment of which is guaranteed by the Company), other than Indebtedness owed to a Subsidiary, whether such Indebtedness or guarantee now exists or is created after the Issue Date, which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is caused by a failure to pay principal of, or interest or premium, if any, on such Indebtedness prior to the expiration of the grace period provided in such Indebtedness (“payment default”);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results in the acceleration of such Indebtedness prior to its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case, the principal amount of any such Indebtedness, together with the principal amount of any other such Indebtedness under which there is an outstanding uncured payment default or the maturity of which has been and remains so accelerated, aggregates $250.0 million or 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the Company, pursuant to or within the meaning of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commences a voluntary case or voluntary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consents to the entry of a judgment, decree or order for relief against it in an involuntary case or involuntary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consents to the appointment of a Custodian of it or for any substantial part of its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makes a general assignment of substantially all of its property for the benefit of its creditors;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transmits its written consent to or acquiescence in the institution of a bankruptcy proceeding or other collective proceeding for relief by or against its creditors generally;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val="false"/>
          <w:i w:val="false"/>
          <w:caps w:val="false"/>
          <w:smallCaps w:val="false"/>
          <w:sz w:val="20"/>
        </w:rPr>
        <w:t>a court of competent jurisdiction enters an order or decree under any Bankruptcy Law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is for relief in an involuntary case against the Company, pursuant to or within the meaning of the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appoints a Custodian for all or substantially all of the property of the Company, pursuant to or within the meaning of the Bankruptcy Law;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orders the winding up or liquidation of the Company, pursuant to or within the meaning of the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case of (A), (B) or (C), the order or decree remains unstayed or not dismissed and in effect for 60 days following the entry, issuance or effective date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Notwithstanding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a default under </w:t>
      </w:r>
      <w:r>
        <w:rPr>
          <w:rFonts w:ascii="Times New Roman;Times;Serif" w:hAnsi="Times New Roman;Times;Serif"/>
          <w:b w:val="false"/>
          <w:i w:val="false"/>
          <w:caps w:val="false"/>
          <w:smallCaps w:val="false"/>
          <w:sz w:val="20"/>
          <w:u w:val="single"/>
        </w:rPr>
        <w:t>Section 6.1(a)(3)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6.1(a)(4)</w:t>
      </w:r>
      <w:r>
        <w:rPr>
          <w:rFonts w:ascii="Times New Roman;Times;Serif" w:hAnsi="Times New Roman;Times;Serif"/>
          <w:b w:val="false"/>
          <w:i w:val="false"/>
          <w:caps w:val="false"/>
          <w:smallCaps w:val="false"/>
          <w:sz w:val="20"/>
        </w:rPr>
        <w:t xml:space="preserve"> will not constitute an Event of Default until the Trustee or the Holders of at least 25% in principal amount of the then Outstanding Notes notify the Company in writing of the Default and the Company does not cure such Default within the time specified in </w:t>
      </w:r>
      <w:r>
        <w:rPr>
          <w:rFonts w:ascii="Times New Roman;Times;Serif" w:hAnsi="Times New Roman;Times;Serif"/>
          <w:b w:val="false"/>
          <w:i w:val="false"/>
          <w:caps w:val="false"/>
          <w:smallCaps w:val="false"/>
          <w:sz w:val="20"/>
          <w:u w:val="single"/>
        </w:rPr>
        <w:t>Section 6.1(a)(3)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6.1(a)(4)</w:t>
      </w:r>
      <w:r>
        <w:rPr>
          <w:rFonts w:ascii="Times New Roman;Times;Serif" w:hAnsi="Times New Roman;Times;Serif"/>
          <w:b w:val="false"/>
          <w:i w:val="false"/>
          <w:caps w:val="false"/>
          <w:smallCaps w:val="false"/>
          <w:sz w:val="20"/>
        </w:rPr>
        <w:t> after receipt of such notice. Such notice must specify the Default, demand that it be remedied, and state that such notice is a “Notice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6.2</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Acceleration of Maturity; Rescission and Annulment.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Event of Default (other than an Event of Default described in </w:t>
      </w:r>
      <w:r>
        <w:rPr>
          <w:rFonts w:ascii="Times New Roman;Times;Serif" w:hAnsi="Times New Roman;Times;Serif"/>
          <w:b w:val="false"/>
          <w:i w:val="false"/>
          <w:caps w:val="false"/>
          <w:smallCaps w:val="false"/>
          <w:sz w:val="20"/>
          <w:u w:val="single"/>
        </w:rPr>
        <w:t>Section 6.1(a)(6)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 occurs and is continuing, the Trustee by written notice to the Company, or Holders of at least 25% in principal amount of the then outstanding Notes by written notice to the Company and the Trustee, may, and the Trustee at the request of Holders of at least 25% in principal amount of the then Outstanding Notes shall, declare the principal, premium, if any, and accrued and unpaid interest, if any, on all the Notes to be due and payable. Such notice must specify the Event of Default and state that such notice is a “Notice of Acceleration.” Upon such a declaration, such principal, premium, if any, and accrued and unpaid interest will be due and payable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of a declaration of acceleration of the Notes because an Event of Default described in </w:t>
      </w:r>
      <w:r>
        <w:rPr>
          <w:rFonts w:ascii="Times New Roman;Times;Serif" w:hAnsi="Times New Roman;Times;Serif"/>
          <w:b w:val="false"/>
          <w:i w:val="false"/>
          <w:caps w:val="false"/>
          <w:smallCaps w:val="false"/>
          <w:sz w:val="20"/>
          <w:u w:val="single"/>
        </w:rPr>
        <w:t>Section 6.1(a)(5)</w:t>
      </w:r>
      <w:r>
        <w:rPr>
          <w:rFonts w:ascii="Times New Roman;Times;Serif" w:hAnsi="Times New Roman;Times;Serif"/>
          <w:b w:val="false"/>
          <w:i w:val="false"/>
          <w:caps w:val="false"/>
          <w:smallCaps w:val="false"/>
          <w:sz w:val="20"/>
        </w:rPr>
        <w:t xml:space="preserve"> has occurred and is continuing, the declaration of acceleration of the Notes shall be automatically annulled if (x) such Indebtedness or guarantee is discharged in full (other than customary surviving contingent obligations) or (y) the Default triggering such Event of Default pursuant to </w:t>
      </w:r>
      <w:r>
        <w:rPr>
          <w:rFonts w:ascii="Times New Roman;Times;Serif" w:hAnsi="Times New Roman;Times;Serif"/>
          <w:b w:val="false"/>
          <w:i w:val="false"/>
          <w:caps w:val="false"/>
          <w:smallCaps w:val="false"/>
          <w:sz w:val="20"/>
          <w:u w:val="single"/>
        </w:rPr>
        <w:t>Section 6.1(a)(5)</w:t>
      </w:r>
      <w:r>
        <w:rPr>
          <w:rFonts w:ascii="Times New Roman;Times;Serif" w:hAnsi="Times New Roman;Times;Serif"/>
          <w:b w:val="false"/>
          <w:i w:val="false"/>
          <w:caps w:val="false"/>
          <w:smallCaps w:val="false"/>
          <w:sz w:val="20"/>
        </w:rPr>
        <w:t> shall be remedied or cured by the Company or waived by the Holders of the relevant Indebtedness within 60 days after the written notice of declaration of acceleration of the Notes with respect thereto is received by the Company and if the annulment of the acceleration of the Notes would not conflict with any judgment or decree of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Event of Default pursuant to </w:t>
      </w:r>
      <w:r>
        <w:rPr>
          <w:rFonts w:ascii="Times New Roman;Times;Serif" w:hAnsi="Times New Roman;Times;Serif"/>
          <w:b w:val="false"/>
          <w:i w:val="false"/>
          <w:caps w:val="false"/>
          <w:smallCaps w:val="false"/>
          <w:sz w:val="20"/>
          <w:u w:val="single"/>
        </w:rPr>
        <w:t>Section 6.1(a)(6)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 occurs, the principal, premium, if any, and accrued and unpaid interest on all the Notes will become and be immediately due and payable without any declaration or other act on the part of the Trustee or any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a declaration of acceleration, but before a judgment or decree for the payment of the money due has been obtained by the Trustee, the Holders of a majority in principal amount of the Outstanding Notes may by notice to the Trustee and the Company (including, without limitation, waivers and consents obtained in connection with a purchase of, or tender offer or exchange offer for, Notes) waive all current defaults (except with respect to nonpayment of principal, premium, if any, or interest) and rescind any such acceleration with respect to the Notes and its consequences if rescission would not conflict with any judgment or decree of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 xml:space="preserve">Article VII </w:t>
      </w:r>
      <w:r>
        <w:rPr>
          <w:rFonts w:ascii="Times New Roman;Times;Serif" w:hAnsi="Times New Roman;Times;Serif"/>
          <w:b/>
          <w:i w:val="false"/>
          <w:caps w:val="false"/>
          <w:smallCaps w:val="false"/>
          <w:sz w:val="20"/>
        </w:rPr>
        <w:br/>
        <w:t>SATISFACTION AND DISCHARGE;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case of a Covenant Defeasance as provided in the Base Indenture, (i) the Company will be released from its obligations to comply with Sections </w:t>
      </w:r>
      <w:r>
        <w:rPr>
          <w:rFonts w:ascii="Times New Roman;Times;Serif" w:hAnsi="Times New Roman;Times;Serif"/>
          <w:b w:val="false"/>
          <w:i w:val="false"/>
          <w:caps w:val="false"/>
          <w:smallCaps w:val="false"/>
          <w:sz w:val="20"/>
          <w:u w:val="single"/>
        </w:rPr>
        <w:t>4.1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4.2</w:t>
      </w:r>
      <w:r>
        <w:rPr>
          <w:rFonts w:ascii="Times New Roman;Times;Serif" w:hAnsi="Times New Roman;Times;Serif"/>
          <w:b w:val="false"/>
          <w:i w:val="false"/>
          <w:caps w:val="false"/>
          <w:smallCaps w:val="false"/>
          <w:sz w:val="20"/>
        </w:rPr>
        <w:t xml:space="preserve"> of this Supplemental Indenture (for the benefit of Holders of Notes) and Section 5.1 of the Base Indenture (other than Section 5.1(a)) and (ii) the events described in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clauses (3), (4) and (5) of this Supplemental Indenture shall no longer constitute Events of Default with respect to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 xml:space="preserve">Article VIII </w:t>
      </w:r>
      <w:r>
        <w:rPr>
          <w:rFonts w:ascii="Times New Roman;Times;Serif" w:hAnsi="Times New Roman;Times;Serif"/>
          <w:b/>
          <w:i w:val="false"/>
          <w:caps w:val="false"/>
          <w:smallCaps w:val="false"/>
          <w:sz w:val="20"/>
        </w:rPr>
        <w:br/>
        <w:t>AMENDMENT, SUPPLEMENT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 of the Base Indenture shall not apply to the Notes, provided that nothing in this Supplemental Indenture shall limit or affect the provisions of Article IX of the Base Indenture (including Section 9.1(f) and Section 9.1(i) thereof) insofar as relating to any amendment or waiver in respect of any series of Securities other than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8.1</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Without Consent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without the consent of any Holder of Notes, the Company and the Trustee may amend or supplement this Supplemental Indenture, the Base Indenture as it relates to the Notes and the Notes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cure any ambiguity, omission, defect or inconsistency;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provide for the assumption by a successor entity of the obligations of the Company under this Supplemental Indenture, the Base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provide for or facilitate the issuance of uncertificated Notes in addition to or in place of certificated Notes (provided that the uncertificated Notes are issued in registered form for purposes of Section 163(f)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add Guarantees with respect to the Notes, evidence the release of a Guarantor from its Guarantee or provide for the assumption by a successor entity of the obligations of a Guarantor in accordance with the applicable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secure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add covenants of the Company or other obligor under the Indenture or the Notes, as the case may be, or Events of Default for the benefit of the Holders of the Notes or to make other changes that would provide additional rights to the Holders of the Notes or to surrender any right or power conferred upon the Company or other such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val="false"/>
          <w:i w:val="false"/>
          <w:caps w:val="false"/>
          <w:smallCaps w:val="false"/>
          <w:sz w:val="20"/>
        </w:rPr>
        <w:t>make any change that does not adversely affect the legal or contractual rights of any Holder under the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(8)            </w:t>
      </w:r>
      <w:r>
        <w:rPr>
          <w:rFonts w:ascii="Times New Roman;Times;Serif" w:hAnsi="Times New Roman;Times;Serif"/>
          <w:b w:val="false"/>
          <w:i w:val="false"/>
          <w:caps w:val="false"/>
          <w:smallCaps w:val="false"/>
          <w:sz w:val="20"/>
        </w:rPr>
        <w:t>evidence and provide for the acceptance of an appointment under the Indenture of a successor trustee; provided that the successor trustee is otherwise qualified and eligible to act as such under the terms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(9)            </w:t>
      </w:r>
      <w:r>
        <w:rPr>
          <w:rFonts w:ascii="Times New Roman;Times;Serif" w:hAnsi="Times New Roman;Times;Serif"/>
          <w:b w:val="false"/>
          <w:i w:val="false"/>
          <w:caps w:val="false"/>
          <w:smallCaps w:val="false"/>
          <w:sz w:val="20"/>
        </w:rPr>
        <w:t>provide for the issuance of Additional Notes permitted to be issued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          </w:t>
      </w:r>
      <w:r>
        <w:rPr>
          <w:rFonts w:ascii="Times New Roman;Times;Serif" w:hAnsi="Times New Roman;Times;Serif"/>
          <w:b w:val="false"/>
          <w:i w:val="false"/>
          <w:caps w:val="false"/>
          <w:smallCaps w:val="false"/>
          <w:sz w:val="20"/>
        </w:rPr>
        <w:t>comply with the rules of any applicable securities depositary;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(11)          </w:t>
      </w:r>
      <w:r>
        <w:rPr>
          <w:rFonts w:ascii="Times New Roman;Times;Serif" w:hAnsi="Times New Roman;Times;Serif"/>
          <w:b w:val="false"/>
          <w:i w:val="false"/>
          <w:caps w:val="false"/>
          <w:smallCaps w:val="false"/>
          <w:sz w:val="20"/>
        </w:rPr>
        <w:t>conform the text of this Supplemental Indenture, the Base Indenture or the Notes to any provision of the section of the Company’s Prospectus Supplement dated September 15, 2026 entitled “Description of the Notes” or the “Description of Debt Securities” set forth in the accompanying base prospectus to the extent that such provision in the “Description of the Notes” or the “Description of Debt Securities” was intended to be a complete description or summary of a provision of the Indenture or the Notes as evidenced by an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under the Indenture becomes effective, the Company is required to send to the Holders a notice briefly describing such amendment, supplement or waiver. However, the failure to give such notice to all the Holders, or any defect in the notice, will not impair or affect the validity of any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8.3</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With Consent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the Company and the Trustee may amend or supplement this Supplemental Indenture, the Base Indenture (as it relates to the Notes) and the Notes with the consent of the Holders of a majority in principal amount of the Notes then Outstanding (including, without limitation, consents obtained in connection with a purchase of, or tender offer or exchange offer for, Notes) and any past default or compliance with any provisions of this Supplemental Indenture, the Base Indenture (as it relates to the Notes) and the Notes may be waived with the consent of the Holders of a majority in principal amount of the Notes then Outstanding (including, without limitation, consents obtained in connection with a purchase of, or tender offer or exchange offer for,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the Holders is not necessary under the Indenture to approve the particular form of any proposed amendment, supplement or waiver. It is sufficient if such consent approves the substance of the proposed amendment, supplement or waiver. A consent to any amendment, supplement or waiver under the Indenture by any Holder of Notes given in connection with a tender of such Holder’s Notes will not be rendered invalid by such tender.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8.4</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without the consent of each Holder of an Outstanding Note affected, no amendment, supplement or waiver may (with respect to any Notes held by a non-consenting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reduce the principal amount of Notes whose Holders must consent to an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reduce the stated rate of interest or extend the stated time for payment of interest on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reduce the principal of or extend the Stated Maturity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waive a Default or Event of Default in the payment of principal of, premium, if any, or interest on the Notes (except a rescission of acceleration of the Notes by Holders of a majority in aggregate principal amount of the then outstanding Notes with respect to a nonpayment default and a waiver of the payment default that resulted from such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 xml:space="preserve">reduce the premium payable upon the redemption of any Note or change the time at which any Note may be redeemed as described under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whether through an amendment or waiver of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related definitions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make any Note payable in money other than that stated in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val="false"/>
          <w:i w:val="false"/>
          <w:caps w:val="false"/>
          <w:smallCaps w:val="false"/>
          <w:sz w:val="20"/>
        </w:rPr>
        <w:t>impair the right of any Holder to receive payment of principal, premium, if any, and interest on such Holder’s Notes on or after the due dates therefor or to institute suit for the enforcement of any payment on or with respect to such Holder’s Notes;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(8)            </w:t>
      </w:r>
      <w:r>
        <w:rPr>
          <w:rFonts w:ascii="Times New Roman;Times;Serif" w:hAnsi="Times New Roman;Times;Serif"/>
          <w:b w:val="false"/>
          <w:i w:val="false"/>
          <w:caps w:val="false"/>
          <w:smallCaps w:val="false"/>
          <w:sz w:val="20"/>
        </w:rPr>
        <w:t>make any change in the amendment or waiver provisions that require each Holder’s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8.5</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Compliance with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amendment to this Supplemental Indenture, the Base Indenture (as it relates to the Notes) or the Notes shall be set forth in a supplemental indenture hereto that complies with the Trust Indenture Act as then in effect. The Trustee shall have no responsibility or liability for whether this Supplemental Indenture, the Base Indenture, the Notes, or any amendment to any of them complies with the Trust Indenture Act or the Company’s compliance with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8.6</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Revocation and Effect of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an amendment, supplement or waiver becomes effective, a consent to it by a Holder of Notes is a continuing consent by the Holder and every subsequent Holder of the Notes or portion of such Notes that evidences the same debt as the consenting Holder’s Note or Notes, even if notation of the consent is not made on any such Note. However, any such Holder or subsequent Holder may revoke the consent as to its Notes or portion of such Notes if the Trustee receives the notice of revocation before the date the amendment or waiver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amendment or waiver in respect of the Notes once effective shall bind every Holder of Notes affected by such amendment or waiver unless it is of the type described in any of the clauses of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In that case, the amendment or waiver shall bind each Holder of a Note who has consented to it and every subsequent Holder of a Note or portion of a Note that evidences the same debt as the consenting Holder’s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be obligated to, fix a record date for the purpose of determining the Holders entitled to give their consent or take any other action described above or required or permitted to be taken pursuant to this Supplemental Indenture in respect of the Notes or the Base Indenture (as it relates to the Notes). If a record date is fixed, then notwithstanding the immediately preceding paragraph, those Persons who were Holders of Notes at such record date (or their duly designated proxies), and only those Persons, shall be entitled to give such consent or to revoke any consent previously given or to take any such action, whether or not such Persons continue to be Holders of Notes after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8.7</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Notation on or Exchange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place an appropriate notation about an amendment or waiver on the Notes. The Company in exchange for the Notes may issue and the Trustee shall authenticate upon written request new Notes that reflect the amendment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8.8</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Effect of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execution of any supplemental indenture under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the Indenture (including this Supplemental Indenture) shall be modified in accordance therewith, and such supplemental indenture shall form a part of the Indenture for all purposes; and, subject to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every Holder of Notes theretofore or thereafter authenticated and delivered hereunder shall be bound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 xml:space="preserve">Article IX </w:t>
      </w:r>
      <w:r>
        <w:rPr>
          <w:rFonts w:ascii="Times New Roman;Times;Serif" w:hAnsi="Times New Roman;Times;Serif"/>
          <w:b/>
          <w:i w:val="false"/>
          <w:caps w:val="false"/>
          <w:smallCaps w:val="false"/>
          <w:sz w:val="20"/>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9.1</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the Indenture and the Notes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THE TRUSTEE HEREBY IRREVOCABLY WAIVES, TO THE FULLEST EXTENT PERMITTED BY APPLICABLE LAW, ANY AND ALL RIGHT TO TRIAL BY JURY IN ANY LEGAL PROCEEDING ARISING OUT OF OR RELATING TO THIS SUPPLEMENTAL INDENTURE, THE INDENTURE (AS IT RELATES TO THE NOTES), THE NOTES OR THE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9.2</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the Company in this Supplemental Indenture and the Notes shall bind its successors. All agreements of the Trustee in this Supplemental Indenture shall bind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9.3</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Multiple Originals.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may sign any number of copies of this Supplemental Indenture. Each signed copy shall be an original, but all of them together represent the same agreement. One signed copy is enough to prove this Supplemental Indenture. The exchange of copies of this Supplemental Indenture and of signature pages by facsimile or PDF transmission shall constitute effective execution and delivery of this Supplemental Indenture as to the parties hereto and may be used in lieu of the original instrument for all purposes. Signature pages of the parties hereto transmitted by facsimile or PDF shall be deemed to be their original signatures for all purposes.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is subject to Section 10.9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9.4</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Paying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initially appoints the Trustee as Paying Agent and Registrar with respect to any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9.5</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Severability.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Supplemental Indenture, the Indenture or the Notes shall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9.6</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Trust Indenture Act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the Indenture limits, qualifies, or conflicts with another provision that is required or deemed to be included in the Indenture by the Trust Indenture Act, such required or deemed provision shall control. If any provision of the Indenture modifies or excludes any provision of the Trust Indenture Act that may be so modified or excluded, the provision of the Trust Indenture Act shall be deemed to apply to the Indenture as so modified or shall be excluded,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9.7</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Table of Contents; Headings.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cross-reference sheet and headings of the Articles and Sections of this Supplemental Indenture have been inserted for convenience of reference only, are not intended to be considered a part hereof and shall not modify or restrict any of the terms or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9.8</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No Adverse Interpretation of Other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insofar as relating to the Notes may not be used to interpret any other indenture, loan or debt agreement (including the Indenture (including any other supplemental indenture thereto) insofar as relating to any series of Securities other than the Notes) of the Company or any Subsidiaries or of any other Person. Any such indenture, loan or debt agreement (including the Indenture (including any other supplemental indenture thereto) insofar as relating to any series of Securities other than the Notes) may not be used to interpret the Indenture insofar as relating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9.9</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Ratification and Incorporation of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supplemented hereby, the Base Indenture is in all respects ratified and confirmed, and the Base Indenture and this Supplemental Indenture shall be read, taken and construed as one and the same instrument. This Supplemental Indenture shall form a part of the Indenture for all purposes (as it relates to the Notes), and every Holder of Notes shall be bound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9.10</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Benefits of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Supplemental Indenture or the Base Indenture (as it relates to the Notes) or in the Notes, express or implied, shall give to any Person, other than the parties to this Supplemental Indenture and their successors hereunder and the Holders of the Notes, any benefit or any legal or equitable right, remedy or claim under this Supplemental Indenture as it relates to the Notes or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Section 9.11</w:t>
      </w:r>
      <w:r>
        <w:rPr>
          <w:rFonts w:ascii="Times New Roman;Times;Serif" w:hAnsi="Times New Roman;Times;Serif"/>
          <w:b w:val="false"/>
          <w:i w:val="false"/>
          <w:caps w:val="false"/>
          <w:smallCaps w:val="false"/>
          <w:color w:val="010000"/>
          <w:sz w:val="20"/>
        </w:rPr>
        <w:t>          </w:t>
      </w:r>
      <w:r>
        <w:rPr>
          <w:rFonts w:ascii="Times New Roman;Times;Serif" w:hAnsi="Times New Roman;Times;Serif"/>
          <w:b/>
          <w:i w:val="false"/>
          <w:caps w:val="false"/>
          <w:smallCaps w:val="false"/>
          <w:sz w:val="20"/>
          <w:u w:val="single"/>
        </w:rPr>
        <w:t>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responsible in any manner whatsoever for or in respect of the validity, sufficiency or adequacy of this Supplemental Indenture or for or in respect of the statements or recitals contained herein, all of which recitals are made solely by the Company, and the Trustee assumes no responsibility for their correctness.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Supplemental Indenture to be duly executed, all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894" w:type="dxa"/>
        <w:jc w:val="left"/>
        <w:tblInd w:w="0" w:type="dxa"/>
        <w:tblLayout w:type="fixed"/>
        <w:tblCellMar>
          <w:top w:w="0" w:type="dxa"/>
          <w:left w:w="0" w:type="dxa"/>
          <w:bottom w:w="0" w:type="dxa"/>
          <w:right w:w="0" w:type="dxa"/>
        </w:tblCellMar>
      </w:tblPr>
      <w:tblGrid>
        <w:gridCol w:w="75"/>
        <w:gridCol w:w="845"/>
        <w:gridCol w:w="3974"/>
      </w:tblGrid>
      <w:tr>
        <w:trPr/>
        <w:tc>
          <w:tcPr>
            <w:tcW w:w="75" w:type="dxa"/>
            <w:tcBorders/>
            <w:vAlign w:val="center"/>
          </w:tcPr>
          <w:p>
            <w:pPr>
              <w:pStyle w:val="TableContents"/>
              <w:bidi w:val="0"/>
              <w:spacing w:before="0" w:after="283"/>
              <w:jc w:val="left"/>
              <w:rPr/>
            </w:pPr>
            <w:r>
              <w:rPr/>
              <w:t> </w:t>
            </w:r>
          </w:p>
        </w:tc>
        <w:tc>
          <w:tcPr>
            <w:tcW w:w="48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EXPAND ENERGY CORPORATION,</w:t>
            </w:r>
          </w:p>
        </w:tc>
      </w:tr>
      <w:tr>
        <w:trPr/>
        <w:tc>
          <w:tcPr>
            <w:tcW w:w="75" w:type="dxa"/>
            <w:tcBorders/>
            <w:vAlign w:val="center"/>
          </w:tcPr>
          <w:p>
            <w:pPr>
              <w:pStyle w:val="TableContents"/>
              <w:bidi w:val="0"/>
              <w:spacing w:before="0" w:after="283"/>
              <w:jc w:val="left"/>
              <w:rPr/>
            </w:pPr>
            <w:r>
              <w:rPr/>
              <w:t> </w:t>
            </w:r>
          </w:p>
        </w:tc>
        <w:tc>
          <w:tcPr>
            <w:tcW w:w="48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w:t>
            </w:r>
          </w:p>
        </w:tc>
      </w:tr>
      <w:tr>
        <w:trPr/>
        <w:tc>
          <w:tcPr>
            <w:tcW w:w="75" w:type="dxa"/>
            <w:tcBorders/>
            <w:vAlign w:val="center"/>
          </w:tcPr>
          <w:p>
            <w:pPr>
              <w:pStyle w:val="TableContents"/>
              <w:bidi w:val="0"/>
              <w:spacing w:before="0" w:after="283"/>
              <w:jc w:val="left"/>
              <w:rPr/>
            </w:pPr>
            <w:r>
              <w:rPr/>
              <w:t> </w:t>
            </w:r>
          </w:p>
        </w:tc>
        <w:tc>
          <w:tcPr>
            <w:tcW w:w="48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7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Marcel Teunissen</w:t>
            </w:r>
          </w:p>
        </w:tc>
      </w:tr>
      <w:tr>
        <w:trPr/>
        <w:tc>
          <w:tcPr>
            <w:tcW w:w="75" w:type="dxa"/>
            <w:tcBorders/>
            <w:vAlign w:val="center"/>
          </w:tcPr>
          <w:p>
            <w:pPr>
              <w:pStyle w:val="TableContents"/>
              <w:bidi w:val="0"/>
              <w:spacing w:before="0" w:after="283"/>
              <w:jc w:val="left"/>
              <w:rPr/>
            </w:pPr>
            <w:r>
              <w:rPr/>
              <w:t> </w:t>
            </w:r>
          </w:p>
        </w:tc>
        <w:tc>
          <w:tcPr>
            <w:tcW w:w="48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Marcel Teunissen</w:t>
            </w:r>
          </w:p>
        </w:tc>
      </w:tr>
      <w:tr>
        <w:trPr/>
        <w:tc>
          <w:tcPr>
            <w:tcW w:w="75" w:type="dxa"/>
            <w:tcBorders/>
            <w:vAlign w:val="center"/>
          </w:tcPr>
          <w:p>
            <w:pPr>
              <w:pStyle w:val="TableContents"/>
              <w:bidi w:val="0"/>
              <w:spacing w:before="0" w:after="283"/>
              <w:jc w:val="left"/>
              <w:rPr/>
            </w:pPr>
            <w:r>
              <w:rPr/>
              <w:t> </w:t>
            </w:r>
          </w:p>
        </w:tc>
        <w:tc>
          <w:tcPr>
            <w:tcW w:w="48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48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tc>
      </w:tr>
      <w:tr>
        <w:trPr/>
        <w:tc>
          <w:tcPr>
            <w:tcW w:w="75" w:type="dxa"/>
            <w:tcBorders/>
            <w:vAlign w:val="center"/>
          </w:tcPr>
          <w:p>
            <w:pPr>
              <w:pStyle w:val="TableContents"/>
              <w:bidi w:val="0"/>
              <w:spacing w:before="0" w:after="283"/>
              <w:jc w:val="left"/>
              <w:rPr/>
            </w:pPr>
            <w:r>
              <w:rPr/>
              <w:t> </w:t>
            </w:r>
          </w:p>
        </w:tc>
        <w:tc>
          <w:tcPr>
            <w:tcW w:w="48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REGIONS BANK,</w:t>
            </w:r>
          </w:p>
        </w:tc>
      </w:tr>
      <w:tr>
        <w:trPr/>
        <w:tc>
          <w:tcPr>
            <w:tcW w:w="75" w:type="dxa"/>
            <w:tcBorders/>
            <w:vAlign w:val="center"/>
          </w:tcPr>
          <w:p>
            <w:pPr>
              <w:pStyle w:val="TableContents"/>
              <w:bidi w:val="0"/>
              <w:spacing w:before="0" w:after="283"/>
              <w:jc w:val="left"/>
              <w:rPr/>
            </w:pPr>
            <w:r>
              <w:rPr/>
              <w:t> </w:t>
            </w:r>
          </w:p>
        </w:tc>
        <w:tc>
          <w:tcPr>
            <w:tcW w:w="48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75" w:type="dxa"/>
            <w:tcBorders/>
            <w:vAlign w:val="center"/>
          </w:tcPr>
          <w:p>
            <w:pPr>
              <w:pStyle w:val="TableContents"/>
              <w:bidi w:val="0"/>
              <w:spacing w:before="0" w:after="283"/>
              <w:jc w:val="left"/>
              <w:rPr/>
            </w:pPr>
            <w:r>
              <w:rPr/>
              <w:t> </w:t>
            </w:r>
          </w:p>
        </w:tc>
        <w:tc>
          <w:tcPr>
            <w:tcW w:w="48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97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Marcus Wilson</w:t>
            </w:r>
          </w:p>
        </w:tc>
      </w:tr>
      <w:tr>
        <w:trPr/>
        <w:tc>
          <w:tcPr>
            <w:tcW w:w="75" w:type="dxa"/>
            <w:tcBorders/>
            <w:vAlign w:val="center"/>
          </w:tcPr>
          <w:p>
            <w:pPr>
              <w:pStyle w:val="TableContents"/>
              <w:bidi w:val="0"/>
              <w:spacing w:before="0" w:after="283"/>
              <w:jc w:val="left"/>
              <w:rPr/>
            </w:pPr>
            <w:r>
              <w:rPr/>
              <w:t> </w:t>
            </w:r>
          </w:p>
        </w:tc>
        <w:tc>
          <w:tcPr>
            <w:tcW w:w="48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Marcus Wilson</w:t>
            </w:r>
          </w:p>
        </w:tc>
      </w:tr>
      <w:tr>
        <w:trPr/>
        <w:tc>
          <w:tcPr>
            <w:tcW w:w="75" w:type="dxa"/>
            <w:tcBorders/>
            <w:vAlign w:val="center"/>
          </w:tcPr>
          <w:p>
            <w:pPr>
              <w:pStyle w:val="TableContents"/>
              <w:bidi w:val="0"/>
              <w:spacing w:before="0" w:after="283"/>
              <w:jc w:val="left"/>
              <w:rPr/>
            </w:pPr>
            <w:r>
              <w:rPr/>
              <w:t> </w:t>
            </w:r>
          </w:p>
        </w:tc>
        <w:tc>
          <w:tcPr>
            <w:tcW w:w="48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FACE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GLOBAL NOTE WITHIN THE MEANING OF THE INDENTURE HEREINAFTER REFERRED TO AND IS REGISTERED IN THE NAME OF A DEPOSITARY OR A NOMINEE OF A DEPOSITARY OR A SUCCESSOR DEPOSITARY. UNLESS AND UNTIL IT IS EXCHANGED IN WHOLE OR IN PART FOR SECURITIES IN CERTIFICATED FORM, THIS SECURITY MAY NOT BE TRANSFERRED EXCEPT AS A WHOLE BY THE DEPOSITORY TRUST COMPANY, A NEW YORK CORPORATION (THE “DEPOSITARY”) TO THE NOMINEE OF THE DEPOSITARY OR BY A NOMINEE OF THE DEPOSITARY TO THE DEPOSITARY OR ANOTHER NOMINEE OF THE DEPOSITARY OR BY THE DEPOSITARY OR ANY SUCH NOMINEE TO A SUCCESSOR DEPOSITARY OR A NOMINEE OF SUCH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SECURITY IS PRESENTED BY AN AUTHORIZED REPRESENTATIVE OF THE DEPOSITARY TO THE ISSUER OR ITS AGENT FOR REGISTRATION OF TRANSFER, EXCHANGE, OR PAYMENT, AND ANY SECURITY ISSUED IS REGISTERED IN THE NAME OF CEDE &amp; CO. OR IN SUCH OTHER NAME AS IS REQUESTED BY AN AUTHORIZED REPRESENTATIVE OF THE DEPOSITARY (AND ANY PAYMENT IS MADE TO CEDE &amp; CO. OR TO SUCH OTHER ENTITY AS IS REQUESTED BY AN AUTHORIZED REPRESENTATIVE OF THE DEPOSITARY), ANY TRANSFER, PLEDGE OR OTHER USE HEREOF FOR VALUE OR OTHERWISE BY OR TO ANY PERSON IS WRONGFUL INASMUCH AS THE REGISTERED OWNER HEREOF, CEDE &amp; CO., HAS AN INTEREST HEREIN.]</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575"/>
        <w:gridCol w:w="2420"/>
      </w:tblGrid>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   ]</w:t>
            </w:r>
          </w:p>
        </w:tc>
        <w:tc>
          <w:tcPr>
            <w:tcW w:w="2420" w:type="dxa"/>
            <w:tcBorders/>
            <w:vAlign w:val="center"/>
          </w:tcPr>
          <w:p>
            <w:pPr>
              <w:pStyle w:val="TableContents"/>
              <w:bidi w:val="0"/>
              <w:spacing w:before="0" w:after="283"/>
              <w:jc w:val="right"/>
              <w:rPr/>
            </w:pPr>
            <w:r>
              <w:rPr/>
              <w:t>Principal Amount $ [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revised by the Schedule of Increases and Decreases in the Global Note attached hereto]</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165167 DJ3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US165167DJ30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EXPAND ENERGY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5.650% Senior Note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Energy Corporation, an Oklahoma corporation, promises to pay to [Cede &amp; Co.] or registered assigns, the principal sum of [        ] Dollars, [as revised by the Schedule of Increases and Decreases in the Global Note attached hereto], on September 15,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Depositary legend,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For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Interest Payment Dates: </w:t>
      </w:r>
      <w:r>
        <w:rPr>
          <w:rFonts w:ascii="Times New Roman;Times;Serif" w:hAnsi="Times New Roman;Times;Serif"/>
          <w:b w:val="false"/>
          <w:i w:val="false"/>
          <w:caps w:val="false"/>
          <w:smallCaps w:val="false"/>
          <w:sz w:val="20"/>
        </w:rPr>
        <w:t>September 15 and March 15, commencing March 15, 2027.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Regular Record Dates: </w:t>
      </w:r>
      <w:r>
        <w:rPr>
          <w:rFonts w:ascii="Times New Roman;Times;Serif" w:hAnsi="Times New Roman;Times;Serif"/>
          <w:b w:val="false"/>
          <w:i w:val="false"/>
          <w:caps w:val="false"/>
          <w:smallCaps w:val="false"/>
          <w:sz w:val="20"/>
        </w:rPr>
        <w:t>September 1 and March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provisions of this Note are set forth on the other side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Note to be signed manually or by facsimile by its duly authorized officer.</w:t>
      </w:r>
    </w:p>
    <w:p>
      <w:pPr>
        <w:pStyle w:val="TextBody"/>
        <w:bidi w:val="0"/>
        <w:spacing w:before="0" w:after="0"/>
        <w:ind w:left="0" w:right="0" w:hanging="0"/>
        <w:jc w:val="left"/>
        <w:rPr>
          <w:caps w:val="false"/>
          <w:smallCaps w:val="false"/>
        </w:rPr>
      </w:pPr>
      <w:r>
        <w:rPr>
          <w:caps w:val="false"/>
          <w:smallCaps w:val="false"/>
        </w:rPr>
        <w:t> </w:t>
      </w:r>
    </w:p>
    <w:tbl>
      <w:tblPr>
        <w:tblW w:w="3274" w:type="dxa"/>
        <w:jc w:val="left"/>
        <w:tblInd w:w="0" w:type="dxa"/>
        <w:tblLayout w:type="fixed"/>
        <w:tblCellMar>
          <w:top w:w="0" w:type="dxa"/>
          <w:left w:w="0" w:type="dxa"/>
          <w:bottom w:w="0" w:type="dxa"/>
          <w:right w:w="0" w:type="dxa"/>
        </w:tblCellMar>
      </w:tblPr>
      <w:tblGrid>
        <w:gridCol w:w="75"/>
        <w:gridCol w:w="1924"/>
        <w:gridCol w:w="1275"/>
      </w:tblGrid>
      <w:tr>
        <w:trPr/>
        <w:tc>
          <w:tcPr>
            <w:tcW w:w="75"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EXPAND ENERGY CORPORATION</w:t>
            </w:r>
          </w:p>
        </w:tc>
      </w:tr>
      <w:tr>
        <w:trPr/>
        <w:tc>
          <w:tcPr>
            <w:tcW w:w="75"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Regions Bank, as Trustee, certifies that this is one of the Notes referred to in the Indenture.</w:t>
      </w:r>
    </w:p>
    <w:p>
      <w:pPr>
        <w:pStyle w:val="TextBody"/>
        <w:bidi w:val="0"/>
        <w:spacing w:before="0" w:after="0"/>
        <w:ind w:left="0" w:right="0" w:hanging="0"/>
        <w:jc w:val="left"/>
        <w:rPr>
          <w:caps w:val="false"/>
          <w:smallCaps w:val="false"/>
        </w:rPr>
      </w:pPr>
      <w:r>
        <w:rPr>
          <w:caps w:val="false"/>
          <w:smallCaps w:val="false"/>
        </w:rPr>
        <w:t> </w:t>
      </w:r>
    </w:p>
    <w:tbl>
      <w:tblPr>
        <w:tblW w:w="1864" w:type="dxa"/>
        <w:jc w:val="left"/>
        <w:tblInd w:w="0" w:type="dxa"/>
        <w:tblLayout w:type="fixed"/>
        <w:tblCellMar>
          <w:top w:w="0" w:type="dxa"/>
          <w:left w:w="0" w:type="dxa"/>
          <w:bottom w:w="0" w:type="dxa"/>
          <w:right w:w="0" w:type="dxa"/>
        </w:tblCellMar>
      </w:tblPr>
      <w:tblGrid>
        <w:gridCol w:w="75"/>
        <w:gridCol w:w="581"/>
        <w:gridCol w:w="1208"/>
      </w:tblGrid>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0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REVERSE SIDE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5.650% Senior Note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Energy Corporation, an Oklahoma corporation (such corporation, and its successors and assigns under the Indenture hereinafter referred to, being herein called the “Company”), promises to pay interest on the principal amount of this Note at the rate per annum shown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interest semiannually on September 15 and March 15 of each year, commencing March 15, 2027. Interest on the Notes shall accrue from the most recent date to which interest has been paid on the Notes or, if no interest has been paid, from September 17, 2026. The Company shall pay interest on overdue principal or premium, if any (plus interest on overdue installments of interest to the extent lawful), at the rate borne by the Notes to the extent lawful. Interest shall be computed on the basis of a 360-day year comprised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Method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no later than 12:30 p.m. (New York City time) on the date on which any principal of, premium, if any, or interest on any Note is due and payable, the Company shall irrevocably deposit with the Trustee or the Paying Agent money sufficient to pay such principal, premium, if any, or interest. The Company shall pay interest (except Defaulted Interest) to the Persons who are registered Holders at the close of business on the September 1 or March 1 immediately preceding the interest payment date even if the Notes are cancelled or repurchased after the Regular Record Date and on or before the Interest Payment Date. Holders must surrender the Notes to a Paying Agent to collect principal payments. The Company shall pay principal of, premium, if any, and interest on the Notes in money of the United States that at the time of payment is legal tender for payment of public and private debts. The Company shall pay principal of, premium, if any, and interest on the Notes at the office or agency designated by the Company, which is initially the corporate trust office of the Trustee in Birmingham, Alabama. The Company shall pay principal of, premium, if any, and interest on the Global Notes registered in the name of or held by the Depositary or its nominee in immediately available funds to the Depositary or its nominee, as the case may be, as the registered holder of such Global Note. The Company shall make all payments in respect of a Definitive Note by mailing a check to the registered address of each Holder thereof as such address shall appear on the Registrar’s books; provided, however, that payments on the Notes represented by Definitive Notes may also be made, by wire transfer to a U.S. dollar account maintained by the payee with a bank in the United States if such Holder elects payment by wire transfer by giving written notice to the Trustee or the Paying Agent in accordance with the terms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Paying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Regions Bank, the trustee under the Indenture (such corporation, and its successors and assigns under the Indenture hereinafter referred to, being herein called the “Trustee”), shall act as Paying Agent and Registrar. The Company may appoint and change any Paying Agent or Registrar without notice to any Holder. The Company or any of its Subsidiaries may act as Paying Agent or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the Notes as a series of Securities under the Indenture dated as of December 2, 2024 (the “Base Indenture”) between the Company and the Trustee, as supplemented by the Second Supplemental Indenture dated as of September 17, 2026 (the “Supplemental Indenture” and, together with the Base Indenture and any one or more additional supplemental indentures thereto applicable to the Notes, herein called the “Indenture”) by and between the Company and the Trustee. The terms of the Notes include those stated in the Indenture and those made part of the Indenture by reference to the Trust Indenture Act. Capitalized terms used herein and not defined herein have the meanings ascribed thereto in the Indenture. The Notes are subject to all such terms, and Holders are referred to the Indenture and the Trust Indenture Act for a statement of those terms. In the event of any inconsistency between the terms of this Note and the terms of the Indenture, the terms of the Indenture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Notes that may be authenticated and delivered under the Indenture is unlimited. This Note is one of the 5.650% Senior Notes due 2031 referred to in the Indenture. The Notes include (i) $500,000,000 aggregate principal amount of the Company’s 5.650% Senior Notes due 2031 issued under the Indenture on September 17, 2026 in an offering registered under the Securities Act (the “Initial Notes”), and (ii) if and when issued, an unlimited principal amount of additional 5.650% Senior Notes due 2031 that may be issued from time to time, under the Indenture, subsequent to September 17, 2026 (the “Additional Notes” and, together with the Initial Notes, the “Notes”). The Initial Notes and the Additional Notes shall be considered collectively as a single series of Securities for all purposes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Prior to August 15, 2031 (the “Par Call Date”), the Company may redeem the Notes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on the Notes to be redeemed discounted to the Redemption Date (assuming the Notes matured on the Par Call Date) on a semi-annual basis (assuming a 360-day year consisting of twelve 30-day months) at the Treasury Rate plus 20 basis points less (b) interest accrued to the Redemption Date, and (2) 100% of the principal amount of the Notes to be redeemed, plus, in either case, accrued and unpaid interest thereon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On or after the Par Call Date, the Company may redeem the Notes, in whole or in part, at any time and from time to time, at a Redemption Price equal to 100% of the principal amount of the Notes being redeemed plus accrued and unpaid interest thereon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Denominations; Transfer;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in registered form without coupons in denominations of principal amount of $2,000 or an integral multiple of $1,000 in excess thereof. A Holder may transfer or exchange Notes in accordance with the Indenture. The Registrar and the Trustee may require a Holder, among other things, to furnish appropriate endorsements and transfer documents. No service charge will be imposed by the Company, the Trustee or the Registrar for any registration of transfer or exchange of the Notes, but the Company may require a Holder to pay a sum sufficient to cover any transfer tax or other governmental taxes and fees required by law or permitted by the Indenture. The Company is not required to transfer or exchange any Note selected for redemption or any Note for a period of 15 days before a selection of the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Persons Deemed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Holder of this Note shall be treated as the owner of it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Unclaimed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unclaimed property laws, if money for the payment of the principal of, or premium, if any, or interest remains unclaimed for two years, the Trustee or Paying Agent shall pay the money back to the Company at its written request unless an abandoned property law designates another Person. After any such payment, Holders entitled to the money must look only to the Company and not to the Trustee or the Paying Agent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set forth in the Indenture, the Company at any time may terminate some or all of its obligations under the Notes and the Indenture if the Company deposits with the Trustee money or U.S. Government Obligations for the payment of principal, premium, if any, and interest on the Notes to Stated Maturity or a specified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Amendment, Supplement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Supplemental Indenture, the Base Indenture (as it relates to the Notes) and the Notes may be amended or supplemented and certain provisions may be waived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Defaults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Events of Default as to the Notes are defined in Section 6.1 of the Supplemental Indenture. Upon the occurrence of an Event of Default, the rights and obligations of the Company, the Trustee and the Holders shall be as set forth in the applicable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Trustee Dealings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set forth in the Indenture, the Trustee, any Authenticating Agent, any Paying Agent, any Registrar or any other agent of the Company, in its individual or any other capacity, may become the owner or pledgee of the Notes and may otherwise deal with the Company with the same rights it would have if it were not Trustee, Authenticating Agent, Paying Agent, Registrar or such other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No Recourse Against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past, present or future director, officer, employee, manager, member, partner, incorporator or stockholder of the Company, as such, will have any liability for any obligations of the Company, respectively, under the Notes or the Indenture or for any claim based on, in respect of, or by reason of, such obligations or their creation. Each Holder of the Notes by accepting a Note waives and releases all such liability. The waiver and release are part of the consideration for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not be valid until an authorized signatory of the Trustee (or an Authenticating Agent acting on its behalf) manually signs the certificate of authentication on the other side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Abbreviations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Customary abbreviations may be used in the name of a Holder or an assignee, such as TEN COM (=tenants in common), TEN ENT (=tenants by the entirety), JT TEN (=joint tenants with rights of survivorship and not as tenants in common), CUST (=custodian) and U/G/M/A (=Uniform Gift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Security Identification Procedures, the Company has caused CUSIP numbers to be printed on the Notes. No representation is made as to the accuracy of such numbers as printed on the Notes and reliance may be placed only on the other identification numbers placed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Note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 agent to transfer this Note on the books of the Company.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                                                                                                                     Your Signature: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 ______________________________ (Signature must be guaranteed)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other side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signature(s) should be guaranteed by an eligible guarantor institution (banks, stockbrokers, savings and loan associations and credit unions with membership in an approved signature guarantee medallion program), pursuant to S.E.C. Rule 17Ad-15.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ATTACHED TO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INCREASES AND DECREASES IN GLOBAL NOTE</w:t>
      </w:r>
      <w:r>
        <w:rPr>
          <w:rFonts w:ascii="Times New Roman;Times;Serif" w:hAnsi="Times New Roman;Times;Serif"/>
          <w:b/>
          <w:i w:val="false"/>
          <w:caps w:val="false"/>
          <w:smallCaps w:val="false"/>
          <w:position w:val="7"/>
          <w:sz w:val="16"/>
          <w:sz w:val="2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increases or decreases in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5245" w:type="dxa"/>
        <w:jc w:val="center"/>
        <w:tblInd w:w="0" w:type="dxa"/>
        <w:tblLayout w:type="fixed"/>
        <w:tblCellMar>
          <w:top w:w="28" w:type="dxa"/>
          <w:left w:w="28" w:type="dxa"/>
          <w:bottom w:w="28" w:type="dxa"/>
          <w:right w:w="28" w:type="dxa"/>
        </w:tblCellMar>
      </w:tblPr>
      <w:tblGrid>
        <w:gridCol w:w="905"/>
        <w:gridCol w:w="1010"/>
        <w:gridCol w:w="995"/>
        <w:gridCol w:w="1220"/>
        <w:gridCol w:w="1115"/>
      </w:tblGrid>
      <w:tr>
        <w:trPr/>
        <w:tc>
          <w:tcPr>
            <w:tcW w:w="9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Date of </w:t>
              <w:br/>
              <w:t xml:space="preserve">Increase / </w:t>
              <w:br/>
              <w:t>Decrease</w:t>
            </w:r>
          </w:p>
        </w:tc>
        <w:tc>
          <w:tcPr>
            <w:tcW w:w="10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Amount of </w:t>
              <w:br/>
              <w:t xml:space="preserve">decrease in </w:t>
              <w:br/>
              <w:t xml:space="preserve">Principal </w:t>
              <w:br/>
              <w:t xml:space="preserve">Amount of </w:t>
              <w:br/>
              <w:t xml:space="preserve">this Global </w:t>
              <w:br/>
              <w:t>Note</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 of</w:t>
              <w:br/>
              <w:t xml:space="preserve">increase in </w:t>
              <w:br/>
              <w:t xml:space="preserve">Principal </w:t>
              <w:br/>
              <w:t xml:space="preserve">Amount of </w:t>
              <w:br/>
              <w:t xml:space="preserve">this Global </w:t>
              <w:br/>
              <w:t>Note</w:t>
            </w:r>
          </w:p>
        </w:tc>
        <w:tc>
          <w:tcPr>
            <w:tcW w:w="12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Principal </w:t>
              <w:br/>
              <w:t>Amount of</w:t>
              <w:br/>
              <w:t>this Global</w:t>
              <w:br/>
              <w:t>Note</w:t>
              <w:br/>
              <w:t xml:space="preserve">following </w:t>
              <w:br/>
              <w:t xml:space="preserve">such decrease </w:t>
              <w:br/>
              <w:t>or increase</w:t>
            </w:r>
          </w:p>
        </w:tc>
        <w:tc>
          <w:tcPr>
            <w:tcW w:w="11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Signature of </w:t>
              <w:br/>
              <w:t xml:space="preserve">authorized </w:t>
              <w:br/>
              <w:t xml:space="preserve">signatory of </w:t>
              <w:br/>
              <w:t xml:space="preserve">Trustee or </w:t>
              <w:br/>
              <w:t xml:space="preserve">Notes </w:t>
              <w:br/>
              <w:t>Custodian</w:t>
            </w:r>
          </w:p>
        </w:tc>
      </w:tr>
      <w:tr>
        <w:trPr/>
        <w:tc>
          <w:tcPr>
            <w:tcW w:w="9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9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9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9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Global Notes.</w:t>
      </w:r>
    </w:p>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283"/>
        <w:jc w:val="left"/>
        <w:rPr/>
      </w:pPr>
      <w:r>
        <w:rPr/>
        <w:t> </w:t>
      </w:r>
    </w:p>
    <w:p>
      <w:pPr>
        <w:pStyle w:val="TextBody"/>
        <w:bidi w:val="0"/>
        <w:jc w:val="left"/>
        <w:rPr/>
      </w:pPr>
      <w:bookmarkStart w:id="24" w:name="tm2625334d5_ex5-1.htm"/>
      <w:bookmarkStart w:id="25" w:name="kstm2625334d5_ex51"/>
      <w:bookmarkEnd w:id="24"/>
      <w:bookmarkEnd w:id="2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66950" cy="32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2266950" cy="3238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865"/>
        <w:gridCol w:w="1430"/>
      </w:tblGrid>
      <w:tr>
        <w:trPr/>
        <w:tc>
          <w:tcPr>
            <w:tcW w:w="3370" w:type="dxa"/>
            <w:gridSpan w:val="3"/>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8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 Main Street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77002</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143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Facsimile:</w:t>
              <w:br/>
              <w:t>+1 713 836 3601</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+1 713 836 3600</w:t>
            </w:r>
          </w:p>
        </w:tc>
        <w:tc>
          <w:tcPr>
            <w:tcW w:w="1430"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1430"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www.kirkland.com</w:t>
            </w:r>
          </w:p>
        </w:tc>
        <w:tc>
          <w:tcPr>
            <w:tcW w:w="143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September </w:t>
      </w: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shd w:fill="FFFFFF" w:val="clear"/>
        </w:rPr>
        <w:t>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Expand Energy Corporation</w:t>
        <w:br/>
      </w:r>
      <w:r>
        <w:rPr>
          <w:rFonts w:ascii="Times New Roman;Times;Serif" w:hAnsi="Times New Roman;Times;Serif"/>
          <w:b w:val="false"/>
          <w:i w:val="false"/>
          <w:caps w:val="false"/>
          <w:smallCaps w:val="false"/>
          <w:sz w:val="20"/>
        </w:rPr>
        <w:t>10000 Energy Drive</w:t>
      </w:r>
      <w:r>
        <w:rPr>
          <w:rFonts w:ascii="Times New Roman;Times;Serif" w:hAnsi="Times New Roman;Times;Serif"/>
          <w:b w:val="false"/>
          <w:i w:val="false"/>
          <w:caps w:val="false"/>
          <w:smallCaps w:val="false"/>
          <w:sz w:val="20"/>
          <w:shd w:fill="FFFF00" w:val="clear"/>
        </w:rPr>
        <w:br/>
      </w:r>
      <w:r>
        <w:rPr>
          <w:rFonts w:ascii="Times New Roman;Times;Serif" w:hAnsi="Times New Roman;Times;Serif"/>
          <w:b w:val="false"/>
          <w:i w:val="false"/>
          <w:caps w:val="false"/>
          <w:smallCaps w:val="false"/>
          <w:sz w:val="20"/>
          <w:shd w:fill="FFFFFF" w:val="clear"/>
        </w:rPr>
        <w:t>Spring, Texas 77389</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75"/>
        <w:gridCol w:w="305"/>
        <w:gridCol w:w="255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Re:</w:t>
            </w:r>
          </w:p>
        </w:tc>
        <w:tc>
          <w:tcPr>
            <w:tcW w:w="2555"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Expand Energy Corporation</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5.650% Senior Notes due 2031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We have acted as special legal counsel to Expand Energy Corporation, an Oklahoma corporation (the “</w:t>
      </w:r>
      <w:r>
        <w:rPr>
          <w:rFonts w:ascii="Times New Roman;Times;Serif" w:hAnsi="Times New Roman;Times;Serif"/>
          <w:b w:val="false"/>
          <w:i w:val="false"/>
          <w:caps w:val="false"/>
          <w:smallCaps w:val="false"/>
          <w:sz w:val="20"/>
          <w:u w:val="single"/>
          <w:shd w:fill="FFFFFF" w:val="clear"/>
        </w:rPr>
        <w:t>Company</w:t>
      </w:r>
      <w:r>
        <w:rPr>
          <w:rFonts w:ascii="Times New Roman;Times;Serif" w:hAnsi="Times New Roman;Times;Serif"/>
          <w:b w:val="false"/>
          <w:i w:val="false"/>
          <w:caps w:val="false"/>
          <w:smallCaps w:val="false"/>
          <w:sz w:val="20"/>
          <w:shd w:fill="FFFFFF" w:val="clear"/>
        </w:rPr>
        <w:t>”), in connection with the issuance and sale of $</w:t>
      </w:r>
      <w:r>
        <w:rPr>
          <w:rFonts w:ascii="Times New Roman;Times;Serif" w:hAnsi="Times New Roman;Times;Serif"/>
          <w:b w:val="false"/>
          <w:i w:val="false"/>
          <w:caps w:val="false"/>
          <w:smallCaps w:val="false"/>
          <w:sz w:val="20"/>
        </w:rPr>
        <w:t xml:space="preserve">500,000,000 </w:t>
      </w:r>
      <w:r>
        <w:rPr>
          <w:rFonts w:ascii="Times New Roman;Times;Serif" w:hAnsi="Times New Roman;Times;Serif"/>
          <w:b w:val="false"/>
          <w:i w:val="false"/>
          <w:caps w:val="false"/>
          <w:smallCaps w:val="false"/>
          <w:sz w:val="20"/>
          <w:shd w:fill="FFFFFF" w:val="clear"/>
        </w:rPr>
        <w:t xml:space="preserve">in aggregate principal amount of the Company’s </w:t>
      </w:r>
      <w:r>
        <w:rPr>
          <w:rFonts w:ascii="Times New Roman;Times;Serif" w:hAnsi="Times New Roman;Times;Serif"/>
          <w:b w:val="false"/>
          <w:i w:val="false"/>
          <w:caps w:val="false"/>
          <w:smallCaps w:val="false"/>
          <w:sz w:val="20"/>
        </w:rPr>
        <w:t>5.650</w:t>
      </w:r>
      <w:r>
        <w:rPr>
          <w:rFonts w:ascii="Times New Roman;Times;Serif" w:hAnsi="Times New Roman;Times;Serif"/>
          <w:b w:val="false"/>
          <w:i w:val="false"/>
          <w:caps w:val="false"/>
          <w:smallCaps w:val="false"/>
          <w:sz w:val="20"/>
          <w:shd w:fill="FFFFFF" w:val="clear"/>
        </w:rPr>
        <w:t>% Senior Notes due 2031 (the “</w:t>
      </w:r>
      <w:r>
        <w:rPr>
          <w:rFonts w:ascii="Times New Roman;Times;Serif" w:hAnsi="Times New Roman;Times;Serif"/>
          <w:b w:val="false"/>
          <w:i w:val="false"/>
          <w:caps w:val="false"/>
          <w:smallCaps w:val="false"/>
          <w:sz w:val="20"/>
          <w:u w:val="single"/>
          <w:shd w:fill="FFFFFF" w:val="clear"/>
        </w:rPr>
        <w:t>Notes</w:t>
      </w:r>
      <w:r>
        <w:rPr>
          <w:rFonts w:ascii="Times New Roman;Times;Serif" w:hAnsi="Times New Roman;Times;Serif"/>
          <w:b w:val="false"/>
          <w:i w:val="false"/>
          <w:caps w:val="false"/>
          <w:smallCaps w:val="false"/>
          <w:sz w:val="20"/>
          <w:shd w:fill="FFFFFF" w:val="clear"/>
        </w:rPr>
        <w:t xml:space="preserve">”), which were sold pursuant to the Underwriting Agreement, dated </w:t>
      </w:r>
      <w:r>
        <w:rPr>
          <w:rFonts w:ascii="Times New Roman;Times;Serif" w:hAnsi="Times New Roman;Times;Serif"/>
          <w:b w:val="false"/>
          <w:i w:val="false"/>
          <w:caps w:val="false"/>
          <w:smallCaps w:val="false"/>
          <w:sz w:val="20"/>
        </w:rPr>
        <w:t xml:space="preserve">September 15, 2026 </w:t>
      </w:r>
      <w:r>
        <w:rPr>
          <w:rFonts w:ascii="Times New Roman;Times;Serif" w:hAnsi="Times New Roman;Times;Serif"/>
          <w:b w:val="false"/>
          <w:i w:val="false"/>
          <w:caps w:val="false"/>
          <w:smallCaps w:val="false"/>
          <w:sz w:val="20"/>
          <w:shd w:fill="FFFFFF" w:val="clear"/>
        </w:rPr>
        <w:t>(the “</w:t>
      </w:r>
      <w:r>
        <w:rPr>
          <w:rFonts w:ascii="Times New Roman;Times;Serif" w:hAnsi="Times New Roman;Times;Serif"/>
          <w:b w:val="false"/>
          <w:i w:val="false"/>
          <w:caps w:val="false"/>
          <w:smallCaps w:val="false"/>
          <w:sz w:val="20"/>
          <w:u w:val="single"/>
          <w:shd w:fill="FFFFFF" w:val="clear"/>
        </w:rPr>
        <w:t>Underwriting Agreement</w:t>
      </w:r>
      <w:r>
        <w:rPr>
          <w:rFonts w:ascii="Times New Roman;Times;Serif" w:hAnsi="Times New Roman;Times;Serif"/>
          <w:b w:val="false"/>
          <w:i w:val="false"/>
          <w:caps w:val="false"/>
          <w:smallCaps w:val="false"/>
          <w:sz w:val="20"/>
          <w:shd w:fill="FFFFFF" w:val="clear"/>
        </w:rPr>
        <w:t>”), among the Company and Citigroup Global Markets, LLC and J.P. Morgan Securities LLC, as representatives of the several underwriters named in Schedule 1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Notes have been offered for sale pursuant to a prospectus supplement, dated </w:t>
      </w:r>
      <w:r>
        <w:rPr>
          <w:rFonts w:ascii="Times New Roman;Times;Serif" w:hAnsi="Times New Roman;Times;Serif"/>
          <w:b w:val="false"/>
          <w:i w:val="false"/>
          <w:caps w:val="false"/>
          <w:smallCaps w:val="false"/>
          <w:sz w:val="20"/>
        </w:rPr>
        <w:t>September 15, 2026</w:t>
      </w:r>
      <w:r>
        <w:rPr>
          <w:rFonts w:ascii="Times New Roman;Times;Serif" w:hAnsi="Times New Roman;Times;Serif"/>
          <w:b w:val="false"/>
          <w:i w:val="false"/>
          <w:caps w:val="false"/>
          <w:smallCaps w:val="false"/>
          <w:sz w:val="20"/>
          <w:shd w:fill="FFFFFF" w:val="clear"/>
        </w:rPr>
        <w:t>, filed with the Securities and Exchange Commission (the “</w:t>
      </w:r>
      <w:r>
        <w:rPr>
          <w:rFonts w:ascii="Times New Roman;Times;Serif" w:hAnsi="Times New Roman;Times;Serif"/>
          <w:b w:val="false"/>
          <w:i w:val="false"/>
          <w:caps w:val="false"/>
          <w:smallCaps w:val="false"/>
          <w:sz w:val="20"/>
          <w:u w:val="single"/>
          <w:shd w:fill="FFFFFF" w:val="clear"/>
        </w:rPr>
        <w:t>Commission</w:t>
      </w:r>
      <w:r>
        <w:rPr>
          <w:rFonts w:ascii="Times New Roman;Times;Serif" w:hAnsi="Times New Roman;Times;Serif"/>
          <w:b w:val="false"/>
          <w:i w:val="false"/>
          <w:caps w:val="false"/>
          <w:smallCaps w:val="false"/>
          <w:sz w:val="20"/>
          <w:shd w:fill="FFFFFF" w:val="clear"/>
        </w:rPr>
        <w:t xml:space="preserve">”) pursuant to Rule 424(b) on </w:t>
      </w:r>
      <w:r>
        <w:rPr>
          <w:rFonts w:ascii="Times New Roman;Times;Serif" w:hAnsi="Times New Roman;Times;Serif"/>
          <w:b w:val="false"/>
          <w:i w:val="false"/>
          <w:caps w:val="false"/>
          <w:smallCaps w:val="false"/>
          <w:sz w:val="20"/>
        </w:rPr>
        <w:t>September 15, 2026</w:t>
      </w:r>
      <w:r>
        <w:rPr>
          <w:rFonts w:ascii="Times New Roman;Times;Serif" w:hAnsi="Times New Roman;Times;Serif"/>
          <w:b w:val="false"/>
          <w:i w:val="false"/>
          <w:caps w:val="false"/>
          <w:smallCaps w:val="false"/>
          <w:sz w:val="20"/>
          <w:shd w:fill="FFFFFF" w:val="clear"/>
        </w:rPr>
        <w:t xml:space="preserve">, to the prospectus, dated </w:t>
      </w:r>
      <w:r>
        <w:rPr>
          <w:rFonts w:ascii="Times New Roman;Times;Serif" w:hAnsi="Times New Roman;Times;Serif"/>
          <w:b w:val="false"/>
          <w:i w:val="false"/>
          <w:caps w:val="false"/>
          <w:smallCaps w:val="false"/>
          <w:sz w:val="20"/>
        </w:rPr>
        <w:t xml:space="preserve">November 20, 2024 </w:t>
      </w:r>
      <w:r>
        <w:rPr>
          <w:rFonts w:ascii="Times New Roman;Times;Serif" w:hAnsi="Times New Roman;Times;Serif"/>
          <w:b w:val="false"/>
          <w:i w:val="false"/>
          <w:caps w:val="false"/>
          <w:smallCaps w:val="false"/>
          <w:sz w:val="20"/>
          <w:shd w:fill="FFFFFF" w:val="clear"/>
        </w:rPr>
        <w:t>(as amended and supplemented by the prospectus supplement, the “</w:t>
      </w:r>
      <w:r>
        <w:rPr>
          <w:rFonts w:ascii="Times New Roman;Times;Serif" w:hAnsi="Times New Roman;Times;Serif"/>
          <w:b w:val="false"/>
          <w:i w:val="false"/>
          <w:caps w:val="false"/>
          <w:smallCaps w:val="false"/>
          <w:sz w:val="20"/>
          <w:u w:val="single"/>
          <w:shd w:fill="FFFFFF" w:val="clear"/>
        </w:rPr>
        <w:t>Prospectus</w:t>
      </w:r>
      <w:r>
        <w:rPr>
          <w:rFonts w:ascii="Times New Roman;Times;Serif" w:hAnsi="Times New Roman;Times;Serif"/>
          <w:b w:val="false"/>
          <w:i w:val="false"/>
          <w:caps w:val="false"/>
          <w:smallCaps w:val="false"/>
          <w:sz w:val="20"/>
          <w:shd w:fill="FFFFFF" w:val="clear"/>
        </w:rPr>
        <w:t>”), that constitutes a part of the Company’s Registration Statement on Form S-3 (Registration No. 333-283348), filed with the Commission on November 20</w:t>
      </w:r>
      <w:r>
        <w:rPr>
          <w:rFonts w:ascii="Times New Roman;Times;Serif" w:hAnsi="Times New Roman;Times;Serif"/>
          <w:b w:val="false"/>
          <w:i w:val="false"/>
          <w:caps w:val="false"/>
          <w:smallCaps w:val="false"/>
          <w:sz w:val="20"/>
        </w:rPr>
        <w:t xml:space="preserve">, 2024 </w:t>
      </w:r>
      <w:r>
        <w:rPr>
          <w:rFonts w:ascii="Times New Roman;Times;Serif" w:hAnsi="Times New Roman;Times;Serif"/>
          <w:b w:val="false"/>
          <w:i w:val="false"/>
          <w:caps w:val="false"/>
          <w:smallCaps w:val="false"/>
          <w:sz w:val="20"/>
          <w:shd w:fill="FFFFFF" w:val="clear"/>
        </w:rPr>
        <w:t>(the “</w:t>
      </w:r>
      <w:r>
        <w:rPr>
          <w:rFonts w:ascii="Times New Roman;Times;Serif" w:hAnsi="Times New Roman;Times;Serif"/>
          <w:b w:val="false"/>
          <w:i w:val="false"/>
          <w:caps w:val="false"/>
          <w:smallCaps w:val="false"/>
          <w:sz w:val="20"/>
          <w:u w:val="single"/>
          <w:shd w:fill="FFFFFF" w:val="clear"/>
        </w:rPr>
        <w:t>Registration Statement</w:t>
      </w:r>
      <w:r>
        <w:rPr>
          <w:rFonts w:ascii="Times New Roman;Times;Serif" w:hAnsi="Times New Roman;Times;Serif"/>
          <w:b w:val="false"/>
          <w:i w:val="false"/>
          <w:caps w:val="false"/>
          <w:smallCaps w:val="false"/>
          <w:sz w:val="20"/>
          <w:shd w:fill="FFFFFF" w:val="clear"/>
        </w:rPr>
        <w:t>”), which Registration Statement became effective upon filing with the Commission pursuant to Rule 462(e) under the Securities Act of 1933, as amended (the “</w:t>
      </w:r>
      <w:r>
        <w:rPr>
          <w:rFonts w:ascii="Times New Roman;Times;Serif" w:hAnsi="Times New Roman;Times;Serif"/>
          <w:b w:val="false"/>
          <w:i w:val="false"/>
          <w:caps w:val="false"/>
          <w:smallCaps w:val="false"/>
          <w:sz w:val="20"/>
          <w:u w:val="single"/>
          <w:shd w:fill="FFFFFF" w:val="clear"/>
        </w:rPr>
        <w:t>Securities Act</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Notes have been issued pursuant to an Indenture, dated as of December 2, 2024 (the “</w:t>
      </w:r>
      <w:r>
        <w:rPr>
          <w:rFonts w:ascii="Times New Roman;Times;Serif" w:hAnsi="Times New Roman;Times;Serif"/>
          <w:b w:val="false"/>
          <w:i w:val="false"/>
          <w:caps w:val="false"/>
          <w:smallCaps w:val="false"/>
          <w:sz w:val="20"/>
          <w:u w:val="single"/>
          <w:shd w:fill="FFFFFF" w:val="clear"/>
        </w:rPr>
        <w:t>Base Indenture</w:t>
      </w:r>
      <w:r>
        <w:rPr>
          <w:rFonts w:ascii="Times New Roman;Times;Serif" w:hAnsi="Times New Roman;Times;Serif"/>
          <w:b w:val="false"/>
          <w:i w:val="false"/>
          <w:caps w:val="false"/>
          <w:smallCaps w:val="false"/>
          <w:sz w:val="20"/>
          <w:shd w:fill="FFFFFF" w:val="clear"/>
        </w:rPr>
        <w:t>”), between the Company and Regions Bank, as trustee (the “</w:t>
      </w:r>
      <w:r>
        <w:rPr>
          <w:rFonts w:ascii="Times New Roman;Times;Serif" w:hAnsi="Times New Roman;Times;Serif"/>
          <w:b w:val="false"/>
          <w:i w:val="false"/>
          <w:caps w:val="false"/>
          <w:smallCaps w:val="false"/>
          <w:sz w:val="20"/>
          <w:u w:val="single"/>
          <w:shd w:fill="FFFFFF" w:val="clear"/>
        </w:rPr>
        <w:t>Trustee</w:t>
      </w:r>
      <w:r>
        <w:rPr>
          <w:rFonts w:ascii="Times New Roman;Times;Serif" w:hAnsi="Times New Roman;Times;Serif"/>
          <w:b w:val="false"/>
          <w:i w:val="false"/>
          <w:caps w:val="false"/>
          <w:smallCaps w:val="false"/>
          <w:sz w:val="20"/>
          <w:shd w:fill="FFFFFF" w:val="clear"/>
        </w:rPr>
        <w:t xml:space="preserve">”), as supplemented by a Second Supplemental Indenture, dated as of </w:t>
      </w:r>
      <w:r>
        <w:rPr>
          <w:rFonts w:ascii="Times New Roman;Times;Serif" w:hAnsi="Times New Roman;Times;Serif"/>
          <w:b w:val="false"/>
          <w:i w:val="false"/>
          <w:caps w:val="false"/>
          <w:smallCaps w:val="false"/>
          <w:sz w:val="20"/>
        </w:rPr>
        <w:t xml:space="preserve">September 17, 2026 </w:t>
      </w:r>
      <w:r>
        <w:rPr>
          <w:rFonts w:ascii="Times New Roman;Times;Serif" w:hAnsi="Times New Roman;Times;Serif"/>
          <w:b w:val="false"/>
          <w:i w:val="false"/>
          <w:caps w:val="false"/>
          <w:smallCaps w:val="false"/>
          <w:sz w:val="20"/>
          <w:shd w:fill="FFFFFF" w:val="clear"/>
        </w:rPr>
        <w:t>(together with the Base Indenture, the “</w:t>
      </w:r>
      <w:r>
        <w:rPr>
          <w:rFonts w:ascii="Times New Roman;Times;Serif" w:hAnsi="Times New Roman;Times;Serif"/>
          <w:b w:val="false"/>
          <w:i w:val="false"/>
          <w:caps w:val="false"/>
          <w:smallCaps w:val="false"/>
          <w:sz w:val="20"/>
          <w:u w:val="single"/>
          <w:shd w:fill="FFFFFF" w:val="clear"/>
        </w:rPr>
        <w:t>Indenture</w:t>
      </w:r>
      <w:r>
        <w:rPr>
          <w:rFonts w:ascii="Times New Roman;Times;Serif" w:hAnsi="Times New Roman;Times;Serif"/>
          <w:b w:val="false"/>
          <w:i w:val="false"/>
          <w:caps w:val="false"/>
          <w:smallCaps w:val="false"/>
          <w:sz w:val="20"/>
          <w:shd w:fill="FFFFFF" w:val="clear"/>
        </w:rPr>
        <w:t>”), between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rendering this opinion letter, we have reviewed originals or copies, certified or otherwise identified to our satisfaction, of the Company’s corporate records, the Registration Statement, the Prospectus, the Indenture and such other certificates, instruments and documents as we considered appropriate for purposes of the opinion hereafter expressed. In addition, we reviewed such questions of law as we considered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to any facts material to the opinion contained herein, we have made no independent investigation of such facts and have relied, to the extent that we deem such reliance proper, upon certificates of public officials and officers or other representatives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905000" cy="190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905000" cy="1905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17, 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r>
        <w:rPr>
          <w:rFonts w:ascii="Times New Roman;Times;Serif" w:hAnsi="Times New Roman;Times;Serif"/>
          <w:b w:val="false"/>
          <w:i w:val="false"/>
          <w:caps/>
          <w:color w:val="808080"/>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connection with rendering the opinion set forth below, we have assumed that (i) all information contained in all documents we reviewed is true, correct and complete, (ii) all signatures on all documents we reviewed are genuine, (iii) all documents submitted to us as originals are true and complete, (iv) all documents submitted to us as copies are true and complete copies of the originals thereof, (v) all persons executing and delivering the documents we examined were competent to execute and deliver such documents, (vi) all Notes will be issued and sold in compliance with applicable federal and state securities laws and in the manner stated in the Prospectus and the Registration Statement, (vii) the Underwriting Agreement has been duly authorized and validly executed and delivered by the parties thereto, (viii) the Indenture was duly authorized, executed, and delivered by the parties thereto, and (ix) the Trustee is qualified to act as trustee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Based upon such examination and review and the assumptions, qualifications, limitations and exceptions set forth herein, we are of the opinion that the Notes, when authenticated by the Trustee in the manner provided in the Indenture and issued and delivered against payment of the purchase price therefor, will be binding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foregoing opinion is qualified to the extent that the enforceability of any document, instrument or security may be limited by or subject to (i) bankruptcy, insolvency, fraudulent transfer or conveyance, reorganization, moratorium or other similar laws relating to or affecting creditors’ rights generally; (ii) an implied covenant of good faith and fair dealing; and (iii) general equitable or public policy principles. In addition, we express no opinion with respect to (x) the enforceability of provisions in the Indenture or any other agreement or instrument with respect to delay or omission of enforcement of rights or remedies, or waivers of defenses, or waivers of benefits of stay, extension, moratorium, redemption, statutes of limitation, or other nonwaivable benefits bestowed by operation of law; or (y) the enforceability of indemnification or contribution provisions to the extent they purport to relate to liabilities resulting from or based upon negligence or any violation of federal or state securities or blue sky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opinion letter is limited in all respects to the laws of the State of New York and the federal laws of the United States of America, and we do not express any opinion as to the laws of any other jurisdiction. Insofar as the opinion expressed herein relates to or is dependent upon matters governed by the laws of the State of Oklahoma, we have relied upon the opinion letter, dated the date hereof, of McAfee &amp; Taft A Professional Corporation, which opinion letter is being filed as Exhibit 5.2 to the Company’s Current Report on Form 8-K to be filed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opinion letter speaks as of the time of its delivery on the date it bears. We do not assume any obligation to provide you with any subsequent opinion or advice by reason of any fact about which we did not have knowledge at that time, by reason of any change subsequent to that time in any law covered by our opinion or for any other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consent to the filing of this opinion letter as an exhibit to the Company’s Current Report on Form 8-K to be filed on the date hereof. In giving this consent, we do not admit that we are in the category of persons whose consent is required under Section 7 of the Securities Act or the rules and regulations of the Commission.</w:t>
      </w:r>
    </w:p>
    <w:p>
      <w:pPr>
        <w:pStyle w:val="TextBody"/>
        <w:bidi w:val="0"/>
        <w:spacing w:before="0" w:after="0"/>
        <w:ind w:left="0" w:right="0" w:hanging="0"/>
        <w:jc w:val="left"/>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2000"/>
        <w:gridCol w:w="75"/>
      </w:tblGrid>
      <w:tr>
        <w:trPr/>
        <w:tc>
          <w:tcPr>
            <w:tcW w:w="2000"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Sincerely,</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/s/ Kirkland &amp; Ellis LLP</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Kirkland &amp; Ellis LLP</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jc w:val="left"/>
        <w:rPr/>
      </w:pPr>
      <w:bookmarkStart w:id="26" w:name="tm2625334d5_ex5-2.htm"/>
      <w:bookmarkStart w:id="27" w:name="kstm2625334d5_ex52"/>
      <w:bookmarkEnd w:id="26"/>
      <w:bookmarkEnd w:id="27"/>
      <w:r>
        <w:rPr/>
        <w:t> </w:t>
      </w:r>
      <w:r>
        <w:br w:type="page"/>
      </w:r>
    </w:p>
    <w:p>
      <w:pPr>
        <w:pStyle w:val="TextBody"/>
        <w:bidi w:val="0"/>
        <w:jc w:val="right"/>
        <w:rPr>
          <w:b/>
        </w:rPr>
      </w:pPr>
      <w:r>
        <w:rPr>
          <w:b/>
        </w:rPr>
        <w:t>Exhibit 5.2</w:t>
      </w:r>
    </w:p>
    <w:p>
      <w:pPr>
        <w:pStyle w:val="TextBody"/>
        <w:bidi w:val="0"/>
        <w:spacing w:before="0" w:after="0"/>
        <w:ind w:left="0" w:right="0" w:hanging="0"/>
        <w:jc w:val="left"/>
        <w:rPr>
          <w:caps w:val="false"/>
          <w:smallCaps w:val="false"/>
        </w:rPr>
      </w:pPr>
      <w:r>
        <w:rPr>
          <w:caps w:val="false"/>
          <w:smallCaps w:val="false"/>
        </w:rPr>
        <w:t> </w:t>
      </w:r>
    </w:p>
    <w:tbl>
      <w:tblPr>
        <w:tblW w:w="4650" w:type="dxa"/>
        <w:jc w:val="left"/>
        <w:tblInd w:w="0" w:type="dxa"/>
        <w:tblLayout w:type="fixed"/>
        <w:tblCellMar>
          <w:top w:w="0" w:type="dxa"/>
          <w:left w:w="0" w:type="dxa"/>
          <w:bottom w:w="0" w:type="dxa"/>
          <w:right w:w="0" w:type="dxa"/>
        </w:tblCellMar>
      </w:tblPr>
      <w:tblGrid>
        <w:gridCol w:w="4575"/>
        <w:gridCol w:w="75"/>
      </w:tblGrid>
      <w:tr>
        <w:trPr/>
        <w:tc>
          <w:tcPr>
            <w:tcW w:w="4575" w:type="dxa"/>
            <w:tcBorders/>
            <w:vAlign w:val="center"/>
          </w:tcPr>
          <w:p>
            <w:pPr>
              <w:pStyle w:val="TableContents"/>
              <w:bidi w:val="0"/>
              <w:spacing w:before="0" w:after="283"/>
              <w:jc w:val="left"/>
              <w:rPr/>
            </w:pPr>
            <w:r>
              <w:rPr/>
              <w:drawing>
                <wp:inline distT="0" distB="0" distL="0" distR="0">
                  <wp:extent cx="2895600" cy="1133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2895600" cy="1133475"/>
                          </a:xfrm>
                          <a:prstGeom prst="rect">
                            <a:avLst/>
                          </a:prstGeom>
                        </pic:spPr>
                      </pic:pic>
                    </a:graphicData>
                  </a:graphic>
                </wp:inline>
              </w:drawing>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Energy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6100 North Western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Oklahoma City, Oklahoma 73118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Registration Statement No. 333-283348; $500,000,000 Aggregate Principal Amount of 5.650% Senior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Oklahoma counsel to Expand Energy Corporation, an Oklahoma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Company’s offering, pursuant to the Company’s Registration Statement on Form S-3, File No. 333-283348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of $500,000,000 aggregate principal amount of its 5.650% Senior Notes due 2031 (the “</w:t>
      </w:r>
      <w:r>
        <w:rPr>
          <w:rFonts w:ascii="Times New Roman;Times;Serif" w:hAnsi="Times New Roman;Times;Serif"/>
          <w:b/>
          <w:i/>
          <w:caps w:val="false"/>
          <w:smallCaps w:val="false"/>
          <w:sz w:val="20"/>
        </w:rPr>
        <w:t>Notes</w:t>
      </w:r>
      <w:r>
        <w:rPr>
          <w:rFonts w:ascii="Times New Roman;Times;Serif" w:hAnsi="Times New Roman;Times;Serif"/>
          <w:b w:val="false"/>
          <w:i w:val="false"/>
          <w:caps w:val="false"/>
          <w:smallCaps w:val="false"/>
          <w:sz w:val="20"/>
        </w:rPr>
        <w:t>”), to be issued under an Indenture, dated December 2, 2024, between the Company and Regions Bank, as trustee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as supplemented by the Second Supplemental Indenture dated as of September 17, 2026 (such Indenture, as so supplemented, the “</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and pursuant to the Prospectus Supplement, dated September 15, 2026, to the Prospectus of the Company dated November 20, 2024 (together,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in connection with the requirements of Item 601(b)(5) of Regulation S-K under the Act, and no opinion is expressed herein as to any matter pertaining to the contents of the Registration Statement or Prospectus, other than as expressly stated herein with respect to the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opinions expressed below, we have examined (i) the certificate of incorporation of the Company, (ii) the Registration Statement, (iii) the Prospectus, (iv) the Indenture, (v) a global security dated the date hereof evidencing $500,000,000 aggregate principal amount of Notes, and (vi) certain resolutions of the Board of Directors of the Company, and the Pricing Committee of the Board of Directors of the Company relating to the transactions contemplated by the Registration Statement, the Prospectus, the Indenture,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examined and relied upon such other documents, certificates, records, and other instruments as we have deemed necessary or appropriate for purposes of the opinions expressed below. In all such examinations and in rendering our opinions, we have assumed (i) the legal capacity of all natural persons, (ii) the genuineness of all signatures, the authenticity of all documents submitted to us as originals, (iii) the conformity to original documents of all documents submitted to us as conformed, certified, photostatic or reproduced copies and the authenticity of the originals of such latter documents. As to any facts material to the opinions expressed herein that we have not independently established or verified, we have relied upon oral or written statements and representations of officers and other representatives of the Company, public officials, and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the other matters set forth herein, we are of the opinion that the Company (a) is validly existing as a corporation under the laws of the State of Oklahoma, (b) is in good standing under such laws, and (c) has the corporate power and authority under such laws and has taken all necessary corporate action under such laws to issue the Notes and to execute and deliver, and incur and perform all of its obligations under, the Notes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for your benefit in connection with the Registration Statement and may be relied upon by you and by persons entitled to rely upon it pursuant to the applicable provisions of the Securities Act. We consent to your filing this opinion as an exhibit to the Company’s Current Report on Form 8-K dated September 17, 2026 and to the reference to our firm contained in the Prospectus under the heading “Legal Matters.” In giving this consent, we do not thereby admit that we are within the category of persons whose consent is required under Section 7 of the Securities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3815" w:type="dxa"/>
        <w:jc w:val="left"/>
        <w:tblInd w:w="0" w:type="dxa"/>
        <w:tblLayout w:type="fixed"/>
        <w:tblCellMar>
          <w:top w:w="0" w:type="dxa"/>
          <w:left w:w="0" w:type="dxa"/>
          <w:bottom w:w="0" w:type="dxa"/>
          <w:right w:w="0" w:type="dxa"/>
        </w:tblCellMar>
      </w:tblPr>
      <w:tblGrid>
        <w:gridCol w:w="75"/>
        <w:gridCol w:w="37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McAfee &amp; Taft A Professional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95126/000110465924124578/tm2429756d1_ex4-1.htm" TargetMode="External"/><Relationship Id="rId4" Type="http://schemas.openxmlformats.org/officeDocument/2006/relationships/hyperlink" Target="https://www.sec.gov/Archives/edgar/data/895126/000110465924124578/tm2429756d1_ex4-1.htm" TargetMode="External"/><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16683</Words>
  <Characters>86704</Characters>
  <CharactersWithSpaces>104922</CharactersWithSpaces>
  <Paragraphs>1305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