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334-4_424b2.htm"/>
        <w:bookmarkStart w:id="1" w:name="kstm26253344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 Registration Nos. 333-283348</w:t>
      </w:r>
      <w:r>
        <w:rPr>
          <w:rFonts w:ascii="Times New Roman;Times;serif" w:hAnsi="Times New Roman;Times;serif"/>
          <w:b/>
          <w:i w:val="false"/>
          <w:caps w:val="false"/>
          <w:smallCaps w:val="false"/>
          <w:color w:val="000000"/>
          <w:sz w:val="20"/>
        </w:rPr>
        <w:t>​</w:t>
      </w:r>
    </w:p>
    <w:p>
      <w:pPr>
        <w:pStyle w:val="TextBody"/>
        <w:bidi w:val="0"/>
        <w:spacing w:lineRule="atLeast" w:line="220" w:before="557" w:after="437"/>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 xml:space="preserve">PROSPECTUS SUPPLEMENT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(To prospectus dated November 20, 2024)</w:t>
      </w:r>
      <w:r>
        <w:rPr>
          <w:rFonts w:ascii="Times New Roman;Times;serif" w:hAnsi="Times New Roman;Times;serif"/>
          <w:b/>
          <w:i w:val="false"/>
          <w:caps w:val="false"/>
          <w:smallCaps w:val="false"/>
          <w:color w:val="000000"/>
          <w:spacing w:val="4"/>
          <w:sz w:val="19"/>
        </w:rPr>
        <w:t xml:space="preserve"> </w:t>
      </w:r>
    </w:p>
    <w:p>
      <w:pPr>
        <w:pStyle w:val="TextBody"/>
        <w:bidi w:val="0"/>
        <w:spacing w:before="120" w:after="283"/>
        <w:jc w:val="center"/>
        <w:rPr>
          <w:caps w:val="false"/>
          <w:smallCaps w:val="false"/>
          <w:color w:val="000000"/>
        </w:rPr>
      </w:pPr>
      <w:r>
        <w:rPr>
          <w:caps w:val="false"/>
          <w:smallCaps w:val="false"/>
          <w:color w:val="000000"/>
        </w:rPr>
        <w:drawing>
          <wp:inline distT="0" distB="0" distL="0" distR="0">
            <wp:extent cx="26384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38425" cy="647700"/>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13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Expand Energy Corporation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7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$500,000,000 5.650% Senior Notes due 2031</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58"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Expand Energy Corporation (the “Company”) is offering $500,000,000 aggregate principal amount of our 5.650% Senior Notes due 2031 (the “notes”).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Interest on the notes will accrue from September 17, 2026. Interest on the notes will be payable semi-annually on March 15 and September 15 of each year, beginning on March 15, 2027. The notes will mature on September 15, 2031.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We may redeem some or all of the notes at any time and from time to time prior to August 15, 2031 (the “Par Call Date”). Any such redemption of the notes will be at a redemption price equal to the greater of 100% of the principal amount of the notes to be redeemed and a “make-whole” redemption price, plus, in each case, accrued and unpaid interest thereon to but not including the redemption date. On or after the Par Call Date, we may redeem some or all of such notes at a redemption price equal to 100% of the principal amount of the notes to be redeemed, plus accrued and unpaid interest thereon to but not including the redemption date. See “</w:t>
      </w:r>
      <w:r>
        <w:rPr>
          <w:rFonts w:ascii="Times New Roman;Times;serif" w:hAnsi="Times New Roman;Times;serif"/>
          <w:b w:val="false"/>
          <w:i/>
          <w:caps w:val="false"/>
          <w:smallCaps w:val="false"/>
          <w:color w:val="000000"/>
          <w:spacing w:val="4"/>
          <w:sz w:val="19"/>
        </w:rPr>
        <w:t>Description of the Notes — Optional Redemption</w:t>
      </w:r>
      <w:r>
        <w:rPr>
          <w:rFonts w:ascii="Times New Roman;Times;serif" w:hAnsi="Times New Roman;Times;serif"/>
          <w:b w:val="false"/>
          <w:i w:val="false"/>
          <w:caps w:val="false"/>
          <w:smallCaps w:val="false"/>
          <w:color w:val="000000"/>
          <w:spacing w:val="4"/>
          <w:sz w:val="19"/>
        </w:rPr>
        <w:t xml:space="preserve">.” The notes will not be entitled to the benefit of any sinking fund payment. </w:t>
      </w:r>
    </w:p>
    <w:p>
      <w:pPr>
        <w:pStyle w:val="TextBody"/>
        <w:bidi w:val="0"/>
        <w:spacing w:lineRule="atLeast" w:line="22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notes will be our senior unsecured obligations. The notes will be effectively subordinated to any future secured indebtedness of the Company to the extent of the assets securing such indebtedness and structurally subordinated to any indebtedness incurred by any of the Company’s subsidiaries, including the Twin Eagle Credit Facility (as defined herein). If we default, your right to payment under the notes will rank equally with the right to payment of the holders of our other current and future unsecured senior debt, including debt under our revolving credit facility and our existing senior notes, and senior in right of payment to any future subordinated debt that we may incur. None of our subsidiaries will guarantee the notes upon their issuance. </w:t>
      </w:r>
    </w:p>
    <w:p>
      <w:pPr>
        <w:pStyle w:val="TextBody"/>
        <w:bidi w:val="0"/>
        <w:spacing w:lineRule="atLeast" w:line="22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notes are a new issue of securities with no established trading market. We do not intend to apply for the listing of the notes on any securities exchange or for the quotation of the notes on any automated dealer quotation system. </w:t>
      </w:r>
    </w:p>
    <w:p>
      <w:pPr>
        <w:pStyle w:val="TextBody"/>
        <w:bidi w:val="0"/>
        <w:spacing w:lineRule="atLeast" w:line="220" w:before="80" w:after="283"/>
        <w:ind w:left="540"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Neither the Securities and Exchange Commission (the “SEC”) nor any state securities commission has approved or disapproved of these securities or determined if this prospectus supplement or the accompanying base prospectus is truthful or complete. Any representation to the contrary is a criminal offense.</w:t>
      </w:r>
      <w:r>
        <w:rPr>
          <w:rFonts w:ascii="Times New Roman;Times;serif" w:hAnsi="Times New Roman;Times;serif"/>
          <w:b/>
          <w:i w:val="false"/>
          <w:caps w:val="false"/>
          <w:smallCaps w:val="false"/>
          <w:color w:val="000000"/>
          <w:spacing w:val="4"/>
          <w:sz w:val="19"/>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60" w:after="283"/>
        <w:ind w:left="540" w:right="0" w:firstLine="400"/>
        <w:jc w:val="left"/>
        <w:rPr/>
      </w:pPr>
      <w:r>
        <w:rPr>
          <w:rFonts w:ascii="Times New Roman;Times;serif" w:hAnsi="Times New Roman;Times;serif"/>
          <w:b/>
          <w:i w:val="false"/>
          <w:caps w:val="false"/>
          <w:smallCaps w:val="false"/>
          <w:color w:val="000000"/>
          <w:spacing w:val="-4"/>
          <w:sz w:val="19"/>
        </w:rPr>
        <w:t>Investing in the notes involves risks. See “</w:t>
      </w:r>
      <w:r>
        <w:rPr>
          <w:rFonts w:ascii="Times New Roman;Times;serif" w:hAnsi="Times New Roman;Times;serif"/>
          <w:b/>
          <w:i/>
          <w:caps w:val="false"/>
          <w:smallCaps w:val="false"/>
          <w:color w:val="000000"/>
          <w:spacing w:val="-4"/>
          <w:sz w:val="19"/>
        </w:rPr>
        <w:t>Risk Factors</w:t>
      </w:r>
      <w:r>
        <w:rPr>
          <w:rFonts w:ascii="Times New Roman;Times;serif" w:hAnsi="Times New Roman;Times;serif"/>
          <w:b/>
          <w:i w:val="false"/>
          <w:caps w:val="false"/>
          <w:smallCaps w:val="false"/>
          <w:color w:val="000000"/>
          <w:spacing w:val="-4"/>
          <w:sz w:val="19"/>
        </w:rPr>
        <w:t xml:space="preserve">” beginning on page </w:t>
      </w:r>
      <w:hyperlink w:anchor="sRIFA">
        <w:r>
          <w:rPr>
            <w:rStyle w:val="InternetLink"/>
          </w:rPr>
          <w:t>S-10</w:t>
        </w:r>
      </w:hyperlink>
      <w:r>
        <w:rPr>
          <w:rFonts w:ascii="Times New Roman;Times;serif" w:hAnsi="Times New Roman;Times;serif"/>
          <w:b/>
          <w:i w:val="false"/>
          <w:caps w:val="false"/>
          <w:smallCaps w:val="false"/>
          <w:color w:val="000000"/>
          <w:spacing w:val="-4"/>
          <w:sz w:val="19"/>
        </w:rPr>
        <w:t xml:space="preserve"> of this prospectus supplement and on page </w:t>
      </w:r>
      <w:hyperlink w:anchor="bATP">
        <w:r>
          <w:rPr>
            <w:rStyle w:val="InternetLink"/>
          </w:rPr>
          <w:t>1</w:t>
        </w:r>
      </w:hyperlink>
      <w:r>
        <w:rPr>
          <w:rFonts w:ascii="Times New Roman;Times;serif" w:hAnsi="Times New Roman;Times;serif"/>
          <w:b/>
          <w:i w:val="false"/>
          <w:caps w:val="false"/>
          <w:smallCaps w:val="false"/>
          <w:color w:val="000000"/>
          <w:spacing w:val="-4"/>
          <w:sz w:val="19"/>
        </w:rPr>
        <w:t xml:space="preserve"> of the accompanying base prospectus.</w:t>
      </w:r>
      <w:r>
        <w:rPr>
          <w:rFonts w:ascii="Times New Roman;Times;serif" w:hAnsi="Times New Roman;Times;serif"/>
          <w:b/>
          <w:i w:val="false"/>
          <w:caps w:val="false"/>
          <w:smallCaps w:val="false"/>
          <w:color w:val="000000"/>
          <w:spacing w:val="4"/>
          <w:sz w:val="19"/>
        </w:rPr>
        <w:t xml:space="preserve"> </w:t>
      </w:r>
    </w:p>
    <w:tbl>
      <w:tblPr>
        <w:tblW w:w="9542" w:type="dxa"/>
        <w:jc w:val="left"/>
        <w:tblInd w:w="540" w:type="dxa"/>
        <w:tblLayout w:type="fixed"/>
        <w:tblCellMar>
          <w:top w:w="0" w:type="dxa"/>
          <w:left w:w="0" w:type="dxa"/>
          <w:bottom w:w="28" w:type="dxa"/>
          <w:right w:w="0" w:type="dxa"/>
        </w:tblCellMar>
      </w:tblPr>
      <w:tblGrid>
        <w:gridCol w:w="5914"/>
        <w:gridCol w:w="109"/>
        <w:gridCol w:w="109"/>
        <w:gridCol w:w="109"/>
        <w:gridCol w:w="109"/>
        <w:gridCol w:w="961"/>
        <w:gridCol w:w="109"/>
        <w:gridCol w:w="109"/>
        <w:gridCol w:w="109"/>
        <w:gridCol w:w="109"/>
        <w:gridCol w:w="226"/>
        <w:gridCol w:w="1306"/>
        <w:gridCol w:w="109"/>
        <w:gridCol w:w="154"/>
      </w:tblGrid>
      <w:tr>
        <w:trPr/>
        <w:tc>
          <w:tcPr>
            <w:tcW w:w="59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14" w:type="dxa"/>
            <w:tcBorders/>
            <w:shd w:fill="CCEEFF" w:val="clear"/>
            <w:tcMar>
              <w:bottom w:w="0" w:type="dxa"/>
            </w:tcMar>
            <w:vAlign w:val="center"/>
          </w:tcPr>
          <w:p>
            <w:pPr>
              <w:pStyle w:val="TableContents"/>
              <w:bidi w:val="0"/>
              <w:spacing w:before="0" w:after="0"/>
              <w:jc w:val="left"/>
              <w:rPr/>
            </w:pPr>
            <w:r>
              <w:rPr>
                <w:spacing w:val="4"/>
              </w:rPr>
              <w:t>Public offering price</w:t>
            </w:r>
            <w:r>
              <w:rPr>
                <w:spacing w:val="3"/>
                <w:sz w:val="12"/>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99.889%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499,445,000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14" w:type="dxa"/>
            <w:tcBorders/>
            <w:tcMar>
              <w:bottom w:w="0" w:type="dxa"/>
            </w:tcMar>
            <w:vAlign w:val="center"/>
          </w:tcPr>
          <w:p>
            <w:pPr>
              <w:pStyle w:val="TableContents"/>
              <w:bidi w:val="0"/>
              <w:spacing w:before="0" w:after="0"/>
              <w:jc w:val="left"/>
              <w:rPr>
                <w:spacing w:val="4"/>
              </w:rPr>
            </w:pPr>
            <w:r>
              <w:rPr>
                <w:spacing w:val="4"/>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0.600%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14"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Expand Energy Corporation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99.289%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496,445,000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60" w:after="0"/>
        <w:ind w:left="940" w:right="0" w:hanging="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Plus accrued interest from September 17, 2026, if any.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8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 xml:space="preserve">The underwriters expect to deliver the notes in registered book-entry form only through the facilities of The Depository Trust Company, including Clearstream Banking, </w:t>
      </w:r>
      <w:r>
        <w:rPr>
          <w:rFonts w:ascii="Times New Roman;Times;serif" w:hAnsi="Times New Roman;Times;serif"/>
          <w:b w:val="false"/>
          <w:i/>
          <w:caps w:val="false"/>
          <w:smallCaps w:val="false"/>
          <w:color w:val="000000"/>
          <w:spacing w:val="4"/>
          <w:sz w:val="19"/>
        </w:rPr>
        <w:t>societe anonyme,</w:t>
      </w:r>
      <w:r>
        <w:rPr>
          <w:rFonts w:ascii="Times New Roman;Times;serif" w:hAnsi="Times New Roman;Times;serif"/>
          <w:b w:val="false"/>
          <w:i w:val="false"/>
          <w:caps w:val="false"/>
          <w:smallCaps w:val="false"/>
          <w:color w:val="000000"/>
          <w:spacing w:val="4"/>
          <w:sz w:val="19"/>
        </w:rPr>
        <w:t xml:space="preserve"> Luxembourg and Euroclear Bank NV/SA, on or about September 17,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200" w:after="283"/>
        <w:jc w:val="center"/>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Joint Book-Running Managers</w:t>
      </w:r>
      <w:r>
        <w:rPr>
          <w:rFonts w:ascii="Times New Roman;Times;serif" w:hAnsi="Times New Roman;Times;serif"/>
          <w:b/>
          <w:i/>
          <w:caps w:val="false"/>
          <w:smallCaps w:val="false"/>
          <w:color w:val="000000"/>
          <w:spacing w:val="4"/>
          <w:sz w:val="19"/>
        </w:rPr>
        <w:t xml:space="preserve"> </w:t>
      </w:r>
    </w:p>
    <w:tbl>
      <w:tblPr>
        <w:tblW w:w="6696" w:type="dxa"/>
        <w:jc w:val="left"/>
        <w:tblInd w:w="540" w:type="dxa"/>
        <w:tblLayout w:type="fixed"/>
        <w:tblCellMar>
          <w:top w:w="0" w:type="dxa"/>
          <w:left w:w="0" w:type="dxa"/>
          <w:bottom w:w="0" w:type="dxa"/>
          <w:right w:w="0" w:type="dxa"/>
        </w:tblCellMar>
      </w:tblPr>
      <w:tblGrid>
        <w:gridCol w:w="124"/>
        <w:gridCol w:w="2377"/>
        <w:gridCol w:w="109"/>
        <w:gridCol w:w="109"/>
        <w:gridCol w:w="1411"/>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2377" w:type="dxa"/>
            <w:tcBorders/>
            <w:vAlign w:val="center"/>
          </w:tcPr>
          <w:p>
            <w:pPr>
              <w:pStyle w:val="TableContents"/>
              <w:bidi w:val="0"/>
              <w:spacing w:before="0" w:after="283"/>
              <w:jc w:val="left"/>
              <w:rPr/>
            </w:pPr>
            <w:r>
              <w:rPr>
                <w:spacing w:val="-6"/>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right"/>
              <w:rPr/>
            </w:pPr>
            <w:r>
              <w:rPr>
                <w:spacing w:val="-6"/>
              </w:rPr>
              <w:t>J.P. Morgan</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77" w:type="dxa"/>
            <w:tcBorders/>
            <w:vAlign w:val="center"/>
          </w:tcPr>
          <w:p>
            <w:pPr>
              <w:pStyle w:val="TableContents"/>
              <w:bidi w:val="0"/>
              <w:spacing w:before="0" w:after="0"/>
              <w:jc w:val="left"/>
              <w:rPr/>
            </w:pPr>
            <w:r>
              <w:rPr>
                <w:spacing w:val="-6"/>
              </w:rPr>
              <w:t>Citizens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1" w:type="dxa"/>
            <w:tcBorders/>
            <w:vAlign w:val="center"/>
          </w:tcPr>
          <w:p>
            <w:pPr>
              <w:pStyle w:val="TableContents"/>
              <w:bidi w:val="0"/>
              <w:spacing w:before="0" w:after="0"/>
              <w:jc w:val="center"/>
              <w:rPr/>
            </w:pPr>
            <w:r>
              <w:rPr>
                <w:spacing w:val="-6"/>
              </w:rPr>
              <w:t>Mizuho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right"/>
              <w:rPr/>
            </w:pPr>
            <w:r>
              <w:rPr>
                <w:spacing w:val="-6"/>
              </w:rPr>
              <w:t>MUFG</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77" w:type="dxa"/>
            <w:tcBorders/>
            <w:vAlign w:val="center"/>
          </w:tcPr>
          <w:p>
            <w:pPr>
              <w:pStyle w:val="TableContents"/>
              <w:bidi w:val="0"/>
              <w:spacing w:before="0" w:after="283"/>
              <w:jc w:val="left"/>
              <w:rPr/>
            </w:pPr>
            <w:r>
              <w:rPr>
                <w:spacing w:val="-6"/>
              </w:rPr>
              <w:t>RBC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1" w:type="dxa"/>
            <w:tcBorders/>
            <w:vAlign w:val="center"/>
          </w:tcPr>
          <w:p>
            <w:pPr>
              <w:pStyle w:val="TableContents"/>
              <w:bidi w:val="0"/>
              <w:spacing w:before="0" w:after="0"/>
              <w:jc w:val="center"/>
              <w:rPr/>
            </w:pPr>
            <w:r>
              <w:rPr>
                <w:spacing w:val="-6"/>
              </w:rPr>
              <w:t>TD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right"/>
              <w:rPr/>
            </w:pPr>
            <w:r>
              <w:rPr>
                <w:spacing w:val="-6"/>
              </w:rPr>
              <w:t>Wells Fargo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80" w:after="283"/>
        <w:ind w:left="540" w:right="0" w:hanging="0"/>
        <w:jc w:val="center"/>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Co-Managers</w:t>
      </w:r>
      <w:r>
        <w:rPr>
          <w:rFonts w:ascii="Times New Roman;Times;serif" w:hAnsi="Times New Roman;Times;serif"/>
          <w:b/>
          <w:i/>
          <w:caps w:val="false"/>
          <w:smallCaps w:val="false"/>
          <w:color w:val="000000"/>
          <w:spacing w:val="4"/>
          <w:sz w:val="19"/>
        </w:rPr>
        <w:t xml:space="preserve"> </w:t>
      </w:r>
    </w:p>
    <w:tbl>
      <w:tblPr>
        <w:tblW w:w="8361" w:type="dxa"/>
        <w:jc w:val="left"/>
        <w:tblInd w:w="540" w:type="dxa"/>
        <w:tblLayout w:type="fixed"/>
        <w:tblCellMar>
          <w:top w:w="0" w:type="dxa"/>
          <w:left w:w="0" w:type="dxa"/>
          <w:bottom w:w="0" w:type="dxa"/>
          <w:right w:w="0" w:type="dxa"/>
        </w:tblCellMar>
      </w:tblPr>
      <w:tblGrid>
        <w:gridCol w:w="124"/>
        <w:gridCol w:w="2074"/>
        <w:gridCol w:w="109"/>
        <w:gridCol w:w="109"/>
        <w:gridCol w:w="2635"/>
        <w:gridCol w:w="109"/>
        <w:gridCol w:w="109"/>
        <w:gridCol w:w="2938"/>
        <w:gridCol w:w="154"/>
      </w:tblGrid>
      <w:tr>
        <w:trPr/>
        <w:tc>
          <w:tcPr>
            <w:tcW w:w="124" w:type="dxa"/>
            <w:tcBorders/>
            <w:vAlign w:val="center"/>
          </w:tcPr>
          <w:p>
            <w:pPr>
              <w:pStyle w:val="TableContents"/>
              <w:bidi w:val="0"/>
              <w:spacing w:before="0" w:after="283"/>
              <w:jc w:val="left"/>
              <w:rPr/>
            </w:pPr>
            <w:r>
              <w:rPr/>
              <w:t>​</w:t>
            </w:r>
          </w:p>
        </w:tc>
        <w:tc>
          <w:tcPr>
            <w:tcW w:w="2074" w:type="dxa"/>
            <w:tcBorders/>
            <w:vAlign w:val="center"/>
          </w:tcPr>
          <w:p>
            <w:pPr>
              <w:pStyle w:val="TableContents"/>
              <w:bidi w:val="0"/>
              <w:spacing w:before="0" w:after="0"/>
              <w:jc w:val="left"/>
              <w:rPr/>
            </w:pPr>
            <w:r>
              <w:rPr>
                <w:spacing w:val="-6"/>
              </w:rPr>
              <w:t>Fifth Third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vAlign w:val="center"/>
          </w:tcPr>
          <w:p>
            <w:pPr>
              <w:pStyle w:val="TableContents"/>
              <w:bidi w:val="0"/>
              <w:spacing w:before="0" w:after="0"/>
              <w:jc w:val="center"/>
              <w:rPr/>
            </w:pPr>
            <w:r>
              <w:rPr>
                <w:spacing w:val="-6"/>
              </w:rPr>
              <w:t>CIBC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38" w:type="dxa"/>
            <w:tcBorders/>
            <w:vAlign w:val="center"/>
          </w:tcPr>
          <w:p>
            <w:pPr>
              <w:pStyle w:val="TableContents"/>
              <w:bidi w:val="0"/>
              <w:spacing w:before="0" w:after="0"/>
              <w:jc w:val="right"/>
              <w:rPr/>
            </w:pPr>
            <w:r>
              <w:rPr>
                <w:spacing w:val="-6"/>
              </w:rPr>
              <w:t>Goldman Sachs &amp; Co. LLC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74" w:type="dxa"/>
            <w:tcBorders/>
            <w:vAlign w:val="center"/>
          </w:tcPr>
          <w:p>
            <w:pPr>
              <w:pStyle w:val="TableContents"/>
              <w:bidi w:val="0"/>
              <w:spacing w:before="0" w:after="283"/>
              <w:jc w:val="left"/>
              <w:rPr/>
            </w:pPr>
            <w:r>
              <w:rPr>
                <w:spacing w:val="-6"/>
              </w:rPr>
              <w:t>Morgan Stanley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vAlign w:val="center"/>
          </w:tcPr>
          <w:p>
            <w:pPr>
              <w:pStyle w:val="TableContents"/>
              <w:bidi w:val="0"/>
              <w:spacing w:before="0" w:after="0"/>
              <w:jc w:val="center"/>
              <w:rPr/>
            </w:pPr>
            <w:r>
              <w:rPr>
                <w:spacing w:val="-6"/>
              </w:rPr>
              <w:t>PNC Capital Markets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38" w:type="dxa"/>
            <w:tcBorders/>
            <w:vAlign w:val="center"/>
          </w:tcPr>
          <w:p>
            <w:pPr>
              <w:pStyle w:val="TableContents"/>
              <w:bidi w:val="0"/>
              <w:spacing w:before="0" w:after="0"/>
              <w:jc w:val="right"/>
              <w:rPr/>
            </w:pPr>
            <w:r>
              <w:rPr>
                <w:spacing w:val="-6"/>
              </w:rPr>
              <w:t>Regions Securities LLC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74" w:type="dxa"/>
            <w:tcBorders/>
            <w:vAlign w:val="center"/>
          </w:tcPr>
          <w:p>
            <w:pPr>
              <w:pStyle w:val="TableContents"/>
              <w:bidi w:val="0"/>
              <w:spacing w:before="0" w:after="283"/>
              <w:jc w:val="left"/>
              <w:rPr/>
            </w:pPr>
            <w:r>
              <w:rPr>
                <w:spacing w:val="-6"/>
              </w:rPr>
              <w:t>Scotiabank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vAlign w:val="center"/>
          </w:tcPr>
          <w:p>
            <w:pPr>
              <w:pStyle w:val="TableContents"/>
              <w:bidi w:val="0"/>
              <w:spacing w:before="0" w:after="0"/>
              <w:jc w:val="center"/>
              <w:rPr/>
            </w:pPr>
            <w:r>
              <w:rPr>
                <w:spacing w:val="-6"/>
              </w:rPr>
              <w:t>Truist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38" w:type="dxa"/>
            <w:tcBorders/>
            <w:vAlign w:val="center"/>
          </w:tcPr>
          <w:p>
            <w:pPr>
              <w:pStyle w:val="TableContents"/>
              <w:bidi w:val="0"/>
              <w:spacing w:before="0" w:after="0"/>
              <w:jc w:val="right"/>
              <w:rPr/>
            </w:pPr>
            <w:r>
              <w:rPr>
                <w:spacing w:val="-6"/>
              </w:rPr>
              <w:t>BOK Financial Securities,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40" w:after="283"/>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The date of this prospectus supplement is September 15, 2026.</w:t>
      </w:r>
      <w:r>
        <w:rPr>
          <w:rFonts w:ascii="Times New Roman;Times;serif" w:hAnsi="Times New Roman;Times;serif"/>
          <w:b/>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51"/>
        <w:gridCol w:w="109"/>
        <w:gridCol w:w="109"/>
        <w:gridCol w:w="109"/>
        <w:gridCol w:w="109"/>
        <w:gridCol w:w="53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FOST">
              <w:r>
                <w:rPr>
                  <w:rStyle w:val="InternetLink"/>
                  <w:spacing w:val="4"/>
                </w:rPr>
                <w:t>S-1</w:t>
              </w:r>
            </w:hyperlink>
            <w:hyperlink w:anchor="sFO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1" w:type="dxa"/>
            <w:tcBorders/>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37" w:type="dxa"/>
            <w:tcBorders/>
            <w:vAlign w:val="center"/>
          </w:tcPr>
          <w:p>
            <w:pPr>
              <w:pStyle w:val="TableContents"/>
              <w:bidi w:val="0"/>
              <w:spacing w:before="0" w:after="283"/>
              <w:jc w:val="right"/>
              <w:rPr/>
            </w:pPr>
            <w:hyperlink w:anchor="sSUM">
              <w:r>
                <w:rPr>
                  <w:rStyle w:val="InternetLink"/>
                  <w:spacing w:val="4"/>
                </w:rPr>
                <w:t>S-3</w:t>
              </w:r>
            </w:hyperlink>
            <w:hyperlink w:anchor="s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THOF">
              <w:r>
                <w:rPr>
                  <w:rStyle w:val="InternetLink"/>
                  <w:spacing w:val="4"/>
                </w:rPr>
                <w:t>S-5</w:t>
              </w:r>
            </w:hyperlink>
            <w:hyperlink w:anchor="sTH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1" w:type="dxa"/>
            <w:tcBorders/>
            <w:vAlign w:val="center"/>
          </w:tcPr>
          <w:p>
            <w:pPr>
              <w:pStyle w:val="TableContents"/>
              <w:bidi w:val="0"/>
              <w:spacing w:before="0" w:after="0"/>
              <w:jc w:val="left"/>
              <w:rPr/>
            </w:pPr>
            <w:hyperlink w:anchor="sSHCF">
              <w:r>
                <w:rPr>
                  <w:rStyle w:val="InternetLink"/>
                  <w:spacing w:val="4"/>
                </w:rPr>
                <w:t xml:space="preserve">SUMMARY HISTORICAL CONSOLIDATED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37" w:type="dxa"/>
            <w:tcBorders/>
            <w:vAlign w:val="center"/>
          </w:tcPr>
          <w:p>
            <w:pPr>
              <w:pStyle w:val="TableContents"/>
              <w:bidi w:val="0"/>
              <w:spacing w:before="0" w:after="283"/>
              <w:jc w:val="right"/>
              <w:rPr/>
            </w:pPr>
            <w:hyperlink w:anchor="sSHCF">
              <w:r>
                <w:rPr>
                  <w:rStyle w:val="InternetLink"/>
                  <w:spacing w:val="4"/>
                </w:rPr>
                <w:t>S-7</w:t>
              </w:r>
            </w:hyperlink>
            <w:hyperlink w:anchor="sSH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RIFA">
              <w:r>
                <w:rPr>
                  <w:rStyle w:val="InternetLink"/>
                  <w:spacing w:val="4"/>
                </w:rPr>
                <w:t>S-10</w:t>
              </w:r>
            </w:hyperlink>
            <w:hyperlink w:anchor="s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1" w:type="dxa"/>
            <w:tcBorders/>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37" w:type="dxa"/>
            <w:tcBorders/>
            <w:vAlign w:val="center"/>
          </w:tcPr>
          <w:p>
            <w:pPr>
              <w:pStyle w:val="TableContents"/>
              <w:bidi w:val="0"/>
              <w:spacing w:before="0" w:after="283"/>
              <w:jc w:val="right"/>
              <w:rPr/>
            </w:pPr>
            <w:hyperlink w:anchor="sUOP">
              <w:r>
                <w:rPr>
                  <w:rStyle w:val="InternetLink"/>
                  <w:spacing w:val="4"/>
                </w:rPr>
                <w:t>S-13</w:t>
              </w:r>
            </w:hyperlink>
            <w:hyperlink w:anchor="s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CAP">
              <w:r>
                <w:rPr>
                  <w:rStyle w:val="InternetLink"/>
                  <w:spacing w:val="4"/>
                </w:rPr>
                <w:t>S-14</w:t>
              </w:r>
            </w:hyperlink>
            <w:hyperlink w:anchor="sC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1" w:type="dxa"/>
            <w:tcBorders/>
            <w:vAlign w:val="center"/>
          </w:tcPr>
          <w:p>
            <w:pPr>
              <w:pStyle w:val="TableContents"/>
              <w:bidi w:val="0"/>
              <w:spacing w:before="0" w:after="0"/>
              <w:jc w:val="left"/>
              <w:rPr/>
            </w:pPr>
            <w:hyperlink w:anchor="sDOTN">
              <w:r>
                <w:rPr>
                  <w:rStyle w:val="InternetLink"/>
                  <w:spacing w:val="4"/>
                </w:rPr>
                <w:t xml:space="preserve">DESCRIPTION OF THE NOTES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37" w:type="dxa"/>
            <w:tcBorders/>
            <w:vAlign w:val="center"/>
          </w:tcPr>
          <w:p>
            <w:pPr>
              <w:pStyle w:val="TableContents"/>
              <w:bidi w:val="0"/>
              <w:spacing w:before="0" w:after="283"/>
              <w:jc w:val="right"/>
              <w:rPr/>
            </w:pPr>
            <w:hyperlink w:anchor="sDOTN">
              <w:r>
                <w:rPr>
                  <w:rStyle w:val="InternetLink"/>
                  <w:spacing w:val="4"/>
                </w:rPr>
                <w:t>S-15</w:t>
              </w:r>
            </w:hyperlink>
            <w:hyperlink w:anchor="sDOT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MUFI">
              <w:r>
                <w:rPr>
                  <w:rStyle w:val="InternetLink"/>
                  <w:spacing w:val="4"/>
                </w:rPr>
                <w:t xml:space="preserve">MATERIAL U.S. FEDERAL INCOME TAX CONSEQUENCES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MUFI">
              <w:r>
                <w:rPr>
                  <w:rStyle w:val="InternetLink"/>
                  <w:spacing w:val="4"/>
                </w:rPr>
                <w:t>S-28</w:t>
              </w:r>
            </w:hyperlink>
            <w:hyperlink w:anchor="s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1" w:type="dxa"/>
            <w:tcBorders/>
            <w:vAlign w:val="center"/>
          </w:tcPr>
          <w:p>
            <w:pPr>
              <w:pStyle w:val="TableContents"/>
              <w:bidi w:val="0"/>
              <w:spacing w:before="0" w:after="0"/>
              <w:jc w:val="left"/>
              <w:rPr/>
            </w:pPr>
            <w:hyperlink w:anchor="sUND">
              <w:r>
                <w:rPr>
                  <w:rStyle w:val="InternetLink"/>
                  <w:spacing w:val="4"/>
                </w:rPr>
                <w:t>UNDERWRITING (CONFLICTS OF INTEREST)</w:t>
              </w:r>
            </w:hyperlink>
            <w:hyperlink w:anchor="sU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37" w:type="dxa"/>
            <w:tcBorders/>
            <w:vAlign w:val="center"/>
          </w:tcPr>
          <w:p>
            <w:pPr>
              <w:pStyle w:val="TableContents"/>
              <w:bidi w:val="0"/>
              <w:spacing w:before="0" w:after="283"/>
              <w:jc w:val="right"/>
              <w:rPr/>
            </w:pPr>
            <w:hyperlink w:anchor="sUND">
              <w:r>
                <w:rPr>
                  <w:rStyle w:val="InternetLink"/>
                  <w:spacing w:val="4"/>
                </w:rPr>
                <w:t>S-34</w:t>
              </w:r>
            </w:hyperlink>
            <w:hyperlink w:anchor="sU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LEMA">
              <w:r>
                <w:rPr>
                  <w:rStyle w:val="InternetLink"/>
                  <w:spacing w:val="4"/>
                </w:rPr>
                <w:t>S-40</w:t>
              </w:r>
            </w:hyperlink>
            <w:hyperlink w:anchor="s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51" w:type="dxa"/>
            <w:tcBorders/>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37" w:type="dxa"/>
            <w:tcBorders/>
            <w:vAlign w:val="center"/>
          </w:tcPr>
          <w:p>
            <w:pPr>
              <w:pStyle w:val="TableContents"/>
              <w:bidi w:val="0"/>
              <w:spacing w:before="0" w:after="283"/>
              <w:jc w:val="right"/>
              <w:rPr/>
            </w:pPr>
            <w:hyperlink w:anchor="sEXP">
              <w:r>
                <w:rPr>
                  <w:rStyle w:val="InternetLink"/>
                  <w:spacing w:val="4"/>
                </w:rPr>
                <w:t>S-41</w:t>
              </w:r>
            </w:hyperlink>
            <w:hyperlink w:anchor="s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51" w:type="dxa"/>
            <w:tcBorders/>
            <w:shd w:fill="CCEEFF" w:val="clear"/>
            <w:vAlign w:val="center"/>
          </w:tcPr>
          <w:p>
            <w:pPr>
              <w:pStyle w:val="TableContents"/>
              <w:bidi w:val="0"/>
              <w:spacing w:before="0" w:after="0"/>
              <w:jc w:val="left"/>
              <w:rPr/>
            </w:pPr>
            <w:hyperlink w:anchor="sWYCF">
              <w:r>
                <w:rPr>
                  <w:rStyle w:val="InternetLink"/>
                  <w:spacing w:val="4"/>
                </w:rPr>
                <w:t xml:space="preserve">WHERE YOU CAN FIND MORE INFORMATION; 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37" w:type="dxa"/>
            <w:tcBorders/>
            <w:shd w:fill="CCEEFF" w:val="clear"/>
            <w:vAlign w:val="center"/>
          </w:tcPr>
          <w:p>
            <w:pPr>
              <w:pStyle w:val="TableContents"/>
              <w:bidi w:val="0"/>
              <w:spacing w:before="0" w:after="283"/>
              <w:jc w:val="right"/>
              <w:rPr/>
            </w:pPr>
            <w:hyperlink w:anchor="sWYCF">
              <w:r>
                <w:rPr>
                  <w:rStyle w:val="InternetLink"/>
                  <w:spacing w:val="4"/>
                </w:rPr>
                <w:t>S-42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6"/>
        <w:gridCol w:w="109"/>
        <w:gridCol w:w="109"/>
        <w:gridCol w:w="109"/>
        <w:gridCol w:w="109"/>
        <w:gridCol w:w="39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CSRF">
              <w:r>
                <w:rPr>
                  <w:rStyle w:val="InternetLink"/>
                  <w:spacing w:val="4"/>
                </w:rPr>
                <w:t xml:space="preserve">CAUTIONARY STATEMENT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CSRF">
              <w:r>
                <w:rPr>
                  <w:rStyle w:val="InternetLink"/>
                  <w:spacing w:val="4"/>
                </w:rPr>
                <w:t>2</w:t>
              </w:r>
            </w:hyperlink>
            <w:hyperlink w:anchor="bCS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WYCF">
              <w:r>
                <w:rPr>
                  <w:rStyle w:val="InternetLink"/>
                  <w:spacing w:val="4"/>
                </w:rPr>
                <w:t xml:space="preserve">WHERE YOU CAN FIND MORE INFORMATION; 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WYCF">
              <w:r>
                <w:rPr>
                  <w:rStyle w:val="InternetLink"/>
                  <w:spacing w:val="4"/>
                </w:rPr>
                <w:t>4</w:t>
              </w:r>
            </w:hyperlink>
            <w:hyperlink w:anchor="b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OUCO">
              <w:r>
                <w:rPr>
                  <w:rStyle w:val="InternetLink"/>
                  <w:spacing w:val="4"/>
                </w:rPr>
                <w:t xml:space="preserve">OUR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OUCO">
              <w:r>
                <w:rPr>
                  <w:rStyle w:val="InternetLink"/>
                  <w:spacing w:val="4"/>
                </w:rPr>
                <w:t>6</w:t>
              </w:r>
            </w:hyperlink>
            <w:hyperlink w:anchor="bOU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RIFA">
              <w:r>
                <w:rPr>
                  <w:rStyle w:val="InternetLink"/>
                  <w:spacing w:val="4"/>
                </w:rPr>
                <w:t>7</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UOP">
              <w:r>
                <w:rPr>
                  <w:rStyle w:val="InternetLink"/>
                  <w:spacing w:val="4"/>
                </w:rPr>
                <w:t>8</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DOCS">
              <w:r>
                <w:rPr>
                  <w:rStyle w:val="InternetLink"/>
                  <w:spacing w:val="4"/>
                </w:rPr>
                <w:t>9</w:t>
              </w:r>
            </w:hyperlink>
            <w:hyperlink w:anchor="b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DODS">
              <w:r>
                <w:rPr>
                  <w:rStyle w:val="InternetLink"/>
                  <w:spacing w:val="4"/>
                </w:rPr>
                <w:t>14</w:t>
              </w:r>
            </w:hyperlink>
            <w:hyperlink w:anchor="b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DOOS">
              <w:r>
                <w:rPr>
                  <w:rStyle w:val="InternetLink"/>
                  <w:spacing w:val="4"/>
                </w:rPr>
                <w:t xml:space="preserve">DESCRIPTION OF OTHER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DOOS">
              <w:r>
                <w:rPr>
                  <w:rStyle w:val="InternetLink"/>
                  <w:spacing w:val="4"/>
                </w:rPr>
                <w:t>22</w:t>
              </w:r>
            </w:hyperlink>
            <w:hyperlink w:anchor="bDO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GLSE">
              <w:r>
                <w:rPr>
                  <w:rStyle w:val="InternetLink"/>
                  <w:spacing w:val="4"/>
                </w:rPr>
                <w:t xml:space="preserve">GLOBAL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GLSE">
              <w:r>
                <w:rPr>
                  <w:rStyle w:val="InternetLink"/>
                  <w:spacing w:val="4"/>
                </w:rPr>
                <w:t>23</w:t>
              </w:r>
            </w:hyperlink>
            <w:hyperlink w:anchor="bGL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POD">
              <w:r>
                <w:rPr>
                  <w:rStyle w:val="InternetLink"/>
                  <w:spacing w:val="4"/>
                </w:rPr>
                <w:t>27</w:t>
              </w:r>
            </w:hyperlink>
            <w:hyperlink w:anchor="b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LEMA">
              <w:r>
                <w:rPr>
                  <w:rStyle w:val="InternetLink"/>
                  <w:spacing w:val="4"/>
                </w:rPr>
                <w:t>28</w:t>
              </w:r>
            </w:hyperlink>
            <w:hyperlink w:anchor="b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EXP">
              <w:r>
                <w:rPr>
                  <w:rStyle w:val="InternetLink"/>
                  <w:spacing w:val="4"/>
                </w:rPr>
                <w:t>28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expect that delivery of the notes will be made against payment therefore on or about the closing date specified on the cover page of this prospectus supplement, which will be the second business day following the date of this prospectus supplement. This settlement cycle is referred to as “T+2.” Under Rule 15c6-1 under the Securities Exchange Act of 1934, as amended (the “Exchange Act”),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T+2, to specify an alternate settlement cycle at the time of any such trade to prevent a failed settlement. Purchasers of notes who wish to trade notes prior to the date that is one business day preceding the settlement date should consult their own advisors.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FOST"/>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base prospectus include “forward-looking statements” within the meaning of Section 27A of the Securities Act of 1933 (the “Securities Act”) and Section 21E of the Exchange Act. Forward-looking statements include our current expectations or forecasts of future events, including matters relating to, armed conflict between Russia and Ukraine, instability in the Middle East and Venezuela and changes in China-Taiwan relations, along with the effects of the current global economic environment, and the impact of each on our business, financial condition, results of operations and cash flows, actions by, or disputes among or between, members of OPEC+ and other foreign oil-exporting countries, market factors, market prices, our ability to meet debt service requirements, our ability to continue to pay cash dividends, the amount and timing of any cash dividends and our sustainability initiatives. Forward-looking and other statements in this prospectus supplement and the accompanying base prospectus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“aim,” “predict,” “should,” “expect,” “could,” “may,” “anticipate,” “intend,” “plan,” “ability,” “believe,” “seek,” “see,” “will,” “would,” “estimate,” “forecast,” “target,” “guidance,” “outlook,” “opportunity” or “strategy.”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reduced demand for natural gas, oil and natural gas liquids; </w:t>
      </w:r>
      <w:r>
        <mc:AlternateContent>
          <mc:Choice Requires="wps">
            <w:drawing>
              <wp:anchor behindDoc="0" distT="7366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public perceptions of our industry; </w:t>
      </w:r>
      <w:r>
        <mc:AlternateContent>
          <mc:Choice Requires="wps">
            <w:drawing>
              <wp:anchor behindDoc="0" distT="7366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in the natural gas and oil exploration and production industry; </w:t>
      </w:r>
      <w:r>
        <mc:AlternateContent>
          <mc:Choice Requires="wps">
            <w:drawing>
              <wp:anchor behindDoc="0" distT="7366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volatility of natural gas, oil and natural gas liquids (“NGL”) prices, which are affected by general economic and business conditions, as well as increased demand for (and availability of) alternative fuels and electric vehicles;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regional epidemics or pandemics and related economic turmoil, including supply chain constraints;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write-downs of our natural gas and oil asset carrying values due to low commodity prices;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capital expenditures are required to replace our reserves and conduct our business;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replace reserves and sustain production;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uncertainties inherent in estimating quantities of natural gas, oil and NGL reserves and projecting future rates of production and the amount and timing of development expenditures;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drilling and operating risks and resulting liabilities;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generate profits or achieve targeted results in drilling and well operations;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leasehold terms expiring before production can be established;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our commodity price risk management activities;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uncertainties, risks and costs associated with natural gas and oil operations;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need to secure adequate supplies of water for our drilling operations and to dispose of or recycle the water used;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pipeline and gathering system capacity constraints and transportation interruptions;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our plans to participate in the global liquefied natural gas (“LNG”) value chain; </w:t>
      </w:r>
      <w:r>
        <mc:AlternateContent>
          <mc:Choice Requires="wps">
            <w:drawing>
              <wp:anchor behindDoc="0" distT="0" distB="0" distL="254000" distR="0" simplePos="0" locked="0" layoutInCell="1" allowOverlap="1" relativeHeight="22">
                <wp:simplePos x="0" y="0"/>
                <wp:positionH relativeFrom="column">
                  <wp:align>left</wp:align>
                </wp:positionH>
                <wp:positionV relativeFrom="line">
                  <wp:posOffset>635</wp:posOffset>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terrorist activities and/or cyber-attacks adversely impacting our operations;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failure to protect personal information and data and compliance with data privacy and security laws and regulations;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of our business by natural or human causes beyond our control;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deterioration in general economic, business or industry conditions;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inflation and commodity price volatility, including as a result of decisions made by OPEC+ and armed conflict between Russia and Ukraine, instability in the Middle East and Venezuela, and changes in China-Taiwan relations along with the effects of the current global economic environment, on our business, financial condition, employees, contractors, vendors and the global demand for natural gas and oil and on U.S. and global financial markets;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access the capital markets on favorable terms;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limitations on our financial flexibility due to our level of indebtedness and restrictive covenants from our indebtedness;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challenges with employee recruitment and retention and an increasingly competitive labor market;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acquisitions or dispositions, or potential acquisitions or dispositions;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 threats, including cybersecurity threats and disruptions to our business and operations from breaches of our information technology systems, or from breaches of information technology systems of third parties with whom we transact business;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and maintain sustainability certifications, goals and commitments;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and sustainability legislation and regulatory and initiatives, including those addressing the impact of climate change or further regulating hydraulic fracturing, greenhouse gas emissions, flaring or water disposal;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and state tax proposals affecting our industry;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an annual limitation on the utilization of our tax attributes, as well as trading in our common stock, additional issuance of common stock, and certain other stock transactions, which could lead to an additional, potentially more restrictive, annual limitation; and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actual consummation of the Twin Eagle Acquisition (as defined below) and the expected timetable for completion thereof, the results, effects and benefits of the Twin Eagle Acquisition, future opportunities for the Company, other plans with respect to the Twin Eagle Acquisition, and the anticipated impact of the Twin Eagle Acquisition on the Company’s results of operations, financial position, growth opportunities and competitive position;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integration of acquisitions, including the Twin Eagle Acquisition; and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3">
        <w:r>
          <w:rPr>
            <w:rStyle w:val="InternetLink"/>
          </w:rPr>
          <w:t>other factors that are described under “Risk Factors” in our Annual Report on Form 10-K for the year ended December 31, 2025, filed with the SEC on February 18, 2026, and any subsequent filings we have made with the SEC pursuant to Sections 13(a), 13(c), 14 or 15(d) of the Exchange Act that are incorporated by reference into this prospectus or any prospectus supplement.</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not to place undue reliance on the forward-looking statements contained in this prospectus supplement or the accompanying base prospectus, which speak only as of the filing date, and we undertake no obligation and have no intention to update this information, except as required by law. We urge you to carefully review and consider the disclosures in this prospectus supplement, the accompanying base prospectus, and our other filings with the SEC that attempt to advise interested parties of the risks and factors that may affect our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forward-looking statements attributable to us are expressly qualified in their entirety by this cautionary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SUM"/>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contained elsewhere in this prospectus supplement and the accompanying base prospectus. It does not contain all of the information that you should consider before making an investment decision. You should read the entire prospectus supplement, the accompanying base prospectus and the documents incorporated by reference for a more complete understanding of this offering. See “Risk Factors” beginning on page </w:t>
      </w:r>
      <w:hyperlink w:anchor="sRIFA">
        <w:r>
          <w:rPr>
            <w:rStyle w:val="InternetLink"/>
          </w:rPr>
          <w:t>S-10</w:t>
        </w:r>
      </w:hyperlink>
      <w:r>
        <w:rPr>
          <w:rFonts w:ascii="Times New Roman;Times;serif" w:hAnsi="Times New Roman;Times;serif"/>
          <w:b w:val="false"/>
          <w:i/>
          <w:caps w:val="false"/>
          <w:smallCaps w:val="false"/>
          <w:color w:val="000000"/>
          <w:spacing w:val="4"/>
          <w:sz w:val="20"/>
          <w:bdr w:val="single" w:sz="8" w:space="1" w:color="000000"/>
        </w:rPr>
        <w:t xml:space="preserve"> of this prospectus supplement and page 1 of the accompanying base prospectus for more information about important risks that you should consider before investing in the notes.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Unless otherwise provided or the context otherwise requires, references to</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Expand Energy,</w:t>
      </w:r>
      <w:r>
        <w:rPr>
          <w:rFonts w:ascii="Times New Roman;Times;serif" w:hAnsi="Times New Roman;Times;serif"/>
          <w:b w:val="false"/>
          <w:i w:val="false"/>
          <w:caps w:val="false"/>
          <w:smallCaps w:val="false"/>
          <w:color w:val="000000"/>
          <w:spacing w:val="4"/>
          <w:sz w:val="20"/>
          <w:bdr w:val="single" w:sz="8" w:space="1" w:color="000000"/>
        </w:rPr>
        <w:t>” “</w:t>
      </w:r>
      <w:r>
        <w:rPr>
          <w:rFonts w:ascii="Times New Roman;Times;serif" w:hAnsi="Times New Roman;Times;serif"/>
          <w:b w:val="false"/>
          <w:i/>
          <w:caps w:val="false"/>
          <w:smallCaps w:val="false"/>
          <w:color w:val="000000"/>
          <w:spacing w:val="4"/>
          <w:sz w:val="20"/>
          <w:bdr w:val="single" w:sz="8" w:space="1" w:color="000000"/>
        </w:rPr>
        <w:t>we,</w:t>
      </w:r>
      <w:r>
        <w:rPr>
          <w:rFonts w:ascii="Times New Roman;Times;serif" w:hAnsi="Times New Roman;Times;serif"/>
          <w:b w:val="false"/>
          <w:i w:val="false"/>
          <w:caps w:val="false"/>
          <w:smallCaps w:val="false"/>
          <w:color w:val="000000"/>
          <w:spacing w:val="4"/>
          <w:sz w:val="20"/>
          <w:bdr w:val="single" w:sz="8" w:space="1" w:color="000000"/>
        </w:rPr>
        <w:t>” “</w:t>
      </w:r>
      <w:r>
        <w:rPr>
          <w:rFonts w:ascii="Times New Roman;Times;serif" w:hAnsi="Times New Roman;Times;serif"/>
          <w:b w:val="false"/>
          <w:i/>
          <w:caps w:val="false"/>
          <w:smallCaps w:val="false"/>
          <w:color w:val="000000"/>
          <w:spacing w:val="4"/>
          <w:sz w:val="20"/>
          <w:bdr w:val="single" w:sz="8" w:space="1" w:color="000000"/>
        </w:rPr>
        <w:t>our,</w:t>
      </w:r>
      <w:r>
        <w:rPr>
          <w:rFonts w:ascii="Times New Roman;Times;serif" w:hAnsi="Times New Roman;Times;serif"/>
          <w:b w:val="false"/>
          <w:i w:val="false"/>
          <w:caps w:val="false"/>
          <w:smallCaps w:val="false"/>
          <w:color w:val="000000"/>
          <w:spacing w:val="4"/>
          <w:sz w:val="20"/>
          <w:bdr w:val="single" w:sz="8" w:space="1" w:color="000000"/>
        </w:rPr>
        <w:t>” “</w:t>
      </w:r>
      <w:r>
        <w:rPr>
          <w:rFonts w:ascii="Times New Roman;Times;serif" w:hAnsi="Times New Roman;Times;serif"/>
          <w:b w:val="false"/>
          <w:i/>
          <w:caps w:val="false"/>
          <w:smallCaps w:val="false"/>
          <w:color w:val="000000"/>
          <w:spacing w:val="4"/>
          <w:sz w:val="20"/>
          <w:bdr w:val="single" w:sz="8" w:space="1" w:color="000000"/>
        </w:rPr>
        <w:t>us</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and the</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Company</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refer to Expand Energy Corporation and its consolidated subsidiaries.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Expand Energy Corporation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Expand Energy is the largest independent natural gas producer in the United States, based on net daily production, and is focused on responsibly developing an abundant supply of natural gas, oil and NGLs to expand energy access for all. Our operations are located in Louisiana and Texas in the Haynesville and Bossier Shales (“Haynesville”), in Pennsylvania in the Marcellus Shale (“Northeast Appalachia”), and in West Virginia and Ohio in the Marcellus and Utica Shales (“Southwest Appalachia”) and include working interests in approximately 6,600 gross natural gas and oil wells.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strategy is to create resilient shareholder value through the responsible development of our significant resource plays while continuing to be a leading provider of natural gas to growing markets. We continue to focus on improving margins through operating efficiencies, marketing and commercial efforts and financial discipline and improving our safety and sustainability performance. To accomplish these goals, we intend to allocate our human resources and capital expenditures to projects we believe offer the highest cash return on capital invested, to deploy leading drilling and completion technology throughout our portfolio, and to take advantage of acquisition and divestiture opportunities to strengthen our portfolio. We also intend to continue to invest in projects designed to reduce the environmental impact of our production activities.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Twin Eagle Acquisition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July 24, 2026, we entered into an agreement and plan of merger with Twin Eagle Holdings N.A., LLC (“Twin Eagle”), a provider of natural gas marketing and logistics services, and one of our wholly owned subsidiaries whereby we will acquire Twin Eagle (the “Twin Eagle Acquisition”). The transaction is subject to customary closing conditions, including certain regulatory approvals, and is expected to close in the third quarter of 2026. The purchase price is approximately $1.25 billion, subject to typical purchase price adjustments, including for working capital. The Company expects to fund the transaction through a combination of cash on hand and borrowings under our revolving credit facility. Twin Eagle Resource Management, LLC (“TERM”) and Twin Eagle Resource Management Canada, LLC (“TERM Canada” and, together with TERM, the “TERM Subsidiaries”) are party to a senior secured credit facility with an elected capacity of $1.0 billion as of June 30, 2026, which matures in May 2027 (the “Twin Eagle Credit Facility”) and which will remain outstanding as an obligation of the TERM Subsidiaries following the completion of the Twin Eagle Acquisition. Neither Expand nor its subsidiaries (other than the TERM Subsidiaries) are expected to provide guarantees of such facility. After the completion of the Twin Eagle Acquisition, we expect for the Twin Eagle Credit Facility to remain outstanding for a limited period of time, after which we intend to terminate the facility once borrowings and outstanding letters of credit are canceled. See “</w:t>
      </w:r>
      <w:r>
        <w:rPr>
          <w:rFonts w:ascii="Times New Roman;Times;serif" w:hAnsi="Times New Roman;Times;serif"/>
          <w:b w:val="false"/>
          <w:i/>
          <w:caps w:val="false"/>
          <w:smallCaps w:val="false"/>
          <w:color w:val="000000"/>
          <w:spacing w:val="4"/>
          <w:sz w:val="20"/>
          <w:bdr w:val="single" w:sz="8" w:space="1" w:color="000000"/>
        </w:rPr>
        <w:t>Description of the Notes — Ranking</w:t>
      </w:r>
      <w:r>
        <w:rPr>
          <w:rFonts w:ascii="Times New Roman;Times;serif" w:hAnsi="Times New Roman;Times;serif"/>
          <w:b w:val="false"/>
          <w:i w:val="false"/>
          <w:caps w:val="false"/>
          <w:smallCaps w:val="false"/>
          <w:color w:val="000000"/>
          <w:spacing w:val="4"/>
          <w:sz w:val="20"/>
          <w:bdr w:val="single" w:sz="8" w:space="1" w:color="000000"/>
        </w:rPr>
        <w:t xml:space="preserve">.” Following the close of the Twin Eagle Acquisition, key members of the Twin Eagle management team will continue with the Company. All conditions precedent, other than those satisfied concurrently with closing, have been satisfied, and we anticipate the closing of the Twin Eagle Acquisition will occur imminently. We anticipate a portion of the Twin Eagle Acquisition purchase price will be funded with borrowings under our revolving credit facility.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Senior Notes Repayment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six months ended June 30, 2026, our 6.75% Senior Notes due 2029 were repaid and terminated for approximately $875 million, including accrued interest, and our 5.875% Senior Notes due 2029 were repaid and terminated for approximately $446 million, including accrued interest. These series of senior notes were repaid using cash on hand.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Ongoing CEO Search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February 6, 2026, Michael Wichterich, Chairman of the Board, was appointed Interim President and Chief Executive Officer. The Company concurrently launched a search process for a permanent Chief Executive Officer, with the assistance of an independent recruitment firm and, as previously disclosed, expects that process to be completed within six to nine months from commencement.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Principal Executive Offices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10000 Energy Drive, Spring, Texas 77389, and our telephone number is (346) 535-0990. We maintain a website at https://www.expandenergy.com. The information contained on, or that may be accessed through, our website is not part of, and is not incorporated into, this prospectus supplement, the accompanying base prospectus or the registration statement of which it forms a part.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TH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provide the following summary solely for your convenience. This summary is not a complete description of the notes. You should read the full text of, and more specific details contained elsewhere in, this prospectus supplement and the accompanying base prospectus. For a more detailed description of the notes, please read the section entitled “</w:t>
      </w:r>
      <w:r>
        <w:rPr>
          <w:rFonts w:ascii="Times New Roman;Times;serif" w:hAnsi="Times New Roman;Times;serif"/>
          <w:b w:val="false"/>
          <w:i/>
          <w:caps w:val="false"/>
          <w:smallCaps w:val="false"/>
          <w:color w:val="000000"/>
          <w:spacing w:val="4"/>
          <w:sz w:val="20"/>
          <w:bdr w:val="single" w:sz="8" w:space="1" w:color="000000"/>
        </w:rPr>
        <w:t>Description of the Notes</w:t>
      </w:r>
      <w:r>
        <w:rPr>
          <w:rFonts w:ascii="Times New Roman;Times;serif" w:hAnsi="Times New Roman;Times;serif"/>
          <w:b w:val="false"/>
          <w:i w:val="false"/>
          <w:caps w:val="false"/>
          <w:smallCaps w:val="false"/>
          <w:color w:val="000000"/>
          <w:spacing w:val="4"/>
          <w:sz w:val="20"/>
          <w:bdr w:val="single" w:sz="8" w:space="1" w:color="000000"/>
        </w:rPr>
        <w:t>” in this prospectus supplement and the section entitled “</w:t>
      </w:r>
      <w:r>
        <w:rPr>
          <w:rFonts w:ascii="Times New Roman;Times;serif" w:hAnsi="Times New Roman;Times;serif"/>
          <w:b w:val="false"/>
          <w:i/>
          <w:caps w:val="false"/>
          <w:smallCaps w:val="false"/>
          <w:color w:val="000000"/>
          <w:spacing w:val="4"/>
          <w:sz w:val="20"/>
          <w:bdr w:val="single" w:sz="8" w:space="1" w:color="000000"/>
        </w:rPr>
        <w:t>Description of Debt Securities</w:t>
      </w:r>
      <w:r>
        <w:rPr>
          <w:rFonts w:ascii="Times New Roman;Times;serif" w:hAnsi="Times New Roman;Times;serif"/>
          <w:b w:val="false"/>
          <w:i w:val="false"/>
          <w:caps w:val="false"/>
          <w:smallCaps w:val="false"/>
          <w:color w:val="000000"/>
          <w:spacing w:val="4"/>
          <w:sz w:val="20"/>
          <w:bdr w:val="single" w:sz="8" w:space="1" w:color="000000"/>
        </w:rPr>
        <w:t xml:space="preserve">” in the accompanying base prospectus. </w:t>
      </w:r>
    </w:p>
    <w:p>
      <w:pPr>
        <w:pStyle w:val="TextBody"/>
        <w:bidi w:val="0"/>
        <w:spacing w:lineRule="atLeast" w:line="240" w:before="120" w:after="283"/>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Expand Energy Corporation </w:t>
      </w:r>
    </w:p>
    <w:p>
      <w:pPr>
        <w:pStyle w:val="TextBody"/>
        <w:bidi w:val="0"/>
        <w:spacing w:lineRule="atLeast" w:line="240" w:before="120" w:after="283"/>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Notes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offering $500,000,000 aggregate principal amount of our 5.650% Senior Notes due 2031. </w:t>
      </w:r>
    </w:p>
    <w:p>
      <w:pPr>
        <w:pStyle w:val="TextBody"/>
        <w:bidi w:val="0"/>
        <w:spacing w:lineRule="atLeast" w:line="240" w:before="120" w:after="283"/>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Maturity Date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redeemed prior to maturity as described below, the notes will mature on September 15, 2031.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Rate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on the notes will accrue at the per annum rate of 5.650%.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Payment Dates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is payable semi-annually for the notes on March 15 and September 15 of each year, beginning on March 15, 2027.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Mandatory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be required to make mandatory redemption or sinking fund payments on the notes or to repurchase the notes at the option of the holders.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may redeem some or all of the notes at any time and from time to time at the redemption prices set forth in this prospectus supplement. The notes will not be entitled to the benefit of any sinking fund payment. See “</w:t>
      </w:r>
      <w:r>
        <w:rPr>
          <w:rFonts w:ascii="Times New Roman;Times;serif" w:hAnsi="Times New Roman;Times;serif"/>
          <w:b w:val="false"/>
          <w:i/>
          <w:caps w:val="false"/>
          <w:smallCaps w:val="false"/>
          <w:color w:val="000000"/>
          <w:spacing w:val="4"/>
          <w:sz w:val="20"/>
          <w:bdr w:val="single" w:sz="8" w:space="1" w:color="000000"/>
        </w:rPr>
        <w:t>Description of the Notes — Optional Redemption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Subsidiary Guarantees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not be guaranteed by any of our subsidiaries.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Ranking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our general unsecured obligations. The notes will be effectively subordinated to any future secured indebtedness of the Company to the extent of the assets securing such indebtedness and structurally subordinated to any indebtedness incurred by any of the Company’s subsidiaries, including the Twin Eagle Credit Facility. The notes will rank equally in right of payment with all our existing and future senior debt, including debt under our revolving credit facility and our existing senior notes, senior in right of payment to any subordinated debt that we may incur and junior to the indebtedness and other obligations, including trade payables, of our subsidiaries that do not guarantee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 of June 30, 2026, we and our subsidiaries had no secured indebtedness for borrowed money and we had approximately $3,738 million in principal amount of unsecured indebtedness for borrowed money, including zero outstanding under our revolving credit facility and $3,738 million principal amount of senior notes, none of which was guaranteed by our subsidiaries. Following the completion of the Twin Eagle Acquisition, we expect for the Twin Eagle Credit Facility to remain outstanding for a limited period of time. As of June 30, 2026, the Twin Eagle Credit Facility had $95 million of borrowings outstanding, $282 million of undrawn letters of credit outstanding and $623 million available for borrowing. See “</w:t>
      </w:r>
      <w:r>
        <w:rPr>
          <w:rFonts w:ascii="Times New Roman;Times;serif" w:hAnsi="Times New Roman;Times;serif"/>
          <w:b w:val="false"/>
          <w:i/>
          <w:caps w:val="false"/>
          <w:smallCaps w:val="false"/>
          <w:color w:val="000000"/>
          <w:spacing w:val="4"/>
          <w:sz w:val="20"/>
          <w:bdr w:val="single" w:sz="8" w:space="1" w:color="000000"/>
        </w:rPr>
        <w:t>Description of the Notes — Ranking</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Certain Covenants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issue the notes under an indenture we have entered into with Regions Bank as trustee and a supplemental indenture thereto. The indenture governing the notes limits our ability and the ability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of our subsidiaries to, among other things, create liens without equally and ratably securing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These covenants are subject to important exceptions and qualifications, as described under “</w:t>
      </w:r>
      <w:r>
        <w:rPr>
          <w:rFonts w:ascii="Times New Roman;Times;serif" w:hAnsi="Times New Roman;Times;serif"/>
          <w:b w:val="false"/>
          <w:i/>
          <w:caps w:val="false"/>
          <w:smallCaps w:val="false"/>
          <w:color w:val="000000"/>
          <w:spacing w:val="4"/>
          <w:sz w:val="20"/>
          <w:bdr w:val="single" w:sz="8" w:space="1" w:color="000000"/>
        </w:rPr>
        <w:t>Description of the Notes — Certain Covenants.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expect to receive net proceeds of approximately $496.4 million from this offering, after deducting the underwriting discount but before offering expenses. We intend to use the net proceeds from this offering for general corporate purposes. See “</w:t>
      </w:r>
      <w:r>
        <w:rPr>
          <w:rFonts w:ascii="Times New Roman;Times;serif" w:hAnsi="Times New Roman;Times;serif"/>
          <w:b w:val="false"/>
          <w:i/>
          <w:caps w:val="false"/>
          <w:smallCaps w:val="false"/>
          <w:color w:val="000000"/>
          <w:spacing w:val="4"/>
          <w:sz w:val="20"/>
          <w:bdr w:val="single" w:sz="8" w:space="1" w:color="000000"/>
        </w:rPr>
        <w:t>Use of Proceeds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Regions Bank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Governing Law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provides, and the notes will provide, that they will be governed by, and construed in accordance with, the laws of the State of New York.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Conflicts of Interest</w:t>
      </w:r>
      <w:r>
        <w:rPr>
          <w:rFonts w:ascii="Times New Roman;Times;serif" w:hAnsi="Times New Roman;Times;serif"/>
          <w:b/>
          <w:i w:val="false"/>
          <w:caps w:val="false"/>
          <w:smallCaps w:val="false"/>
          <w:color w:val="000000"/>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Affiliates of certain underwriters are lenders under our revolving credit facility and as a result may receive at least 5% of the net proceeds of this offering. Consequently, this offering is being made in compliance with Rule 5121 of the Financial Industry Regulatory Authority, Inc. (“FINRA”). Pursuant to this rule, an appointment of a Qualified Independent Underwriter is not required because the notes will be rated investment grade. The underwriters subject to FINRA Rule 5121 will not confirm sales to a discretionary account without prior written approval of the account holder.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See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sRIFA">
        <w:r>
          <w:rPr>
            <w:rStyle w:val="InternetLink"/>
          </w:rPr>
          <w:t>S-10</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and on page 1 of the accompanying base prospectus for a discussion of factors you should carefully consider before investing in the notes.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SHC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1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CONSOLIDATED FINANCIAL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table presents our summary historical consolidated financial data and other operating data. The summary historical consolidated financial information is derived from the financial statements we have incorporated by reference into this prospectus supplement and the accompanying prospectus. The other information set forth below includes certain non-GAAP financial measures, which are not presentations made in accordance with GAAP and are presented only as a supplement to our financial statements based on GAAP.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should read the summary historical consolidated financial information together with “Management’s Discussion and Analysis of Financial Condition and Results of Operations,” our historical consolidated and unaudited condensed consolidated financial statements and the related notes incorporated by reference into this prospectus supplement and the accompanying prospectus. See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tbl>
      <w:tblPr>
        <w:tblW w:w="8812" w:type="dxa"/>
        <w:jc w:val="left"/>
        <w:tblInd w:w="1393" w:type="dxa"/>
        <w:tblLayout w:type="fixed"/>
        <w:tblCellMar>
          <w:top w:w="0" w:type="dxa"/>
          <w:left w:w="0" w:type="dxa"/>
          <w:bottom w:w="28" w:type="dxa"/>
          <w:right w:w="0" w:type="dxa"/>
        </w:tblCellMar>
      </w:tblPr>
      <w:tblGrid>
        <w:gridCol w:w="3306"/>
        <w:gridCol w:w="109"/>
        <w:gridCol w:w="109"/>
        <w:gridCol w:w="109"/>
        <w:gridCol w:w="226"/>
        <w:gridCol w:w="646"/>
        <w:gridCol w:w="109"/>
        <w:gridCol w:w="109"/>
        <w:gridCol w:w="109"/>
        <w:gridCol w:w="109"/>
        <w:gridCol w:w="226"/>
        <w:gridCol w:w="646"/>
        <w:gridCol w:w="109"/>
        <w:gridCol w:w="109"/>
        <w:gridCol w:w="109"/>
        <w:gridCol w:w="109"/>
        <w:gridCol w:w="226"/>
        <w:gridCol w:w="766"/>
        <w:gridCol w:w="109"/>
        <w:gridCol w:w="109"/>
        <w:gridCol w:w="109"/>
        <w:gridCol w:w="109"/>
        <w:gridCol w:w="226"/>
        <w:gridCol w:w="646"/>
        <w:gridCol w:w="109"/>
        <w:gridCol w:w="154"/>
      </w:tblGrid>
      <w:tr>
        <w:trPr/>
        <w:tc>
          <w:tcPr>
            <w:tcW w:w="33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Years Ended</w:t>
            </w:r>
            <w:r>
              <w:rPr/>
              <w:t xml:space="preserve"> </w:t>
              <w:br/>
            </w: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06"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283"/>
              <w:jc w:val="left"/>
              <w:rPr/>
            </w:pPr>
            <w:r>
              <w:rPr>
                <w:spacing w:val="-4"/>
              </w:rPr>
              <w:t>Financial Review</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283"/>
              <w:jc w:val="left"/>
              <w:rPr/>
            </w:pPr>
            <w:r>
              <w:rPr>
                <w:spacing w:val="-4"/>
              </w:rPr>
              <w:t>Statements of Operations Data: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283"/>
              <w:jc w:val="left"/>
              <w:rPr/>
            </w:pPr>
            <w:r>
              <w:rPr>
                <w:spacing w:val="4"/>
              </w:rPr>
              <w:t>Revenues and Other: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Natural gas, oil and NGL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5,145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8,476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spacing w:val="4"/>
              </w:rPr>
            </w:pPr>
            <w:r>
              <w:rPr>
                <w:spacing w:val="4"/>
              </w:rPr>
              <w:t xml:space="preserve">Marketing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Gains (losses) on derivatives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Gains (losses) on sales of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(65)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0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Total revenues and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7,357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5,886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12,124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4,235</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283"/>
              <w:jc w:val="left"/>
              <w:rPr/>
            </w:pPr>
            <w:r>
              <w:rPr>
                <w:spacing w:val="4"/>
              </w:rPr>
              <w:t>Operating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Production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spacing w:val="4"/>
              </w:rPr>
            </w:pPr>
            <w:r>
              <w:rPr>
                <w:spacing w:val="4"/>
              </w:rPr>
              <w:t xml:space="preserve">Gathering, processing and transportation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Severance and ad valorem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spacing w:val="4"/>
              </w:rPr>
            </w:pPr>
            <w:r>
              <w:rPr>
                <w:spacing w:val="4"/>
              </w:rPr>
              <w:t xml:space="preserve">Exploration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Marketing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spacing w:val="4"/>
              </w:rPr>
            </w:pPr>
            <w:r>
              <w:rPr>
                <w:spacing w:val="4"/>
              </w:rPr>
              <w:t xml:space="preserve">General and administrative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Separation and other termination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depletion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Impairments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operating expense,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60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40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332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0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Total operating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5,165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4,885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9,653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5,038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06" w:type="dxa"/>
            <w:tcBorders>
              <w:bottom w:val="single" w:sz="2" w:space="0" w:color="CCEEFF"/>
            </w:tcBorders>
            <w:shd w:fill="CCEEFF" w:val="clear"/>
            <w:tcMar>
              <w:bottom w:w="50" w:type="dxa"/>
            </w:tcMar>
            <w:vAlign w:val="center"/>
          </w:tcPr>
          <w:p>
            <w:pPr>
              <w:pStyle w:val="TableContents"/>
              <w:bidi w:val="0"/>
              <w:spacing w:before="0" w:after="0"/>
              <w:jc w:val="left"/>
              <w:rPr>
                <w:i/>
              </w:rPr>
            </w:pPr>
            <w:r>
              <w:rPr>
                <w:i/>
                <w:spacing w:val="4"/>
              </w:rPr>
              <w:t>Income (loss) from operations</w:t>
            </w:r>
            <w:r>
              <w:rPr>
                <w:i/>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2,192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1,001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2,471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(803)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283"/>
              <w:jc w:val="left"/>
              <w:rPr/>
            </w:pPr>
            <w:r>
              <w:rPr>
                <w:spacing w:val="4"/>
              </w:rPr>
              <w:t>Other income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Gains (losses) on purchases, exchanges or extinguishments of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income,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24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0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Total other income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(92)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(189)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i/>
              </w:rPr>
            </w:pPr>
            <w:r>
              <w:rPr>
                <w:i/>
                <w:spacing w:val="4"/>
              </w:rPr>
              <w:t>Income (loss) before income taxes</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2,161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909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(841)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06" w:type="dxa"/>
            <w:tcBorders/>
            <w:tcMar>
              <w:bottom w:w="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480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190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463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(127)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06" w:type="dxa"/>
            <w:tcBorders/>
            <w:shd w:fill="CCEEFF" w:val="clear"/>
            <w:tcMar>
              <w:bottom w:w="0" w:type="dxa"/>
            </w:tcMar>
            <w:vAlign w:val="center"/>
          </w:tcPr>
          <w:p>
            <w:pPr>
              <w:pStyle w:val="TableContents"/>
              <w:bidi w:val="0"/>
              <w:spacing w:before="0" w:after="0"/>
              <w:jc w:val="left"/>
              <w:rPr>
                <w:i/>
              </w:rPr>
            </w:pPr>
            <w:r>
              <w:rPr>
                <w:i/>
                <w:spacing w:val="4"/>
              </w:rPr>
              <w:t>Net income (loss)</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1,681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719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945"/>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55"/>
      </w:tblGrid>
      <w:tr>
        <w:trPr/>
        <w:tc>
          <w:tcPr>
            <w:tcW w:w="29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Years Ended</w:t>
            </w:r>
            <w:r>
              <w:rPr/>
              <w:t xml:space="preserve"> </w:t>
              <w:br/>
            </w:r>
            <w:r>
              <w:rPr>
                <w:spacing w:val="-3"/>
              </w:rPr>
              <w:t xml:space="preserve">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945"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945" w:type="dxa"/>
            <w:tcBorders/>
            <w:shd w:fill="CCEEFF" w:val="clear"/>
            <w:tcMar>
              <w:bottom w:w="0" w:type="dxa"/>
            </w:tcMar>
            <w:vAlign w:val="center"/>
          </w:tcPr>
          <w:p>
            <w:pPr>
              <w:pStyle w:val="TableContents"/>
              <w:bidi w:val="0"/>
              <w:spacing w:before="0" w:after="283"/>
              <w:jc w:val="left"/>
              <w:rPr/>
            </w:pPr>
            <w:r>
              <w:rPr>
                <w:spacing w:val="-4"/>
              </w:rPr>
              <w:t>Statements of Cash Flows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945" w:type="dxa"/>
            <w:tcBorders/>
            <w:tcMar>
              <w:bottom w:w="0" w:type="dxa"/>
            </w:tcMar>
            <w:vAlign w:val="center"/>
          </w:tcPr>
          <w:p>
            <w:pPr>
              <w:pStyle w:val="TableContents"/>
              <w:bidi w:val="0"/>
              <w:spacing w:before="0" w:after="0"/>
              <w:jc w:val="left"/>
              <w:rPr>
                <w:spacing w:val="4"/>
              </w:rPr>
            </w:pPr>
            <w:r>
              <w:rPr>
                <w:spacing w:val="4"/>
              </w:rPr>
              <w:t xml:space="preserve">Net cash provided by operating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4,575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1,565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945" w:type="dxa"/>
            <w:tcBorders/>
            <w:shd w:fill="CCEEFF" w:val="clear"/>
            <w:tcMar>
              <w:bottom w:w="0" w:type="dxa"/>
            </w:tcMar>
            <w:vAlign w:val="center"/>
          </w:tcPr>
          <w:p>
            <w:pPr>
              <w:pStyle w:val="TableContents"/>
              <w:bidi w:val="0"/>
              <w:spacing w:before="0" w:after="0"/>
              <w:jc w:val="left"/>
              <w:rPr>
                <w:spacing w:val="4"/>
              </w:rPr>
            </w:pPr>
            <w:r>
              <w:rPr>
                <w:spacing w:val="4"/>
              </w:rPr>
              <w:t xml:space="preserve">Net cash used in investing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(2,759)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945" w:type="dxa"/>
            <w:tcBorders/>
            <w:tcMar>
              <w:bottom w:w="0" w:type="dxa"/>
            </w:tcMar>
            <w:vAlign w:val="center"/>
          </w:tcPr>
          <w:p>
            <w:pPr>
              <w:pStyle w:val="TableContents"/>
              <w:bidi w:val="0"/>
              <w:spacing w:before="0" w:after="0"/>
              <w:jc w:val="left"/>
              <w:rPr>
                <w:spacing w:val="4"/>
              </w:rPr>
            </w:pPr>
            <w:r>
              <w:rPr>
                <w:spacing w:val="4"/>
              </w:rPr>
              <w:t xml:space="preserve">Net cash used in financing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(419)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946"/>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54"/>
      </w:tblGrid>
      <w:tr>
        <w:trPr/>
        <w:tc>
          <w:tcPr>
            <w:tcW w:w="29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46"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46" w:type="dxa"/>
            <w:tcBorders/>
            <w:shd w:fill="CCEEFF" w:val="clear"/>
            <w:tcMar>
              <w:bottom w:w="0" w:type="dxa"/>
            </w:tcMar>
            <w:vAlign w:val="center"/>
          </w:tcPr>
          <w:p>
            <w:pPr>
              <w:pStyle w:val="TableContents"/>
              <w:bidi w:val="0"/>
              <w:spacing w:before="0" w:after="283"/>
              <w:jc w:val="left"/>
              <w:rPr/>
            </w:pPr>
            <w:r>
              <w:rPr>
                <w:spacing w:val="-4"/>
              </w:rPr>
              <w:t>Balance Sheets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46" w:type="dxa"/>
            <w:tcBorders/>
            <w:tcMar>
              <w:bottom w:w="0" w:type="dxa"/>
            </w:tcMar>
            <w:vAlign w:val="center"/>
          </w:tcPr>
          <w:p>
            <w:pPr>
              <w:pStyle w:val="TableContents"/>
              <w:bidi w:val="0"/>
              <w:spacing w:before="0" w:after="0"/>
              <w:jc w:val="left"/>
              <w:rPr>
                <w:b/>
              </w:rPr>
            </w:pPr>
            <w:r>
              <w:rPr>
                <w:b/>
                <w:spacing w:val="-4"/>
              </w:rPr>
              <w:t>Total liabilities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9,831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9,709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10,329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4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stockholders’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19,410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17,937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18,578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17,565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946" w:type="dxa"/>
            <w:tcBorders>
              <w:bottom w:val="single" w:sz="2" w:space="0" w:color="FFFFFF"/>
            </w:tcBorders>
            <w:tcMar>
              <w:bottom w:w="50" w:type="dxa"/>
            </w:tcMar>
            <w:vAlign w:val="center"/>
          </w:tcPr>
          <w:p>
            <w:pPr>
              <w:pStyle w:val="TableContents"/>
              <w:bidi w:val="0"/>
              <w:spacing w:before="0" w:after="0"/>
              <w:jc w:val="left"/>
              <w:rPr>
                <w:b/>
              </w:rPr>
            </w:pPr>
            <w:r>
              <w:rPr>
                <w:b/>
                <w:spacing w:val="-4"/>
              </w:rPr>
              <w:t>Total liabilities and stockholders’ equity</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28,030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27,768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28,287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27,894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46"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28,030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27,768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28,287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27,894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46" w:type="dxa"/>
            <w:tcBorders/>
            <w:tcMar>
              <w:bottom w:w="0" w:type="dxa"/>
            </w:tcMar>
            <w:vAlign w:val="center"/>
          </w:tcPr>
          <w:p>
            <w:pPr>
              <w:pStyle w:val="TableContents"/>
              <w:bidi w:val="0"/>
              <w:spacing w:before="0" w:after="283"/>
              <w:jc w:val="left"/>
              <w:rPr/>
            </w:pPr>
            <w:r>
              <w:rPr>
                <w:spacing w:val="-4"/>
              </w:rPr>
              <w:t>Non-GAAP Financial Data: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46" w:type="dxa"/>
            <w:tcBorders/>
            <w:shd w:fill="CCEEFF" w:val="clear"/>
            <w:tcMar>
              <w:bottom w:w="0" w:type="dxa"/>
            </w:tcMar>
            <w:vAlign w:val="center"/>
          </w:tcPr>
          <w:p>
            <w:pPr>
              <w:pStyle w:val="TableContents"/>
              <w:bidi w:val="0"/>
              <w:spacing w:before="0" w:after="0"/>
              <w:jc w:val="left"/>
              <w:rPr/>
            </w:pPr>
            <w:r>
              <w:rPr>
                <w:spacing w:val="4"/>
              </w:rPr>
              <w:t>Adjusted EBITDAX</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46" w:type="dxa"/>
            <w:tcBorders/>
            <w:tcMar>
              <w:bottom w:w="0" w:type="dxa"/>
            </w:tcMar>
            <w:vAlign w:val="center"/>
          </w:tcPr>
          <w:p>
            <w:pPr>
              <w:pStyle w:val="TableContents"/>
              <w:bidi w:val="0"/>
              <w:spacing w:before="0" w:after="0"/>
              <w:jc w:val="left"/>
              <w:rPr/>
            </w:pPr>
            <w:r>
              <w:rPr>
                <w:spacing w:val="4"/>
              </w:rPr>
              <w:t>Net Debt</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3,075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4,404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4,409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5,369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Adjusted EBITDAX is a Non-GAAP measure and is defined as net income (loss) before interest expense, income tax expense (benefit), depreciation, depletion and amortization expense, exploration expense, unrealized (gains) losses on derivatives, separation and other termination costs, (gains) losses on sales of assets, and certain items management believes affect the comparability of operating results. Adjusted EBITDAX is presented as it provides investors an indication of the Company’s ability to internally fund exploration and development activities and service or incur debt. Adjusted EBITDAX should not be considered an alternative to, or more meaningful than, net income (loss) as presented in accordance with GAAP. </w:t>
      </w:r>
      <w:r>
        <mc:AlternateContent>
          <mc:Choice Requires="wps">
            <w:drawing>
              <wp:anchor behindDoc="0" distT="1016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Management believes Adjusted EBITDAX is a meaningful adjunct to earnings calculated in accordance with GAAP because (a) management uses this financial measure to evaluate the Company’s trends and performance, (b) this financial measure is comparable to estimates provided by certain securities analysts, and (c) items excluded generally are one-time items or items whose timing or amount cannot be reasonably estimated.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table below presents a reconciliation of Adjusted EBITDAX to Net Income (Loss), Expand Energy’s most directly comparable financial measure calculated and presented in accordance with GAAP for the periods ended on the dates set forth below. </w:t>
      </w:r>
    </w:p>
    <w:tbl>
      <w:tblPr>
        <w:tblW w:w="8812" w:type="dxa"/>
        <w:jc w:val="left"/>
        <w:tblInd w:w="1393" w:type="dxa"/>
        <w:tblLayout w:type="fixed"/>
        <w:tblCellMar>
          <w:top w:w="0" w:type="dxa"/>
          <w:left w:w="0" w:type="dxa"/>
          <w:bottom w:w="28" w:type="dxa"/>
          <w:right w:w="0" w:type="dxa"/>
        </w:tblCellMar>
      </w:tblPr>
      <w:tblGrid>
        <w:gridCol w:w="3426"/>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3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Years Ended </w:t>
            </w:r>
            <w:r>
              <w:rPr/>
              <w:br/>
            </w: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jc w:val="left"/>
              <w:rPr>
                <w:b/>
              </w:rPr>
            </w:pPr>
            <w:r>
              <w:rPr>
                <w:b/>
                <w:spacing w:val="-4"/>
              </w:rPr>
              <w:t>Net Income (Loss) (GAAP)</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tcMar>
              <w:bottom w:w="0" w:type="dxa"/>
            </w:tcMar>
            <w:vAlign w:val="center"/>
          </w:tcPr>
          <w:p>
            <w:pPr>
              <w:pStyle w:val="TableContents"/>
              <w:bidi w:val="0"/>
              <w:spacing w:before="0" w:after="283"/>
              <w:jc w:val="left"/>
              <w:rPr/>
            </w:pPr>
            <w:r>
              <w:rPr>
                <w:spacing w:val="-4"/>
              </w:rPr>
              <w:t>Adjustments: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tcMar>
              <w:bottom w:w="0" w:type="dxa"/>
            </w:tcMar>
            <w:vAlign w:val="center"/>
          </w:tcPr>
          <w:p>
            <w:pPr>
              <w:pStyle w:val="TableContents"/>
              <w:bidi w:val="0"/>
              <w:spacing w:before="0" w:after="0"/>
              <w:ind w:left="200" w:right="0" w:hanging="0"/>
              <w:jc w:val="left"/>
              <w:rPr>
                <w:spacing w:val="4"/>
              </w:rPr>
            </w:pPr>
            <w:r>
              <w:rPr>
                <w:spacing w:val="4"/>
              </w:rPr>
              <w:t xml:space="preserve">Income tax expense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Depreciation, depletion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tcMar>
              <w:bottom w:w="0" w:type="dxa"/>
            </w:tcMar>
            <w:vAlign w:val="center"/>
          </w:tcPr>
          <w:p>
            <w:pPr>
              <w:pStyle w:val="TableContents"/>
              <w:bidi w:val="0"/>
              <w:spacing w:before="0" w:after="0"/>
              <w:ind w:left="200" w:right="0" w:hanging="0"/>
              <w:jc w:val="left"/>
              <w:rPr>
                <w:spacing w:val="4"/>
              </w:rPr>
            </w:pPr>
            <w:r>
              <w:rPr>
                <w:spacing w:val="4"/>
              </w:rPr>
              <w:t xml:space="preserve">Exploration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Unrealized (gains) losses on derivatives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tcMar>
              <w:bottom w:w="0" w:type="dxa"/>
            </w:tcMar>
            <w:vAlign w:val="center"/>
          </w:tcPr>
          <w:p>
            <w:pPr>
              <w:pStyle w:val="TableContents"/>
              <w:bidi w:val="0"/>
              <w:spacing w:before="0" w:after="0"/>
              <w:ind w:left="200" w:right="0" w:hanging="0"/>
              <w:jc w:val="left"/>
              <w:rPr>
                <w:spacing w:val="4"/>
              </w:rPr>
            </w:pPr>
            <w:r>
              <w:rPr>
                <w:spacing w:val="4"/>
              </w:rPr>
              <w:t xml:space="preserve">Separation and other termination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(Gains) losses on sale of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operating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Impairments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tcMar>
              <w:bottom w:w="0" w:type="dxa"/>
            </w:tcMar>
            <w:vAlign w:val="center"/>
          </w:tcPr>
          <w:p>
            <w:pPr>
              <w:pStyle w:val="TableContents"/>
              <w:bidi w:val="0"/>
              <w:spacing w:before="0" w:after="0"/>
              <w:ind w:left="200" w:right="0" w:hanging="0"/>
              <w:jc w:val="left"/>
              <w:rPr>
                <w:spacing w:val="4"/>
              </w:rPr>
            </w:pPr>
            <w:r>
              <w:rPr>
                <w:spacing w:val="4"/>
              </w:rPr>
              <w:t xml:space="preserve">(Gains) losses on purchases, exchanges or extinguishments of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Contract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(83)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jc w:val="left"/>
              <w:rPr>
                <w:b/>
              </w:rPr>
            </w:pPr>
            <w:r>
              <w:rPr>
                <w:b/>
                <w:spacing w:val="-4"/>
              </w:rPr>
              <w:t>Adjusted EBITDAX (Non-GAAP)</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3,151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5,078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2,195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Net Debt is a Non-GAAP measure and is defined as GAAP total debt excluding premiums, discounts, and deferred issuance costs less cash and cash equivalents. Net Debt is useful to investors as a widely understood measure of liquidity and leverage, but this measure should not be considered as an alternative to, or more meaningful than, total debt presented in accordance with GAAP. </w:t>
      </w:r>
      <w:r>
        <mc:AlternateContent>
          <mc:Choice Requires="wps">
            <w:drawing>
              <wp:anchor behindDoc="0" distT="1016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table below presents a reconciliation of Net Debt to Total Debt, Expand Energy’s most directly comparable financial measure calculated and presented in accordance with GAAP as of the dates set forth below. </w:t>
      </w:r>
    </w:p>
    <w:tbl>
      <w:tblPr>
        <w:tblW w:w="8812" w:type="dxa"/>
        <w:jc w:val="left"/>
        <w:tblInd w:w="1393" w:type="dxa"/>
        <w:tblLayout w:type="fixed"/>
        <w:tblCellMar>
          <w:top w:w="0" w:type="dxa"/>
          <w:left w:w="0" w:type="dxa"/>
          <w:bottom w:w="28" w:type="dxa"/>
          <w:right w:w="0" w:type="dxa"/>
        </w:tblCellMar>
      </w:tblPr>
      <w:tblGrid>
        <w:gridCol w:w="3426"/>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3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jc w:val="left"/>
              <w:rPr/>
            </w:pPr>
            <w:r>
              <w:rPr>
                <w:spacing w:val="-4"/>
              </w:rPr>
              <w:t>Total Debt (GAAP)</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Premiums, discounts and issuance costs on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53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jc w:val="left"/>
              <w:rPr>
                <w:b/>
              </w:rPr>
            </w:pPr>
            <w:r>
              <w:rPr>
                <w:b/>
                <w:spacing w:val="-4"/>
              </w:rPr>
              <w:t>Principal amount of debt</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2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Cash and cash equivalents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(663)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(731)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(616)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(317)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26" w:type="dxa"/>
            <w:tcBorders/>
            <w:shd w:fill="CCEEFF" w:val="clear"/>
            <w:tcMar>
              <w:bottom w:w="0" w:type="dxa"/>
            </w:tcMar>
            <w:vAlign w:val="center"/>
          </w:tcPr>
          <w:p>
            <w:pPr>
              <w:pStyle w:val="TableContents"/>
              <w:bidi w:val="0"/>
              <w:spacing w:before="0" w:after="0"/>
              <w:jc w:val="left"/>
              <w:rPr/>
            </w:pPr>
            <w:r>
              <w:rPr>
                <w:spacing w:val="-4"/>
              </w:rPr>
              <w:t>Net Debt (Non-GAAP)</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3,075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4,404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4,409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5,369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the notes involves risks. You should carefully consider all of the information contained in this prospectus supplement, the accompanying base prospectus and the documents incorporated by reference as provided under “Incorporation by Reference,” including our most recent Annual Report on Form 10-K and our Quarterly Reports on Form 10-Q, and the risk factors described under “Risk Factors” therein, as applicable. This prospectus supplement, the accompanying base prospectus and the documents incorporated by reference also contain forward-looking statements that involve risks and uncertainties. See “Forward-Looking Statements.” Our actual results could differ materially from those anticipated in the forward-looking statements as a result of certain factors, including the risks described elsewhere in this prospectus supplement, in the accompanying base prospectus and in the documents incorporated by reference. If any of these risks occur, our business, financial condition or results of operation could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 and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notes will be effectively subordinated to any secured debt of ours, and, in the event of our bankruptcy or liquidation, holders of the notes will be paid from any assets remaining after payments to any holders of any secured debt we may have. In addition, the notes will be structurally subordinated to any debt of our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general unsecured senior obligations, and effectively subordinated to any secured debt that we may have, to the extent of the value of the assets securing that debt. The notes and the indenture under which the notes will be issued permit us to incur secured debt provided certain conditions are met. If we are declared bankrupt or insolvent, or are liquidated, the holders of our secured debt will be entitled to be paid from our assets securing their debt before any payment may be made with respect to the notes. If any of the preceding events occur, we may not have sufficient assets to pay amounts due on our secured debt and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subsidiaries will guarantee the notes initially, and as a result, the notes will be structurally subordinated to the claims of all creditors, including unsecured indebtedness, trade creditors and tort claimants, of those subsidiaries. In the event of the insolvency, bankruptcy, liquidation, reorganization, dissolution or winding up of the business of any of our subsidiaries, creditors of such subsidiaries would generally have the right to be paid in full before any distribution is made to us or the holders of the notes. As of June 30, 2026, our subsidiaries had no outstanding indebtedness. In connection with the completion of the Twin Eagle Acquisition, the Twin Eagle Credit Facility will remain outstanding as an obligation of the TERM Subsidiaries. Neither Expand nor its subsidiaries (other than the TERM Subsidiaries) are expected to provide guarantees of such facility. As of June 30, 2026, the Twin Eagle Credit Facility had $95 million of borrowings outstanding, $282 million of undrawn letters of credit outstanding and $623 million available for borrowing. The Twin Eagle Credit Facility matures in May 2027.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substantial indebtedness could adversely affect our financial condition.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have, and after the completion of this offering, we will continue to have, a significant amount of indebtedness. This significant amount of indebtedness could limit our ability to obtain additional financing for working capital, capital expenditures, stock repurchases, acquisitions, debt service requirements or other purposes. It may also increase our vulnerability to adverse economic, market and industry conditions, limit our flexibility in planning for, or reacting to, changes in our business operations or to our industry overall, and place us at a disadvantage in relation to our competitors that have lower debt levels. Any or all of the above events and/or factors could have an adverse effect on our results of operations and financial condition.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and our subsidiaries may still be able to incur substantially more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its subsidiaries may be able to incur substantial additional indebtedness in the future. The notes and the indenture under which the notes will be issued do not restrict the Company’s or its subsidiaries’ ability to incur a specified amount of secured indebtedness or an unlimited amount of secured indebtedness to the extent the notes are secured equally and ratably with such indebtedness. In addition, the notes will not require us to achieve or maintain any minimum financial results relating to our financial condition or results of operations. Our ability to recapitalize, incur additional debt, and to take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number of other actions that are not limited by the terms of the notes could have the effect of diminishing our ability to make payments on the notes when due. In addition, the Company will not be restricted from repurchasing common stock by the terms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issue additional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holders of the notes, create and issue additional notes, which notes will be equal in rank to the notes offered hereby so that the new notes may be consolidated and form a single series with the notes offered hereby and have the same terms as to status, redemption or otherwise as such notes (except for the issue date and, under certain circumstances, the issue price, the initial interest payment date and corresponding record date and the date from which interest thereon will begin to accrue).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not be protected by restrictive covenants.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limitations on liens, the notes and the indenture under which the notes will be issued do not contain any financial or operating covenants or restrictions on the payment of dividends, the incurrence of indebtedness or the issuance or repurchase of securities by the Company or any of its subsidiaries. In addition, the indenture does not contain covenants or other provisions to afford protection to holders of the notes in the event of a change of control involving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public market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give no assurances concerning the liquidity of any market that may develop for the notes offered hereby, the ability of any investor to sell the notes or the prices at which investors would be able to sell them. If a market for the notes does not develop, investors may be unable to resell the notes for an extended period of time, if at all. If a market for the notes does develop, it may not continue or it may not be sufficiently liquid to allow holders to resell any of the notes. Consequently, investors may not be able to liquidate their investment readily, and lenders may not readily accept the notes as collateral for loans.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increase in market interest rates could result in a decrease in the market value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 of the financial markets and prevailing interest rates have fluctuated in the past and are likely to continue fluctuating into the future, which could have an adverse effect on the market price of the notes. In general, as market interest rates rise, debt securities bearing interest at fixed rates of interest decline in value. Consequently, if you purchase notes bearing interest at fixed rates of interest and market interest rates increase, the market value of those notes may decline. We cannot predict the future level of market interest rates.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redeem the notes before they mature, which could occur when prevailing interest rates are relatively low.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redeem all or any portion of the notes at our option as described under “</w:t>
      </w:r>
      <w:r>
        <w:rPr>
          <w:rFonts w:ascii="Times New Roman;Times;serif" w:hAnsi="Times New Roman;Times;serif"/>
          <w:b w:val="false"/>
          <w:i/>
          <w:caps w:val="false"/>
          <w:smallCaps w:val="false"/>
          <w:color w:val="000000"/>
          <w:spacing w:val="4"/>
          <w:sz w:val="20"/>
        </w:rPr>
        <w:t>Description of the Notes — Optional Redemption.</w:t>
      </w:r>
      <w:r>
        <w:rPr>
          <w:rFonts w:ascii="Times New Roman;Times;serif" w:hAnsi="Times New Roman;Times;serif"/>
          <w:b w:val="false"/>
          <w:i w:val="false"/>
          <w:caps w:val="false"/>
          <w:smallCaps w:val="false"/>
          <w:color w:val="000000"/>
          <w:spacing w:val="4"/>
          <w:sz w:val="20"/>
        </w:rPr>
        <w:t xml:space="preserve">” Any such redemption may occur when prevailing interest rates are lower than the rates borne by the notes. These redemption rights may, depending on prevailing market conditions at the time, create reinvestment risk for the holders in that they may be unable to find a suitable replacement investment with a comparable return to those notes. If prevailing rates are lower at the time of redemption, holders may not be able to reinvest the redemption proceeds in a comparable security at an effective interest rate as high as the interest rate on the notes being redeemed. The redemption of the notes also may adversely affect holders’ ability to sell the notes if and at any time after the notes are called for partial or full redemption.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credit ratings may not reflect all risks of an investment in the notes, and changes in our credit ratings may adversely affect your investment in the notes and may require us to post cash collateral or additional letters of credit.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credit ratings assigned to the notes are not a recommendation to buy, sell or hold the notes and do not address all material risks relating to an investment in the notes, but rather reflect only the view of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rating agency at the time the rating is issued. Each agency’s rating should be evaluated independently of any other agency’s rating. We have no obligation to maintain the ratings, and neither we nor any underwriter undertakes any obligation to advise holders of notes of any change in ratings.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that our credit ratings will remain in effect for any given period of time or that a rating will not be revised downward, placed on a watch list or withdrawn entirely by the applicable rating agencies if in their judgment circumstances so warrant. An increase in the level of our outstanding indebtedness, an inability to reduce our indebtedness in a timely fashion or at all, or other events that could have an adverse impact on our business, properties, financial condition, results of operations or prospects may cause the rating agencies to downgrade our debt credit rating generally and the ratings on the notes. Actual or anticipated changes or downgrades in our credit ratings, including any announcement that our ratings are under review for a downgrade, could affect the trading price for or liquidity of the notes, increase our corporate borrowing costs, limit our access to the capital markets or result in more restrictive covenants in future debt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downgrades in our credit ratings would allow certain counterparties to our pipeline and gathering agreements and hedging contracts to require us to post cash collateral or letters of credit to support our commitments to them. Although we believe we have sufficient letter of credit capacity or other liquidity options to satisfy our collateral obligations in such a scenario, we cannot predict the impact these posting requirements may have on our business, financial condition, results of operations or prospects.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financial performance and other factors could adversely impact our ability to make payments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make scheduled payments with respect to our indebtedness, including the notes, will depend on our financial and operating performance, which, in turn, is subject to prevailing economic conditions and to financial, business and other factors beyond our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Operations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Twin Eagle Acquisition will materially expand our natural gas marketing and trading activities, which may expose us to increased commodity-price, liquidity and counterparty-credit risks.</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 completion of the Twin Eagle Acquisition, we anticipate meaningfully expanding our natural gas marketing and trading activities, which will expose us to risks that differ from, and may be greater than, those associated with our historical operations.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Commodity-price volatility and changes in market conditions could result in mark-to-market losses on forward purchase and sale commitments and other trading positions. In addition, we or our counterparties may be required to post cash, letters of credit or other collateral under trading or similar arrangements. During periods of heightened commodity-price volatility, such requirements may increase significantly and on short notice, adversely affecting our liquidity and financial flexibility.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will also increase the number and diversity of commercial counterparties with which we transact and our aggregate credit exposure through marketing and trading arrangements. Counterparties may fail to perform due to financial distress, bankruptcy, commodity-price volatility or other factors outside of our control. Although we expect to monitor counterparty creditworthiness and use credit-support arrangements where appropriate, those measures may not fully mitigate the risk of counterparty defaults or concentrations of credit exposure, which could adversely affect our results of operations, cash flows and financial condition.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receive net proceeds of approximately $496.4 million from the sale of the notes offered hereby after deducting the underwriting discount but before offering expenses. We intend to use the net proceeds from this offering for general corporate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CA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cash and cash equivalents and total capitalization as of June 30, 2026, on an: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basis; and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adjusted basis to give effect to this offering and the use of net proceeds as described under “</w:t>
      </w:r>
      <w:r>
        <w:rPr>
          <w:rFonts w:ascii="Times New Roman;Times;serif" w:hAnsi="Times New Roman;Times;serif"/>
          <w:b w:val="false"/>
          <w:i/>
          <w:caps w:val="false"/>
          <w:smallCaps w:val="false"/>
          <w:color w:val="000000"/>
          <w:spacing w:val="4"/>
          <w:sz w:val="20"/>
        </w:rPr>
        <w:t>Use of Proceeds</w:t>
      </w:r>
      <w:r>
        <w:rPr>
          <w:rFonts w:ascii="Times New Roman;Times;serif" w:hAnsi="Times New Roman;Times;serif"/>
          <w:b w:val="false"/>
          <w:i w:val="false"/>
          <w:caps w:val="false"/>
          <w:smallCaps w:val="false"/>
          <w:color w:val="000000"/>
          <w:spacing w:val="4"/>
          <w:sz w:val="20"/>
        </w:rPr>
        <w:t xml:space="preserve">” but does not give effect to the Twin Eagle Acquisition.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should be read together with our historical financial statements and the accompanying notes incorporated by reference into this prospectus supplement and the accompanying base prospectus. </w:t>
      </w:r>
    </w:p>
    <w:tbl>
      <w:tblPr>
        <w:tblW w:w="8812" w:type="dxa"/>
        <w:jc w:val="left"/>
        <w:tblInd w:w="1393" w:type="dxa"/>
        <w:tblLayout w:type="fixed"/>
        <w:tblCellMar>
          <w:top w:w="0" w:type="dxa"/>
          <w:left w:w="0" w:type="dxa"/>
          <w:bottom w:w="28" w:type="dxa"/>
          <w:right w:w="0" w:type="dxa"/>
        </w:tblCellMar>
      </w:tblPr>
      <w:tblGrid>
        <w:gridCol w:w="5737"/>
        <w:gridCol w:w="109"/>
        <w:gridCol w:w="109"/>
        <w:gridCol w:w="109"/>
        <w:gridCol w:w="226"/>
        <w:gridCol w:w="766"/>
        <w:gridCol w:w="109"/>
        <w:gridCol w:w="109"/>
        <w:gridCol w:w="109"/>
        <w:gridCol w:w="114"/>
        <w:gridCol w:w="237"/>
        <w:gridCol w:w="807"/>
        <w:gridCol w:w="114"/>
        <w:gridCol w:w="157"/>
      </w:tblGrid>
      <w:tr>
        <w:trPr/>
        <w:tc>
          <w:tcPr>
            <w:tcW w:w="57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2026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37"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Adjusted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37" w:type="dxa"/>
            <w:tcBorders/>
            <w:shd w:fill="CCEEFF" w:val="clear"/>
            <w:tcMar>
              <w:bottom w:w="0" w:type="dxa"/>
            </w:tcMar>
            <w:vAlign w:val="center"/>
          </w:tcPr>
          <w:p>
            <w:pPr>
              <w:pStyle w:val="TableContents"/>
              <w:bidi w:val="0"/>
              <w:spacing w:before="0" w:after="0"/>
              <w:jc w:val="left"/>
              <w:rPr>
                <w:b/>
              </w:rPr>
            </w:pPr>
            <w:r>
              <w:rPr>
                <w:b/>
                <w:spacing w:val="-4"/>
              </w:rPr>
              <w:t>Cash and cash equivalents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 xml:space="preserve">1,157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37" w:type="dxa"/>
            <w:tcBorders/>
            <w:tcMar>
              <w:bottom w:w="0" w:type="dxa"/>
            </w:tcMar>
            <w:vAlign w:val="center"/>
          </w:tcPr>
          <w:p>
            <w:pPr>
              <w:pStyle w:val="TableContents"/>
              <w:bidi w:val="0"/>
              <w:spacing w:before="0" w:after="283"/>
              <w:jc w:val="left"/>
              <w:rPr/>
            </w:pPr>
            <w:r>
              <w:rPr>
                <w:spacing w:val="-4"/>
              </w:rPr>
              <w:t>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37" w:type="dxa"/>
            <w:tcBorders/>
            <w:shd w:fill="CCEEFF" w:val="clear"/>
            <w:tcMar>
              <w:bottom w:w="0" w:type="dxa"/>
            </w:tcMar>
            <w:vAlign w:val="center"/>
          </w:tcPr>
          <w:p>
            <w:pPr>
              <w:pStyle w:val="TableContents"/>
              <w:bidi w:val="0"/>
              <w:spacing w:before="0" w:after="0"/>
              <w:ind w:left="200" w:right="0" w:hanging="0"/>
              <w:jc w:val="left"/>
              <w:rPr/>
            </w:pPr>
            <w:r>
              <w:rPr>
                <w:spacing w:val="4"/>
              </w:rPr>
              <w:t>Revolving Credit Facility</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37" w:type="dxa"/>
            <w:tcBorders/>
            <w:tcMar>
              <w:bottom w:w="0" w:type="dxa"/>
            </w:tcMar>
            <w:vAlign w:val="center"/>
          </w:tcPr>
          <w:p>
            <w:pPr>
              <w:pStyle w:val="TableContents"/>
              <w:bidi w:val="0"/>
              <w:spacing w:before="0" w:after="0"/>
              <w:ind w:left="200" w:right="0" w:hanging="0"/>
              <w:jc w:val="left"/>
              <w:rPr/>
            </w:pPr>
            <w:r>
              <w:rPr>
                <w:spacing w:val="4"/>
              </w:rPr>
              <w:t>5.875% senior notes due 2029</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37" w:type="dxa"/>
            <w:tcBorders/>
            <w:shd w:fill="CCEEFF" w:val="clear"/>
            <w:tcMar>
              <w:bottom w:w="0" w:type="dxa"/>
            </w:tcMar>
            <w:vAlign w:val="center"/>
          </w:tcPr>
          <w:p>
            <w:pPr>
              <w:pStyle w:val="TableContents"/>
              <w:bidi w:val="0"/>
              <w:spacing w:before="0" w:after="0"/>
              <w:ind w:left="200" w:right="0" w:hanging="0"/>
              <w:jc w:val="left"/>
              <w:rPr/>
            </w:pPr>
            <w:r>
              <w:rPr>
                <w:spacing w:val="4"/>
              </w:rPr>
              <w:t>6.75% senior notes due 2029</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37" w:type="dxa"/>
            <w:tcBorders/>
            <w:tcMar>
              <w:bottom w:w="0" w:type="dxa"/>
            </w:tcMar>
            <w:vAlign w:val="center"/>
          </w:tcPr>
          <w:p>
            <w:pPr>
              <w:pStyle w:val="TableContents"/>
              <w:bidi w:val="0"/>
              <w:spacing w:before="0" w:after="0"/>
              <w:ind w:left="200" w:right="0" w:hanging="0"/>
              <w:jc w:val="left"/>
              <w:rPr>
                <w:spacing w:val="4"/>
              </w:rPr>
            </w:pPr>
            <w:r>
              <w:rPr>
                <w:spacing w:val="4"/>
              </w:rPr>
              <w:t xml:space="preserve">5.375% senior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638</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3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5.375% senior notes due 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1,200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37" w:type="dxa"/>
            <w:tcBorders/>
            <w:tcMar>
              <w:bottom w:w="0" w:type="dxa"/>
            </w:tcMar>
            <w:vAlign w:val="center"/>
          </w:tcPr>
          <w:p>
            <w:pPr>
              <w:pStyle w:val="TableContents"/>
              <w:bidi w:val="0"/>
              <w:spacing w:before="0" w:after="0"/>
              <w:ind w:left="200" w:right="0" w:hanging="0"/>
              <w:jc w:val="left"/>
              <w:rPr>
                <w:spacing w:val="4"/>
              </w:rPr>
            </w:pPr>
            <w:r>
              <w:rPr>
                <w:spacing w:val="4"/>
              </w:rPr>
              <w:t xml:space="preserve">4.75% senior notes due 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1,150</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3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5.70% senior notes due 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750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37" w:type="dxa"/>
            <w:tcBorders/>
            <w:tcMar>
              <w:bottom w:w="0" w:type="dxa"/>
            </w:tcMar>
            <w:vAlign w:val="center"/>
          </w:tcPr>
          <w:p>
            <w:pPr>
              <w:pStyle w:val="TableContents"/>
              <w:bidi w:val="0"/>
              <w:spacing w:before="0" w:after="0"/>
              <w:ind w:left="200" w:right="0" w:hanging="0"/>
              <w:jc w:val="left"/>
              <w:rPr>
                <w:spacing w:val="4"/>
              </w:rPr>
            </w:pPr>
            <w:r>
              <w:rPr>
                <w:spacing w:val="4"/>
              </w:rPr>
              <w:t xml:space="preserve">Notes offered hereby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500</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3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Discounts on senior notes,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(48)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37"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Debt issuance costs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7" w:type="dxa"/>
            <w:tcBorders>
              <w:bottom w:val="single" w:sz="2" w:space="0" w:color="000000"/>
            </w:tcBorders>
            <w:tcMar>
              <w:bottom w:w="50" w:type="dxa"/>
            </w:tcMar>
            <w:vAlign w:val="center"/>
          </w:tcPr>
          <w:p>
            <w:pPr>
              <w:pStyle w:val="TableContents"/>
              <w:bidi w:val="0"/>
              <w:spacing w:before="0" w:after="283"/>
              <w:jc w:val="right"/>
              <w:rPr/>
            </w:pPr>
            <w:r>
              <w:rPr/>
              <w:t>​</w:t>
            </w:r>
          </w:p>
        </w:tc>
        <w:tc>
          <w:tcPr>
            <w:tcW w:w="807" w:type="dxa"/>
            <w:tcBorders>
              <w:bottom w:val="single" w:sz="2" w:space="0" w:color="000000"/>
            </w:tcBorders>
            <w:tcMar>
              <w:bottom w:w="50" w:type="dxa"/>
            </w:tcMar>
            <w:vAlign w:val="center"/>
          </w:tcPr>
          <w:p>
            <w:pPr>
              <w:pStyle w:val="TableContents"/>
              <w:bidi w:val="0"/>
              <w:spacing w:before="0" w:after="283"/>
              <w:jc w:val="right"/>
              <w:rPr/>
            </w:pPr>
            <w:r>
              <w:rPr/>
              <w:t>(11)</w:t>
            </w:r>
          </w:p>
        </w:tc>
        <w:tc>
          <w:tcPr>
            <w:tcW w:w="114"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3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debt,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 xml:space="preserve">4,179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37" w:type="dxa"/>
            <w:tcBorders/>
            <w:tcMar>
              <w:bottom w:w="0" w:type="dxa"/>
            </w:tcMar>
            <w:vAlign w:val="center"/>
          </w:tcPr>
          <w:p>
            <w:pPr>
              <w:pStyle w:val="TableContents"/>
              <w:bidi w:val="0"/>
              <w:spacing w:before="0" w:after="283"/>
              <w:jc w:val="left"/>
              <w:rPr/>
            </w:pPr>
            <w:r>
              <w:rPr>
                <w:spacing w:val="-4"/>
              </w:rPr>
              <w:t>Stockholders</w:t>
            </w:r>
            <w:r>
              <w:rPr>
                <w:spacing w:val="-3"/>
              </w:rPr>
              <w:t>’</w:t>
            </w:r>
            <w:r>
              <w:rPr>
                <w:spacing w:val="-4"/>
              </w:rPr>
              <w:t xml:space="preserve">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37"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Common stock, $0.01 par value, 450,000,000 shares authorized: 234,349,727 shares issued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 xml:space="preserve">2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37" w:type="dxa"/>
            <w:tcBorders/>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13,774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13,774</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37"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Retained earnings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5,634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23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07" w:type="dxa"/>
            <w:tcBorders>
              <w:bottom w:val="single" w:sz="2" w:space="0" w:color="000000"/>
            </w:tcBorders>
            <w:shd w:fill="CCEEFF" w:val="clear"/>
            <w:tcMar>
              <w:bottom w:w="50" w:type="dxa"/>
            </w:tcMar>
            <w:vAlign w:val="center"/>
          </w:tcPr>
          <w:p>
            <w:pPr>
              <w:pStyle w:val="TableContents"/>
              <w:bidi w:val="0"/>
              <w:spacing w:before="0" w:after="283"/>
              <w:jc w:val="right"/>
              <w:rPr/>
            </w:pPr>
            <w:r>
              <w:rPr/>
              <w:t>5,634</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37"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stockholders’ equity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19,410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7" w:type="dxa"/>
            <w:tcBorders>
              <w:bottom w:val="single" w:sz="2" w:space="0" w:color="000000"/>
            </w:tcBorders>
            <w:tcMar>
              <w:bottom w:w="50" w:type="dxa"/>
            </w:tcMar>
            <w:vAlign w:val="center"/>
          </w:tcPr>
          <w:p>
            <w:pPr>
              <w:pStyle w:val="TableContents"/>
              <w:bidi w:val="0"/>
              <w:spacing w:before="0" w:after="283"/>
              <w:jc w:val="right"/>
              <w:rPr/>
            </w:pPr>
            <w:r>
              <w:rPr/>
              <w:t>​</w:t>
            </w:r>
          </w:p>
        </w:tc>
        <w:tc>
          <w:tcPr>
            <w:tcW w:w="807" w:type="dxa"/>
            <w:tcBorders>
              <w:bottom w:val="single" w:sz="2" w:space="0" w:color="000000"/>
            </w:tcBorders>
            <w:tcMar>
              <w:bottom w:w="50" w:type="dxa"/>
            </w:tcMar>
            <w:vAlign w:val="center"/>
          </w:tcPr>
          <w:p>
            <w:pPr>
              <w:pStyle w:val="TableContents"/>
              <w:bidi w:val="0"/>
              <w:spacing w:before="0" w:after="283"/>
              <w:jc w:val="right"/>
              <w:rPr/>
            </w:pPr>
            <w:r>
              <w:rPr/>
              <w:t>19,410</w:t>
            </w:r>
          </w:p>
        </w:tc>
        <w:tc>
          <w:tcPr>
            <w:tcW w:w="114"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37" w:type="dxa"/>
            <w:tcBorders/>
            <w:shd w:fill="CCEEFF" w:val="clear"/>
            <w:tcMar>
              <w:bottom w:w="0" w:type="dxa"/>
            </w:tcMar>
            <w:vAlign w:val="center"/>
          </w:tcPr>
          <w:p>
            <w:pPr>
              <w:pStyle w:val="TableContents"/>
              <w:bidi w:val="0"/>
              <w:spacing w:before="0" w:after="0"/>
              <w:jc w:val="left"/>
              <w:rPr>
                <w:b/>
              </w:rPr>
            </w:pPr>
            <w:r>
              <w:rPr>
                <w:b/>
                <w:spacing w:val="-4"/>
              </w:rPr>
              <w:t>Total capitalization</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23,095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07" w:type="dxa"/>
            <w:tcBorders>
              <w:bottom w:val="double" w:sz="8" w:space="0" w:color="000000"/>
            </w:tcBorders>
            <w:shd w:fill="CCEEFF" w:val="clear"/>
            <w:tcMar>
              <w:bottom w:w="50" w:type="dxa"/>
            </w:tcMar>
            <w:vAlign w:val="center"/>
          </w:tcPr>
          <w:p>
            <w:pPr>
              <w:pStyle w:val="TableContents"/>
              <w:bidi w:val="0"/>
              <w:spacing w:before="0" w:after="283"/>
              <w:jc w:val="right"/>
              <w:rPr/>
            </w:pPr>
            <w:r>
              <w:rPr/>
              <w:t>23,589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reflect the assumption of the Twin Eagle Credit Facility, which as of June 30, 2026, had $95 million of borrowings outstanding, $282 million of undrawn letters of credit outstanding and $623 million available for borrowing. </w:t>
      </w:r>
      <w:r>
        <mc:AlternateContent>
          <mc:Choice Requires="wps">
            <w:drawing>
              <wp:anchor behindDoc="0" distT="1016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These notes were fully redeemed during the six-month period ended June 30, 2026, as described in “</w:t>
      </w:r>
      <w:r>
        <w:rPr>
          <w:rFonts w:ascii="Times New Roman;Times;serif" w:hAnsi="Times New Roman;Times;serif"/>
          <w:b w:val="false"/>
          <w:i/>
          <w:caps w:val="false"/>
          <w:smallCaps w:val="false"/>
          <w:color w:val="000000"/>
          <w:spacing w:val="4"/>
          <w:sz w:val="20"/>
        </w:rPr>
        <w:t>Summary — Recent Developments — Senior Notes Repayment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z w:val="20"/>
        </w:rPr>
        <w:t xml:space="preserve"> </w:t>
      </w:r>
      <w:r>
        <mc:AlternateContent>
          <mc:Choice Requires="wps">
            <w:drawing>
              <wp:anchor behindDoc="0" distT="508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i/>
                              </w:rPr>
                            </w:pPr>
                            <w:r>
                              <w:rPr>
                                <w:i w:val="false"/>
                                <w:caps w:val="false"/>
                                <w:smallCaps w:val="false"/>
                                <w:spacing w:val="4"/>
                              </w:rPr>
                              <w:t>(2)</w:t>
                            </w:r>
                            <w:r>
                              <w:rPr>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i/>
                        </w:rPr>
                      </w:pPr>
                      <w:r>
                        <w:rPr>
                          <w:i w:val="false"/>
                          <w:caps w:val="false"/>
                          <w:smallCaps w:val="false"/>
                          <w:spacing w:val="4"/>
                        </w:rPr>
                        <w:t>(2)</w:t>
                      </w:r>
                      <w:r>
                        <w:rPr>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DOTN"/>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The Company will issue the notes (as defined below) under a supplemental indenture (the “Supplemental Indenture”)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to be dated as of the Issue Date, among itself and Regions Bank, as trustee (the “Trustee”), supplementing that certain Indenture, dated as of December 2, 2024 (the “Base Indenture” and, together with the Supplemental Indenture, the “Indenture”), between the Company and the Trustee. The terms of the notes include those expressly set forth in the Indenture and those made part of the Indenture by reference to the Trust Indenture Act of 1939, as amended (the “Trust Indenture Act”). The notes will be a new series of our debt securities described in the Base Prospectus. The notes issued in this offering will be limited to $500,000,000 in aggregate principal amount of senior notes due 2031 (the “notes”), although we may issue an unlimited principal amount of additional notes of any series having identical terms and conditions as the notes of such series, other than issue date, issue price, the first interest payment date and the date from which interest shall accrue (“Additional Notes”). Any Additional Notes will be part of the same series as the notes that we are currently offering and will vote on all matters with the holders of such notes. We may from time to time issue other series of debt securities under the Base Indenture, in unlimited principal amount.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Description of the Notes is intended to be a useful overview of the material provisions of the notes and the Indenture. This Description of the Notes is only a summary. You should also refer to the section entitled “Description of Debt Securities” in the Base Prospectus for a summary description of other material terms of the notes and the Base Indenture. To the extent that any terms of the notes set forth in this Description of the Notes are different than the terms described in the Base Prospectus, the terms in this Description of the Notes will govern. For more information, we refer you to the notes, the Supplemental Indenture and the Base Indenture filed, or incorporated by reference, as exhibits to the registration statement, which includes this prospectus supplement, or available by request.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will find the definitions of certain capitalized terms used in this Description of the Notes under the heading “— Certain Definitions.” For purposes of this Description of the Notes, references to “the Company,” “we,” “our” and “us” refer only to Expand Energy Corporation and not to its subsidiaries. Certain defined terms used in this Description of the Notes but not defined herein have the meanings assigned to them in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Maturity and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an initial maximum aggregate principal amount of $500,000,000, will bear interest at a rate of 5.650% per year and will mature on September 15, 2031.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notes will accrue from September 17, 2026, and will be payable in cash semi-annually on March 15 and September 15 of each year, beginning March 15, 2027. The notes will be issued in minimum denominations of $2,000 and integral multiples of $1,000 in excess of $2,000. We will make each interest payment on the notes to the holders of record on the March 1 or September 1 immediately preceding the related interest payment date (whether or not a business day). Interest will be computed on the basis of a 360-day year comprising twelve 30-day months.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Payments on the Notes; Paying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will pay principal of, premium, if any, and interest on the notes at the office or agency designated by the Company, which is initially the corporate trust office of the trustee in Birmingham, Alabama. We will pay principal of, premium, if any, and interest on the notes in global form registered in the name of or held by The Depository Trust Company or its nominee in immediately available funds to The Depository Trust Company or its nominee, as the case may be, as the registered holder of such Global Note (as defined herein). The Company shall make all payments in respect of a Certificated Note (as defined herein) by mailing a check to the registered address of each holder thereof as such address shall appear in the Registrar’s books;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payments on the notes represented by Certificated Notes may also be made by wire transfer to a U.S. dollar account maintained by the payee with a bank in the United States if such holder elects payment by wire transfer by giving written notice to the Trustee or the Paying Agent in accordance with the terms of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initially designated the Trustee to act as our Paying Agent and Registrar with respect to any Global Notes. We may, however, appoint and change the Paying Agent or Registrar without prior notice to the holders of the notes, and the Company or any of its Subsidiaries may act as Paying Agent or Registrar.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scheduled date for a payment on the notes is not a business day, then the payment will be paid on the next succeeding business day without additional interest in respect of such delay.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and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may transfer or exchange the notes in accordance with the Indenture. The Registrar and the Trustee may require a holder, among other things, to furnish appropriate endorsements and transfer documents. No service charge will be imposed by the Company, the Trustee or the Registrar for any registration of transfer or exchange of notes, but the Company may require a holder to pay a sum sufficient to cover any transfer tax or other governmental taxes and fees required by law or permitted by the Indenture. The Company is not required to transfer or exchange any note selected for redemption or any note for a period of 15 days before a selection of the notes to be redeemed.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holder of a note will be treated as the owner of it for all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Par Call Date, the Company may redeem the notes at its option, in whole or in part, at any time and from time to time, at a redemption price (expressed as a percentage of principal amount and rounded to three decimal places) equal to the greater 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 the sum of the present values of the remaining scheduled payments of principal and interest on the notes of such series to be redeemed discounted to the redemption date (assuming the notes of such series matured on such Par Call Date) on a semi-annual basis (assuming a 360-day year consisting of twelve 30-day months) at the Treasury Rate plus 15 basis points less (b) interest accrued to the date of redemption;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100% of the principal amount of the notes to be redeemed,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thereon to but not including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actions and determinations in determining the redemption price shall be conclusive and binding for all purposes, absent manifest error.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Description of the Notes, “Par Call Date” shall mean August 15, 2031.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the Depositary’s applicable procedures) at least 10 days but not more than 60 days before the redemption date to each holder of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herein to the contrary, notices may be sent more than 60 days prior to a redemption date if the notice is issued in connection with a covenant defeasance or legal defeasance with respect to the notes or a satisfaction and discharge of the Indenture with respect to the notes or in accordance with the following paragraph.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may, at the Company’s discretion, be subject to one or more conditions precedent. If any such condition precedent has not been satisfied or waived, the Company shall provide written notice to the Trustee prior to the close of business one business day prior to the Redemption Date (or such shorter period as may be acceptable to the Trustee). Upon receipt of such notice, notwithstanding anything herein to the contrary, the notice of redemption shall be rescinded or delayed, and the redemption of the notes shall be rescinded or delayed as provided in such notice. Upon receipt, the Trustee shall provide such notice to each holder in the same manner in which the notice of redemption was given. A notice of redemption need not set forth the exact redemption price but only the manner of calculation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selection of the notes of a series for redemption will be made pro rata, by lot or by such other method as the Trustee in its sole discretion deems appropriate and fair, subject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last sentence of this paragraph. No notes of a principal amount of $2,000 or less will be redeemed in part. If the notes are to be redeemed in part only, the notice of redemption that relates to the notes will state the portion of the principal amount of the notes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such Depositary.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Company defaults in payment of the redemption price or any conditions precedent described in the notice of redemption are not satisfied or waived and the notice of redemption is rescinded in accordance with the seventh paragraph under the heading “Optional Redemption,” on and after the redemption date interest will cease to accrue on the notes or portions thereof called for redemption.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Treasury Rate</w:t>
      </w:r>
      <w:r>
        <w:rPr>
          <w:rFonts w:ascii="Times New Roman;Times;serif" w:hAnsi="Times New Roman;Times;serif"/>
          <w:b w:val="false"/>
          <w:i w:val="false"/>
          <w:caps w:val="false"/>
          <w:smallCaps w:val="false"/>
          <w:color w:val="000000"/>
          <w:spacing w:val="4"/>
          <w:sz w:val="20"/>
        </w:rPr>
        <w:t xml:space="preserve">” means, with respect to any redemption date for the notes, the yield will be determined by the Company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date of the notice of redemption relating to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date of the notice of redemption relating to such redemption date H.15 TCM is no longer published, the Company shall calculate the Treasury Rate based on the rate per annum equal to the semi-annual equivalent yield to maturity at 11:00 a.m., New York City time, on the second business day preceding the date of such notice of redemption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required to make mandatory redemption payments or sinking fund payments with respect to the notes. Accordingly, Article XI of the Base Indenture shall not apply to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its subsidiaries and affiliates may acquire the notes by means other than a redemption, whether by tender offer, open market purchases, negotiated transactions or otherwise, in accordance with applicable securities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senior unsecured obligations and will (i) rank equally in right of payment with all of the Company’s existing and future senior indebtedness (including the obligations under the Existing Credit Facility and the Existing Notes), (ii) rank senior in right of payment to any of the Company’s future indebtedness that is expressly subordinated in right of payment to the notes, (iii) be effectively subordinated to any of our existing and future secured indebtedness, if any, to the extent of the value of the collateral securing such indebtedness and (iv) be structurally subordinated to all of the existing and future indebtedness and other liabilities (including trade payables) of each of our Subsidiaries, including the Twin Eagle Credit Facility. In the event of bankruptcy, liquidation, reorganization or other winding up of the Company upon a default in payment with respect to, or the acceleration of, any senior secured indebtedness, the assets of the Company that secure such senior secured indebtedness will be available to pay obligations on the notes only after all obligations under such senior secured indebtedness have been repaid in full from such assets. We advise you that there may not be sufficient assets remaining to pay amounts due on any or all the notes then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no secured indebtedness for borrowed money and we had approximately $3,738 million in principal amount of unsecured indebtedness for borrowed money, including zero outstanding under our revolving credit facility and $3,738 million principal amount of senior notes, none of which was guaranteed by our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Subsidiaries are party to the Twin Eagle Credit Facility, which we intend to assume upon closing of the Twin Eagle Acquisition and subsequently terminate once borrowings and outstanding letters of credit under such facility are canceled. In May 2025, the Twin Eagle Credit Facility was renewed with a maximum capacity of $1.40 billion, an incremental accordion capacity of $0.6 billion and a maturity in May 2027. At June 30, 2026, Twin Eagle and each of the TERM Subsidiaries was in compliance with its borrowing base and all covenants, which include requirements related to working capital, tangible net worth, and leverage ratios.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Twin Eagle Credit Facility may be utilized for borrowings or for the issuance of letters of credit. Borrowings under the Twin Eagle Credit Facility bear interest at a rate based on either secured overnight financing rate, a base rate or a quoted cost-of-funds rate, in each case plus an applicable margin. Additionally, Twin Eagle is required to pay a quarterly commitment fee on the unused committed portion of the Twin Eagle Credit Facility (up to $0.7 billion), an annual facility fee, and fees related to letters of credit. Substantially, all of TERM’s assets are pledged as security for the Twin Eagle Credit Facility. As of June 30, 2026, the Twin Eagle Credit Facility had $95 million of borrowings outstanding, $282 million of undrawn letters of credit outstanding and $623 million available for borrowing. The Company anticipates borrowing needs under the Twin Eagle Credit Facility will be minimal upon closing of the Twin Eagle Acquisition and that the majority of letters of credit will be replaced by a parent guarantee from the Company, given the Company’s investment grade rating.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Liens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not, and will not permit any of its Restricted Subsidiaries to, create, Incur or assume, any Lien securing Funded Debt (other than Permitted Liens) upon any Principal Property, whether owned on the Issue Date or acquired after that date, unless the Indebtedness due under the Indenture (as it relates to the notes), the notes are secured equally and ratably with (or senior in priority to in the case of Liens with respect to Funded Debt that is expressly subordinated to the notes) the Funded Debt secured by such Lien for so long as such Funded Debt is so secured.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paragraph, we may, and may permit any Restricted Subsidiary of ours to, create, Incur or assume, any Lien securing Funded Debt upon any Principal Property without securing the Indebtedness due under the Indenture, and the notes if the aggregate principal amount of such Funded Debt secured by such Lien upon such Principal Property, together with the aggregate outstanding principal amount of all other Funded Debt of ours and of any Restricted Subsidiary of ours secured by any Liens (other than Permitted Liens) upon Principal Property, does not at the time such Funded Debt is created,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Incurred or assumed (or, if later, at the time such Lien is created, Incurred or assumed) exceed the greater of (i) 15% of Consolidated Net Tangible Assets at such time and (ii) $3.0 billion.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furnish or file with the Trustee, (i) within 15 days after it files the same with the SEC, copies of the annual reports and the information, documents and other reports (or copies of such portions of any of the foregoing as the SEC may by rules and regulations prescribe) that the Company is required to file with the SEC pursuant to Section 13 or 15(d) of the Exchange Act and (ii) other information, documents, or reports as may be required pursuant to the Trust Indenture Act at the times and in the manner provided in the Trust Indenture Act. For purposes of this covenant, the Company will be deemed to have furnished such reports and information to, or filed such reports and information with, the Trustee (and, if applicable, any other Persons) as required by this covenant if it has filed such reports or information with the SEC via the EDGAR filing system (or any successor filing system) or otherwise made such reports or information publicly available on a freely accessible page on the Company’s website. The Trustee shall have no obligation whatsoever to determine whether or not such reports and information have been filed or have been posted on such website.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also shall furnish to the Trustee, within 120 days after the end of each fiscal year of the Company, a brief certificate from the principal executive officer, principal financial officer or principal accounting officer as to his or her knowledge of the Company’s compliance with all covenants under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Delivery of any reports, information and documents under this caption “— </w:t>
      </w:r>
      <w:r>
        <w:rPr>
          <w:rFonts w:ascii="Times New Roman;Times;serif" w:hAnsi="Times New Roman;Times;serif"/>
          <w:b w:val="false"/>
          <w:i/>
          <w:caps w:val="false"/>
          <w:smallCaps w:val="false"/>
          <w:color w:val="000000"/>
          <w:spacing w:val="4"/>
          <w:sz w:val="20"/>
        </w:rPr>
        <w:t>Reports</w:t>
      </w:r>
      <w:r>
        <w:rPr>
          <w:rFonts w:ascii="Times New Roman;Times;serif" w:hAnsi="Times New Roman;Times;serif"/>
          <w:b w:val="false"/>
          <w:i w:val="false"/>
          <w:caps w:val="false"/>
          <w:smallCaps w:val="false"/>
          <w:color w:val="000000"/>
          <w:spacing w:val="4"/>
          <w:sz w:val="20"/>
        </w:rPr>
        <w:t>” to the Trustee is for informational purposes only and the Trustee’s receipt of such shall not constitute notice, constructive or otherwise, of any information contained therein or determinable from information contained therein, including the compliance by the Company with any of the Company’s covenants (as to which the Trustee is entitled to rely exclusively on certificates described in the second paragraph under this caption “— </w:t>
      </w:r>
      <w:r>
        <w:rPr>
          <w:rFonts w:ascii="Times New Roman;Times;serif" w:hAnsi="Times New Roman;Times;serif"/>
          <w:b w:val="false"/>
          <w:i/>
          <w:caps w:val="false"/>
          <w:smallCaps w:val="false"/>
          <w:color w:val="000000"/>
          <w:spacing w:val="4"/>
          <w:sz w:val="20"/>
        </w:rPr>
        <w:t>Reports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Unrestricted Subsidiaries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Company may after the Issue Date designate any Subsidiary as an “Unrestricted Subsidiary” if: (1) no Default or Event of Default shall have occurred and be continuing at the time of or after giving effect to such designation; and (2) such Subsidiary has no Indebtedness other than Non-Recourse Debt.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Company may at any time, subject to the following sentence, designate any Unrestricted Subsidiary to be a Restricted Subsidiary of the Company. Any such designation will be deemed to be an incurrence of Funded Debt and Liens by a Restricted Subsidiary of the Company of any outstanding Funded Debt and Liens, respectively, of such Unrestricted Subsidiary, and such designation will only be permitted if no Default or Event of Default would be in existence following such designation.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is an Event of Default with respect to the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default in any payment of interest on any note of such series when due and payable, continued for 30 days;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default in the payment of principal of or premium, if any, on any note of such series when due and payable, whether at its Stated Maturity or upon redemption, acceleration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(3)(a)    failure by the Company to comply, for 180 days after notice as provided below, with the covenant described under “— Certain Covenants — Reports;” or </w:t>
      </w:r>
    </w:p>
    <w:p>
      <w:pPr>
        <w:pStyle w:val="TextBody"/>
        <w:bidi w:val="0"/>
        <w:spacing w:lineRule="atLeast" w:line="240" w:before="160" w:after="283"/>
        <w:ind w:left="19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failure by the Company to comply, for 90 days after notice as provided below, with its agreements (other than the agreements that are the subject of </w:t>
      </w:r>
      <w:r>
        <w:rPr>
          <w:rFonts w:ascii="Times New Roman;Times;serif" w:hAnsi="Times New Roman;Times;serif"/>
          <w:b w:val="false"/>
          <w:i w:val="false"/>
          <w:caps w:val="false"/>
          <w:smallCaps w:val="false"/>
          <w:color w:val="000000"/>
          <w:spacing w:val="4"/>
          <w:sz w:val="20"/>
          <w:u w:val="single"/>
        </w:rPr>
        <w:t>clauses (1)</w:t>
      </w:r>
      <w:r>
        <w:rPr>
          <w:rFonts w:ascii="Times New Roman;Times;serif" w:hAnsi="Times New Roman;Times;serif"/>
          <w:b w:val="false"/>
          <w:i w:val="false"/>
          <w:caps w:val="false"/>
          <w:smallCaps w:val="false"/>
          <w:color w:val="000000"/>
          <w:spacing w:val="4"/>
          <w:sz w:val="20"/>
        </w:rPr>
        <w:t> – </w:t>
      </w:r>
      <w:r>
        <w:rPr>
          <w:rFonts w:ascii="Times New Roman;Times;serif" w:hAnsi="Times New Roman;Times;serif"/>
          <w:b w:val="false"/>
          <w:i w:val="false"/>
          <w:caps w:val="false"/>
          <w:smallCaps w:val="false"/>
          <w:color w:val="000000"/>
          <w:spacing w:val="4"/>
          <w:sz w:val="20"/>
          <w:u w:val="single"/>
        </w:rPr>
        <w:t>(2)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(3)(a)</w:t>
      </w:r>
      <w:r>
        <w:rPr>
          <w:rFonts w:ascii="Times New Roman;Times;serif" w:hAnsi="Times New Roman;Times;serif"/>
          <w:b w:val="false"/>
          <w:i w:val="false"/>
          <w:caps w:val="false"/>
          <w:smallCaps w:val="false"/>
          <w:color w:val="000000"/>
          <w:spacing w:val="4"/>
          <w:sz w:val="20"/>
        </w:rPr>
        <w:t xml:space="preserve"> above) contained in the Indenture (as it relates to the notes of such series) or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default under any mortgage, indenture or similar instrument under which there is issued or by which there is secured or evidenced any Indebtedness for money borrowed by the Company (or the payment of which is guaranteed by the Company), other than Indebtedness owed to a Subsidiary, whether such Indebtedness or guarantee now exists or is created after the Issue Date, which default: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is caused by a failure to pay principal of, or interest or premium, if any, on such Indebtedness prior to the expiration of the grace period provided in such Indebtedness (“payment default”); or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results in the acceleration of such Indebtedness prior to its maturity; and, in each case, the principal amount of any such Indebtedness, together with the principal amount of any other such Indebtedness under which there is an outstanding uncured payment default or the maturity of which has been and remains so accelerated, as applicable, aggregates to $250.0 million or more; or </w:t>
      </w:r>
    </w:p>
    <w:p>
      <w:pPr>
        <w:pStyle w:val="TextBody"/>
        <w:bidi w:val="0"/>
        <w:spacing w:lineRule="atLeast" w:line="22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certain events of bankruptcy, insolvency or reorganization of the Company (the “bankruptcy provisions”).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However, a Default under </w:t>
      </w:r>
      <w:r>
        <w:rPr>
          <w:rFonts w:ascii="Times New Roman;Times;serif" w:hAnsi="Times New Roman;Times;serif"/>
          <w:b w:val="false"/>
          <w:i w:val="false"/>
          <w:caps w:val="false"/>
          <w:smallCaps w:val="false"/>
          <w:color w:val="000000"/>
          <w:spacing w:val="4"/>
          <w:sz w:val="20"/>
          <w:u w:val="single"/>
        </w:rPr>
        <w:t>clause (3)</w:t>
      </w:r>
      <w:r>
        <w:rPr>
          <w:rFonts w:ascii="Times New Roman;Times;serif" w:hAnsi="Times New Roman;Times;serif"/>
          <w:b w:val="false"/>
          <w:i w:val="false"/>
          <w:caps w:val="false"/>
          <w:smallCaps w:val="false"/>
          <w:color w:val="000000"/>
          <w:spacing w:val="4"/>
          <w:sz w:val="20"/>
        </w:rPr>
        <w:t xml:space="preserve"> above will not constitute an Event of Default until the Trustee or the holders of at least 25% in principal amount of the then outstanding notes notify the Company in writing of the Default and the Company does not cure such Default within the applicable time specified in </w:t>
      </w:r>
      <w:r>
        <w:rPr>
          <w:rFonts w:ascii="Times New Roman;Times;serif" w:hAnsi="Times New Roman;Times;serif"/>
          <w:b w:val="false"/>
          <w:i w:val="false"/>
          <w:caps w:val="false"/>
          <w:smallCaps w:val="false"/>
          <w:color w:val="000000"/>
          <w:spacing w:val="4"/>
          <w:sz w:val="20"/>
          <w:u w:val="single"/>
        </w:rPr>
        <w:t>clause (3)</w:t>
      </w:r>
      <w:r>
        <w:rPr>
          <w:rFonts w:ascii="Times New Roman;Times;serif" w:hAnsi="Times New Roman;Times;serif"/>
          <w:b w:val="false"/>
          <w:i w:val="false"/>
          <w:caps w:val="false"/>
          <w:smallCaps w:val="false"/>
          <w:color w:val="000000"/>
          <w:spacing w:val="4"/>
          <w:sz w:val="20"/>
        </w:rPr>
        <w:t xml:space="preserve"> above after receipt of such notice. Such notice must specify the Default, demand that it be remedied, and state that such notice is a “Notice of Default.”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described in </w:t>
      </w:r>
      <w:r>
        <w:rPr>
          <w:rFonts w:ascii="Times New Roman;Times;serif" w:hAnsi="Times New Roman;Times;serif"/>
          <w:b w:val="false"/>
          <w:i w:val="false"/>
          <w:caps w:val="false"/>
          <w:smallCaps w:val="false"/>
          <w:color w:val="000000"/>
          <w:spacing w:val="4"/>
          <w:sz w:val="20"/>
          <w:u w:val="single"/>
        </w:rPr>
        <w:t>clause (5)</w:t>
      </w:r>
      <w:r>
        <w:rPr>
          <w:rFonts w:ascii="Times New Roman;Times;serif" w:hAnsi="Times New Roman;Times;serif"/>
          <w:b w:val="false"/>
          <w:i w:val="false"/>
          <w:caps w:val="false"/>
          <w:smallCaps w:val="false"/>
          <w:color w:val="000000"/>
          <w:spacing w:val="4"/>
          <w:sz w:val="20"/>
        </w:rPr>
        <w:t xml:space="preserve"> above) occurs and is continuing, the Trustee by written notice to the Company, or holders of at least 25% in principal amount of the then outstanding notes by written notice to the Company and the Trustee, may, and the Trustee at the request of holders of at least 25% in principal amount of the then outstanding notes shall, declare the principal, premium, if any, and accrued and unpaid interest, if any, on all the notes to be due and payable. Such notice must specify the Event of Default and state that such notice is a “Notice of Acceleration.” Upon such a declaration, such principal, premium, if any, and accrued and unpaid interest in respect of the notes will be due and payable immediately.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event of a declaration of acceleration of the notes because an Event of Default described in </w:t>
      </w:r>
      <w:r>
        <w:rPr>
          <w:rFonts w:ascii="Times New Roman;Times;serif" w:hAnsi="Times New Roman;Times;serif"/>
          <w:b w:val="false"/>
          <w:i w:val="false"/>
          <w:caps w:val="false"/>
          <w:smallCaps w:val="false"/>
          <w:color w:val="000000"/>
          <w:spacing w:val="4"/>
          <w:sz w:val="20"/>
          <w:u w:val="single"/>
        </w:rPr>
        <w:t>clause (4)</w:t>
      </w:r>
      <w:r>
        <w:rPr>
          <w:rFonts w:ascii="Times New Roman;Times;serif" w:hAnsi="Times New Roman;Times;serif"/>
          <w:b w:val="false"/>
          <w:i w:val="false"/>
          <w:caps w:val="false"/>
          <w:smallCaps w:val="false"/>
          <w:color w:val="000000"/>
          <w:spacing w:val="4"/>
          <w:sz w:val="20"/>
        </w:rPr>
        <w:t xml:space="preserve"> above has occurred and is continuing, the declaration of acceleration of the notes shall be automatically annulled if (x) such Indebtedness or guarantee is discharged in full (other than customary surviving contingent obligations) or (y) the Default triggering such Event of Default pursuant to </w:t>
      </w:r>
      <w:r>
        <w:rPr>
          <w:rFonts w:ascii="Times New Roman;Times;serif" w:hAnsi="Times New Roman;Times;serif"/>
          <w:b w:val="false"/>
          <w:i w:val="false"/>
          <w:caps w:val="false"/>
          <w:smallCaps w:val="false"/>
          <w:color w:val="000000"/>
          <w:spacing w:val="4"/>
          <w:sz w:val="20"/>
          <w:u w:val="single"/>
        </w:rPr>
        <w:t>clause (4)</w:t>
      </w:r>
      <w:r>
        <w:rPr>
          <w:rFonts w:ascii="Times New Roman;Times;serif" w:hAnsi="Times New Roman;Times;serif"/>
          <w:b w:val="false"/>
          <w:i w:val="false"/>
          <w:caps w:val="false"/>
          <w:smallCaps w:val="false"/>
          <w:color w:val="000000"/>
          <w:spacing w:val="4"/>
          <w:sz w:val="20"/>
        </w:rPr>
        <w:t xml:space="preserve"> shall be remedied or cured by the Company or waived by the holders of the relevant Indebtedness, in each case within 60 days after the written notice of declaration of acceleration of the notes with respect thereto is received by the Company and if the annulment of the acceleration of the notes would not conflict with any judgment or decree of a court of competent jurisdiction.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an Event of Default described in </w:t>
      </w:r>
      <w:r>
        <w:rPr>
          <w:rFonts w:ascii="Times New Roman;Times;serif" w:hAnsi="Times New Roman;Times;serif"/>
          <w:b w:val="false"/>
          <w:i w:val="false"/>
          <w:caps w:val="false"/>
          <w:smallCaps w:val="false"/>
          <w:color w:val="000000"/>
          <w:spacing w:val="4"/>
          <w:sz w:val="20"/>
          <w:u w:val="single"/>
        </w:rPr>
        <w:t>clause (5)</w:t>
      </w:r>
      <w:r>
        <w:rPr>
          <w:rFonts w:ascii="Times New Roman;Times;serif" w:hAnsi="Times New Roman;Times;serif"/>
          <w:b w:val="false"/>
          <w:i w:val="false"/>
          <w:caps w:val="false"/>
          <w:smallCaps w:val="false"/>
          <w:color w:val="000000"/>
          <w:spacing w:val="4"/>
          <w:sz w:val="20"/>
        </w:rPr>
        <w:t xml:space="preserve"> above occurs, the principal, premium, if any, and accrued and unpaid interest on all the notes will become and be immediately due and payable without any declaration or other act on the part of the Trustee or any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a declaration of acceleration, but before a judgment or decree for the payment of the money due has been obtained by the Trustee, holders of a majority in principal amount of the outstanding notes may by notice to the Trustee and the Company (including, without limitation, waivers and consents obtained in connection with a purchase of, or tender offer or exchange offer for, notes) waive all current defaults (except with respect to nonpayment of principal, premium, if any, or interest) and rescind any such acceleration with respect to the notes and its consequences if rescission would not conflict with any judgment or decree of a court of competent jurisdiction.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provisions relating to the rights and remedies of holders of notes and the rights, remedies and obligations of the Trustee are described in the Description of Debt Securities set forth in the Base Prospectus under the caption “— Events of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and Waivers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with respect to the notes and except as provided in the next two succeeding paragraphs, the Company and the Trustee may amend or supplement the Supplemental Indenture and the Base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as it relates to the notes) and the notes with the consent of the holders of a majority in principal amount of the notes then outstanding (including, without limitation, consents obtained in connection with a purchase of, or tender offer or exchange offer for, notes) and any past default or compliance with any provisions of the Supplemental Indenture and the Base Indenture and the notes may be waived with the consent of the holders of a majority in principal amount of the notes then outstanding (including, without limitation, consents obtained in connection with a purchase of, or tender offer or exchange offer for,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without the consent of each holder of an outstanding note, no amendment, supplement or waiver may (with respect to any notes held by a non-consenting holder):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reduce the principal amount of notes whose holders must consent to an amendment, supplement or waiver;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reduce the stated rate of interest or extend the stated time for payment of interest on any note;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reduce the principal of or extend the Stated Maturity of any note;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waive a Default or Event of Default in the payment of principal of, premium, if any, or interest on the notes (except a rescission of acceleration of the notes by holders of a majority in aggregate principal amount of the then outstanding notes with respect to a nonpayment default and a waiver of the payment default that resulted from such acceleration);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(5)   reduce the premium payable upon the redemption of any note or change the time at which any note of such series may be redeemed as described above under “— </w:t>
      </w:r>
      <w:r>
        <w:rPr>
          <w:rFonts w:ascii="Times New Roman;Times;serif" w:hAnsi="Times New Roman;Times;serif"/>
          <w:b w:val="false"/>
          <w:i/>
          <w:caps w:val="false"/>
          <w:smallCaps w:val="false"/>
          <w:color w:val="000000"/>
          <w:spacing w:val="4"/>
          <w:sz w:val="20"/>
        </w:rPr>
        <w:t>Optional Redemption</w:t>
      </w:r>
      <w:r>
        <w:rPr>
          <w:rFonts w:ascii="Times New Roman;Times;serif" w:hAnsi="Times New Roman;Times;serif"/>
          <w:b w:val="false"/>
          <w:i w:val="false"/>
          <w:caps w:val="false"/>
          <w:smallCaps w:val="false"/>
          <w:color w:val="000000"/>
          <w:spacing w:val="4"/>
          <w:sz w:val="20"/>
        </w:rPr>
        <w:t xml:space="preserve">” whether through an amendment or waiver of provisions in the Indenture, related definitions or otherwise;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make any note payable in money other than that stated in the note;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impair the right of any holder to receive payment of principal, premium, if any, and interest on such holder’s notes on or after the due dates therefor or to institute suit for the enforcement of any payment on or with respect to such holder’s notes; or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make any change in the amendment or waiver provisions that require each holder’s consent.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without the consent of any holder of notes, the Company and the Trustee may amend or supplement the Supplemental Indenture and the Base Indenture and the notes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cure any ambiguity, omission, defect or inconsistency;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provide for the assumption by a successor entity of the obligations of the Company under the Supplemental Indenture and the Base Indenture or the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provide for or facilitate the issuance of uncertificated notes of such series in addition to or in place of certificated notes (provided that the uncertificated notes are issued in registered form for purposes of Section 163(f)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add Guarantees with respect to the notes of such series, evidence the release of a Guarantor from its Guarantee or provide for the assumption by a successor entity of the obligations of a Guarantor in accordance with the applicable provisions of the Indenture;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secure the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add covenants of the Company or other obligor under the Indenture or the notes, as the case may be or Events of Default for the benefit of the holders of the notes or to make other changes that would provide additional rights to the holders of the notes or to surrender any right or power conferred upon the Company or other such obligor;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make any change that does not adversely affect the legal or contractual rights of any holder under the Indenture (as it relates to the notes of such series) or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evidence and provide for the acceptance of an appointment under the Indenture of a successor trustee; provided that the successor trustee is otherwise qualified and eligible to act as such under the terms of the Indenture; </w:t>
      </w:r>
    </w:p>
    <w:p>
      <w:pPr>
        <w:pStyle w:val="TextBody"/>
        <w:bidi w:val="0"/>
        <w:spacing w:lineRule="atLeast" w:line="22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provide for the issuance of Additional Notes of such series permitted to be issued under the Indenture (as it relates to the notes of such series);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comply with the rules of any applicable securities depositary; or </w:t>
      </w:r>
    </w:p>
    <w:p>
      <w:pPr>
        <w:pStyle w:val="TextBody"/>
        <w:bidi w:val="0"/>
        <w:spacing w:lineRule="atLeast" w:line="22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conform the text of the Supplemental Indenture or the Base Indenture, the notes to any provision of this “Description of the Notes” or the “Description of Debt Securities” set forth in the Base Prospectus to the extent that such provision in this “Description of the Notes” or such “Description of Debt Securities” was intended to be a complete description or summary of a provision of the Indenture or the notes.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consent of the holders is not necessary under the Indenture to approve the particular form of any proposed amendment, supplement or waiver. It is sufficient if such consent approves the substance of the proposed amendment, supplement or waiver. A consent to any amendment, supplement or waiver under the Indenture by any holder of notes given in connection with a tender of such holder’s notes will not be rendered invalid by such tender. After an amendment, supplement or waiver under the Indenture becomes effective, the Company is required to send to the applicable holders a notice briefly describing such amendment, supplement or waiver. However, the failure to give such notice to all the holders of the notes, or any defect in the notice, will not impair or affect the validity of any amendment, supplement or waiver.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legal defeasance and covenant defeasance provisions described under “Description of Debt Securities — Defeasance of Debt Securities and Certain Covenants in Certain Circumstances” in the Base Prospectus shall be applicable to the notes and any Guarantee thereof. In the case of a covenant defeasance, the Company may terminate its obligations to comply with the covenant described under “— Certain Covenants — Limitation on Liens” above in this Description of the Notes and certain covenants described under “— Certain Covenants” in the Description of Debt Securities in the Base Prospectus, other than the covenant described under </w:t>
      </w:r>
      <w:r>
        <w:rPr>
          <w:rFonts w:ascii="Times New Roman;Times;serif" w:hAnsi="Times New Roman;Times;serif"/>
          <w:b w:val="false"/>
          <w:i w:val="false"/>
          <w:caps w:val="false"/>
          <w:smallCaps w:val="false"/>
          <w:color w:val="000000"/>
          <w:spacing w:val="4"/>
          <w:sz w:val="20"/>
          <w:u w:val="single"/>
        </w:rPr>
        <w:t>clause (2)</w:t>
      </w:r>
      <w:r>
        <w:rPr>
          <w:rFonts w:ascii="Times New Roman;Times;serif" w:hAnsi="Times New Roman;Times;serif"/>
          <w:b w:val="false"/>
          <w:i w:val="false"/>
          <w:caps w:val="false"/>
          <w:smallCaps w:val="false"/>
          <w:color w:val="000000"/>
          <w:spacing w:val="4"/>
          <w:sz w:val="20"/>
        </w:rPr>
        <w:t xml:space="preserve"> under “— Consolidation, Merger and Sale of Assets.”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exercises its legal defeasance or its covenant defeasance option in respect of the notes, all Guarantees in respect of the notes (if any are in effect at such time) will terminate.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satisfaction and discharge provisions described under “Description of Debt Securities — Satisfaction and Discharge” in the Base Prospectus shall be applicable to the notes and any Guarantee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Regions Bank is the Trustee under the Indenture and has been appointed by the Company as Registrar and Paying Agent with regard to the notes.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has not provided or approved of any information in this prospectus supplement in respect of the terms and provisions of the Indenture or the notes, takes no responsibility for any information contained in this prospectus supplement in respect of such terms, the Indenture, or the notes, and makes no representation as to the contents of this prospectus supplement in respect of such terms, the Indenture, or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it, the notes and any Guarantees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Base Prospectus</w:t>
      </w:r>
      <w:r>
        <w:rPr>
          <w:rFonts w:ascii="Times New Roman;Times;serif" w:hAnsi="Times New Roman;Times;serif"/>
          <w:b w:val="false"/>
          <w:i w:val="false"/>
          <w:caps w:val="false"/>
          <w:smallCaps w:val="false"/>
          <w:color w:val="000000"/>
          <w:spacing w:val="4"/>
          <w:sz w:val="20"/>
        </w:rPr>
        <w:t xml:space="preserve">” means the prospectus that describes the Base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of any Person means any and all shares, interests, rights to purchase, warrants, options, participations or other equivalents of or interests in (however designated) equity of such Person, including, without limitation, any preferred stock and limited liability company or partnership interests (whether general or limited) of such Person, but excluding any debt securities convertible or exchangeable into such equity.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Certificated Note”</w:t>
      </w:r>
      <w:r>
        <w:rPr>
          <w:rFonts w:ascii="Times New Roman;Times;serif" w:hAnsi="Times New Roman;Times;serif"/>
          <w:b w:val="false"/>
          <w:i w:val="false"/>
          <w:caps w:val="false"/>
          <w:smallCaps w:val="false"/>
          <w:color w:val="000000"/>
          <w:spacing w:val="4"/>
          <w:sz w:val="20"/>
        </w:rPr>
        <w:t xml:space="preserve"> means a note that is in registered definitive form.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Net Tangible Assets</w:t>
      </w:r>
      <w:r>
        <w:rPr>
          <w:rFonts w:ascii="Times New Roman;Times;serif" w:hAnsi="Times New Roman;Times;serif"/>
          <w:b w:val="false"/>
          <w:i w:val="false"/>
          <w:caps w:val="false"/>
          <w:smallCaps w:val="false"/>
          <w:color w:val="000000"/>
          <w:spacing w:val="4"/>
          <w:sz w:val="20"/>
        </w:rPr>
        <w:t xml:space="preserve">” means at any date of determination, the total amount of assets of the Company and its Restricted Subsidiaries (less applicable depreciation and valuation reserves and other reserves and items deductible from the gross book value of specific asset accounts under GAAP) after deducting therefrom: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all current liabilities (excluding (A) any current liabilities that by their terms are extendable or renewable at the option of the obligor thereon to a time more than 12 months after the time as of which the amount thereof is being computed, and (B) current maturities of Funded Debt);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value of all goodwill, trade names, trademarks, patents, and other like intangible assets, all as set forth on the Company’s consolidated balance sheet as of a date no earlier than the date of the Company’s latest available annual or quarterly consolidated financial statements prepared in accordance with GAAP.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Customary Recourse Exceptions</w:t>
      </w:r>
      <w:r>
        <w:rPr>
          <w:rFonts w:ascii="Times New Roman;Times;serif" w:hAnsi="Times New Roman;Times;serif"/>
          <w:b w:val="false"/>
          <w:i w:val="false"/>
          <w:caps w:val="false"/>
          <w:smallCaps w:val="false"/>
          <w:color w:val="000000"/>
          <w:spacing w:val="4"/>
          <w:sz w:val="20"/>
        </w:rPr>
        <w:t xml:space="preserve">” means, with respect to any Non-Recourse Debt, exclusions from the exculpation provisions with respect to such Non-Recourse Debt for the voluntary bankruptcy of a Person, fraud, misapplication of cash, environmental claims, waste, willful destruction and other circumstances customarily excluded by lenders from exculpation provisions or included in separate indemnification agreements in non-recourse financings.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Default</w:t>
      </w:r>
      <w:r>
        <w:rPr>
          <w:rFonts w:ascii="Times New Roman;Times;serif" w:hAnsi="Times New Roman;Times;serif"/>
          <w:b w:val="false"/>
          <w:i w:val="false"/>
          <w:caps w:val="false"/>
          <w:smallCaps w:val="false"/>
          <w:color w:val="000000"/>
          <w:spacing w:val="4"/>
          <w:sz w:val="20"/>
        </w:rPr>
        <w:t xml:space="preserve">” means, with respect to the notes, any event which is, or after notice or passage of time or both would be, an Event of Default.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Depositary</w:t>
      </w:r>
      <w:r>
        <w:rPr>
          <w:rFonts w:ascii="Times New Roman;Times;serif" w:hAnsi="Times New Roman;Times;serif"/>
          <w:b w:val="false"/>
          <w:i w:val="false"/>
          <w:caps w:val="false"/>
          <w:smallCaps w:val="false"/>
          <w:color w:val="000000"/>
          <w:spacing w:val="4"/>
          <w:sz w:val="20"/>
        </w:rPr>
        <w:t xml:space="preserve">” means The Depository Trust Company, its nominees and their respective successors and assigns, or such other depository institution hereinafter appointed by the Company.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and the rules and regulations of the SEC promulgated thereunder.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Existing Credit Facility</w:t>
      </w:r>
      <w:r>
        <w:rPr>
          <w:rFonts w:ascii="Times New Roman;Times;serif" w:hAnsi="Times New Roman;Times;serif"/>
          <w:b w:val="false"/>
          <w:i w:val="false"/>
          <w:caps w:val="false"/>
          <w:smallCaps w:val="false"/>
          <w:color w:val="000000"/>
          <w:spacing w:val="4"/>
          <w:sz w:val="20"/>
        </w:rPr>
        <w:t xml:space="preserve">” means that certain Amended and Restated Credit Agreement dated as of September 30, 2025, by and among the Company, as borrower, the lenders and issuing banks party thereto from time to time, and JPMorgan Chase Bank, N.A., as administrative agent.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Existing Notes</w:t>
      </w:r>
      <w:r>
        <w:rPr>
          <w:rFonts w:ascii="Times New Roman;Times;serif" w:hAnsi="Times New Roman;Times;serif"/>
          <w:b w:val="false"/>
          <w:i w:val="false"/>
          <w:caps w:val="false"/>
          <w:smallCaps w:val="false"/>
          <w:color w:val="000000"/>
          <w:spacing w:val="4"/>
          <w:sz w:val="20"/>
        </w:rPr>
        <w:t xml:space="preserve">” means the Company’s outstanding (a) 5.375% Senior Notes due 2029, (b) 5.375% Senior Notes due 2030, (c) 4.75% Senior Notes due 2032 and (d) 5.70% senior notes due 2035.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Funded Debt</w:t>
      </w:r>
      <w:r>
        <w:rPr>
          <w:rFonts w:ascii="Times New Roman;Times;serif" w:hAnsi="Times New Roman;Times;serif"/>
          <w:b w:val="false"/>
          <w:i w:val="false"/>
          <w:caps w:val="false"/>
          <w:smallCaps w:val="false"/>
          <w:color w:val="000000"/>
          <w:spacing w:val="4"/>
          <w:sz w:val="20"/>
        </w:rPr>
        <w:t xml:space="preserve">” means, in respect of any Person, all Indebtedness Incurred by such Person that matures, or is renewable by such Person to a date, more than one year after the date as of which Funded Debt is being determined.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of America as in effect as of the Issue Date,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guarantee</w:t>
      </w:r>
      <w:r>
        <w:rPr>
          <w:rFonts w:ascii="Times New Roman;Times;serif" w:hAnsi="Times New Roman;Times;serif"/>
          <w:b w:val="false"/>
          <w:i w:val="false"/>
          <w:caps w:val="false"/>
          <w:smallCaps w:val="false"/>
          <w:color w:val="000000"/>
          <w:spacing w:val="4"/>
          <w:sz w:val="20"/>
        </w:rPr>
        <w:t xml:space="preserve">” means any obligation, contingent or otherwise, of any Person guaranteeing any Indebtedness of any other Person and any obligation, direct or indirect, contingent or otherwise, of such Person 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or otherwise). The term “guarantee” will not include endorsements for collection or deposit in the ordinary course of business. The term “guarantee” used as a verb has a corresponding meaning.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means a Person in whose name a note is registered on the Registrar’s books.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Incur</w:t>
      </w:r>
      <w:r>
        <w:rPr>
          <w:rFonts w:ascii="Times New Roman;Times;serif" w:hAnsi="Times New Roman;Times;serif"/>
          <w:b w:val="false"/>
          <w:i w:val="false"/>
          <w:caps w:val="false"/>
          <w:smallCaps w:val="false"/>
          <w:color w:val="000000"/>
          <w:spacing w:val="4"/>
          <w:sz w:val="20"/>
        </w:rPr>
        <w:t xml:space="preserve">” means issue, create, assume, guarantee, incur or otherwise become liable for any Indebtedness of a Person existing at the time such Person becomes a Subsidiary (whether by merger, consolidation, acquisition or otherwise) will be deemed to be Incurred by such Subsidiary at the time it becomes a Subsidiary. The terms “Incurred” and “Incurrence” have meanings correlative to the foregoing.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any Person on any date of determination, any obligation of such Person, whether contingent or otherwise, for the repayment of borrowed money and any guarantee thereof.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Issue Date</w:t>
      </w:r>
      <w:r>
        <w:rPr>
          <w:rFonts w:ascii="Times New Roman;Times;serif" w:hAnsi="Times New Roman;Times;serif"/>
          <w:b w:val="false"/>
          <w:i w:val="false"/>
          <w:caps w:val="false"/>
          <w:smallCaps w:val="false"/>
          <w:color w:val="000000"/>
          <w:spacing w:val="4"/>
          <w:sz w:val="20"/>
        </w:rPr>
        <w:t xml:space="preserve">” means the date notes are first issued under the Indenture.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For the avoidance of doubt, (1) an operating lease shall be deemed not to constitute a Lien and (2) a contract that would not be considered a capital lease pursuant to GAAP prior to the effectiveness of Accounting Standards Codification 842 shall be deemed not to constitute a Lien.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Non-Recourse Debt</w:t>
      </w:r>
      <w:r>
        <w:rPr>
          <w:rFonts w:ascii="Times New Roman;Times;serif" w:hAnsi="Times New Roman;Times;serif"/>
          <w:b w:val="false"/>
          <w:i w:val="false"/>
          <w:caps w:val="false"/>
          <w:smallCaps w:val="false"/>
          <w:color w:val="000000"/>
          <w:spacing w:val="4"/>
          <w:sz w:val="20"/>
        </w:rPr>
        <w:t xml:space="preserve">” means Indebtedness as to which neither the Company nor any of its Restricted Subsidiaries (a) provides credit support of any kind (including any undertaking, agreement or instrument that would constitute Indebtedness) or (b) is directly or indirectly liable as a guarantor or otherwise except, in each case for (i) Customary Recourse Exceptions and (ii) the pledge of (or a guarantee limited in recourse solely to) the Capital Stock of such Unrestricted Subsidiary.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means a certificate signed by an officer of the Company.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Opinion of Counsel</w:t>
      </w:r>
      <w:r>
        <w:rPr>
          <w:rFonts w:ascii="Times New Roman;Times;serif" w:hAnsi="Times New Roman;Times;serif"/>
          <w:b w:val="false"/>
          <w:i w:val="false"/>
          <w:caps w:val="false"/>
          <w:smallCaps w:val="false"/>
          <w:color w:val="000000"/>
          <w:spacing w:val="4"/>
          <w:sz w:val="20"/>
        </w:rPr>
        <w:t xml:space="preserve">” means a written opinion from legal counsel who is reasonably acceptable to the Trustee. The counsel may be an employee of or counsel to the Company or the Trustee.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with respect to any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any Lien in favor of the Trustee for the benefit of the Trustee or the holders of the notes or otherwise securing the notes, a Guarantee or other obligations under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Liens securing hedging obligations, swap agreements, derivatives, forward contracts, exchange agreements, in each case excluding such arrangement entered into for speculative purposes or obligations with regard to treasury management arrangements;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Liens in favor of the Company or a Restricted Subsidiary;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Liens on property of a Person existing at the time such Person becomes a Restricted Subsidiary of the Company or is merged with or into or consolidated with the Company or any Restricted Subsidiary of the Company; provided that such Liens were in existence prior to the contemplation of such Person becoming a Restricted Subsidiary;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(5)   Liens on property existing at the time of acquisition of the property by the Company or any Restricted Subsidiary of the Company; provided that such Liens were (i) in existence prior to such acquisition and not Incurred in contemplation of such acquisition or (ii) incurred to secure Indebtedness incurred to refinance Indebtedness secured by Liens described in the foregoing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Liens to secure the performance of statutory or regulatory obligations, insurance, surety or appeal bonds, workers’ compensation obligations, bid, plugging and abandonment and performance bonds or other obligations of a like nature incurred in the ordinary course of business (including Liens to secure letters of credit issued to assure payment of such obligations);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Liens on insurance policies and proceeds thereof, or other deposits, to secure insurance premium financings;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Liens on cash or other property arising in connection with the defeasance, discharge, or redemptions of Indebtedness;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Liens to secure Indebtedness represented by capital lease obligations, finance lease obligations, mortgage financings or purchase money obligations or other Indebtedness, in each case, incurred for the purpose of financing all or any part of the purchase price, other acquisition cost or cost of design, construction, installation, development, repair or improvement of property, plant or equipment used in the business of the Company or any of its Restricted Subsidiaries, and all refinancing indebtedness Incurred to renew, refund, refinance, replace, defease, discharge or otherwise retire for value, in whole or in part, such Indebtedness, covering only the assets acquired with or financed by such Indebtedness;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grants of software and other technology licenses in the ordinary course of business;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Liens existing on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filing of Uniform Commercial Code financing statements as a precautionary measure in connection with operating leases;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(13)   bankers’ Liens, rights of setoff, rights of revocation, refund or chargeback with respect to money, instruments or accounts of the Company or any Restricted Subsidiary, Liens arising out of judgments or awards and notices of </w:t>
      </w:r>
      <w:r>
        <w:rPr>
          <w:rFonts w:ascii="Times New Roman;Times;serif" w:hAnsi="Times New Roman;Times;serif"/>
          <w:b w:val="false"/>
          <w:i/>
          <w:caps w:val="false"/>
          <w:smallCaps w:val="false"/>
          <w:color w:val="000000"/>
          <w:spacing w:val="4"/>
          <w:sz w:val="20"/>
        </w:rPr>
        <w:t>lis pendens</w:t>
      </w:r>
      <w:r>
        <w:rPr>
          <w:rFonts w:ascii="Times New Roman;Times;serif" w:hAnsi="Times New Roman;Times;serif"/>
          <w:b w:val="false"/>
          <w:i w:val="false"/>
          <w:caps w:val="false"/>
          <w:smallCaps w:val="false"/>
          <w:color w:val="000000"/>
          <w:spacing w:val="4"/>
          <w:sz w:val="20"/>
        </w:rPr>
        <w:t xml:space="preserve"> and associated rights related to litigation being contested in good faith by appropriate proceedings and for which adequate reserves have been made;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   Liens in respect of Production Payments and Reserve Sales; provided that such Liens are limited to the property that is subject to such Production Payments and Reserve Sales;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   Liens arising under, or in connection with, oil and gas leases or subleases, assignments, farm-out agreements, farm-in agreements, division orders, contracts for the sale, purchase, exchange, marketing, transportation, gathering, treating, fractionation, compression, stabilization or processing of hydrocarbons, unitizations and pooling designations, declarations, orders and agreements, development agreements, joint venture agreements, partnership agreements, operating agreements, royalties, working interests, net profits interests, joint interest billing arrangements, participation agreements, production sales contracts, incentive compensation programs for geologists, geophysicists and other providers of technical services to the Company or a Restricted Subsidiary, area of mutual interest agreements, gas balancing or deferred production agreements, injection, repressuring and recycling agreements, overriding royalty agreements, gathering agreements, marketing agreements, processing agreements, treating agreements, fractionation agreements, compression agreements, stabilization agreements, construction agreements, storage agreements, net profits agreements, salt water or other disposal agreements, seismic or geophysical permits or agreements, licenses, sublicenses and other agreements that are customary in the oil and gas business; provided, however, in all instances that such Liens are limited to the assets that are the subject of the relevant agreement, program, order or contract and margin and other deposits related thereto;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   Liens for (i) taxes, assessments or governmental charges or levies on its property if the same shall not at the time be delinquent or thereafter can be paid without penalty or, provided the Company or its Restricted Subsidiaries have knowledge or should have had knowledge of such Liens, are being actively contested in good faith and by appropriate proceedings and for which adequate reserves shall have been set aside on its books in accordance with GAAP (to the extent required thereby) or (ii) for property taxes on property that the Company or any Subsidiary has determined to abandon if the sole recourse for such tax, assessment, charge or claim is to such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(17)   Liens imposed by law or ordinary course of business contracts, including, without limitation, carriers’, warehousemen’s, suppliers’, mechanics’, materialmen’s, repairmen’s and similar Liens;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(18)   Liens arising under applicable statutory provisions with respect to production of oil, gas or other hydrocarbons purchased from others (such as Chapter 67 of the Texas Property Code and Louisiana Revised Statutes Title 9, §4863, et seq., (including Louisiana Revised Statutes Title 9, §4869));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(19)   Liens in favor of issuers of surety or performance bonds or letters of credit or bankers’ acceptances issued pursuant to the request of and for the account of such Person in the ordinary course of its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survey exceptions, encumbrances, ground leases, easements, restrictions, servitudes, permits, conditions, covenants, exceptions or reservations of, or rights of others for, licenses, rights-of- way, roads, pipelines, transmission liens, transportation liens, distribution lines for the removal of gas, oil, coal or other minerals or timber, sewers, electric lines, telegraph and telephone lines and other similar purposes, or for the joint or common use of real estate, rights of way, facilities and equipment, Liens related to surface leases and surface operations, or zoning, building codes or other restrictions (including, without limitation, minor defects or irregularities in title and similar encumbrances) as to the use of real properties or Liens incidental to the conduct of the business of the Company or any Restricted Subsidiary of the Company or to the ownership of its properties that do not in the aggregate materially adversely affect the value of said properties or materially impair their use in the operation of the business of the Company or any Restricted Subsidiary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(21)   leases, licenses, subleases and sublicenses of assets that do not materially interfere with the ordinary conduct of the business of the Company or any Restricted Subsidiary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(22)   Liens on the Capital Stock of a joint venture that does not constitute a Subsidiary securing obligations of such joint venture;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(23)   any interest or title of a lessor under any operating lease;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(24)   Liens on pipelines or pipeline facilities that arise by operation of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Liens on, or related to, properties or assets to secure all or part of the costs incurred in the ordinary course of business for the exploration, drilling, development, construction, production, processing, treating, fractionation, stabilization, compression, gathering, transportation, marketing or storage, plugging, abandonment or operation thereof;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(26)   Liens under industrial revenue, municipal or similar bonds;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(27)   any Lien renewing, extending, refinancing, replacing or refunding a Lien permitted by this definition, provided that (a) the principal amount of the Indebtedness secured by such Lien is not increased except by an amount equal to accrued interest and any premium or other amount paid, and fees, costs and expenses incurred, in connection therewith and by an amount equal to any existing commitments unutilized thereunder and (b) no assets are encumbered by any such Lien other than the assets permitted to be encumbered immediately prior to such renewal, extension, refinancing, replacement or refunding.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set forth above, notwithstanding any stated limitation on the assets or property that may be subject to such Lien, a Permitted Lien on a specified asset or property or group or type of assets or property may include Liens on all improvements, additions, repairs, attachments and accessions thereto, construction thereon, assets and property affixed or appurtenant thereto, parts, replacements and substitutions therefor and all products and proceeds thereof, including dividends, distributions, interest and increases in respect thereof.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joint venture, association, joint-stock company, trust, unincorporated organization, limited liability company or government or other entity.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Principal Property</w:t>
      </w:r>
      <w:r>
        <w:rPr>
          <w:rFonts w:ascii="Times New Roman;Times;serif" w:hAnsi="Times New Roman;Times;serif"/>
          <w:b w:val="false"/>
          <w:i w:val="false"/>
          <w:caps w:val="false"/>
          <w:smallCaps w:val="false"/>
          <w:color w:val="000000"/>
          <w:spacing w:val="4"/>
          <w:sz w:val="20"/>
        </w:rPr>
        <w:t xml:space="preserve">” means all property interests in oil and gas reserves located in the United States capable of producing hydrocarbon substances in paying quantities, the net book value of which exceeds 3% of Consolidated Net Tangible Assets, other than: (1) property not of material importance to the business of the Company and its Subsidiaries, taken as a whole; (2) assets used in midstream operations; (3) accounts receivable; and (4) production or proceeds from the production of hydrocarbons.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Production Payments and Reserve Sales</w:t>
      </w:r>
      <w:r>
        <w:rPr>
          <w:rFonts w:ascii="Times New Roman;Times;serif" w:hAnsi="Times New Roman;Times;serif"/>
          <w:b w:val="false"/>
          <w:i w:val="false"/>
          <w:caps w:val="false"/>
          <w:smallCaps w:val="false"/>
          <w:color w:val="000000"/>
          <w:spacing w:val="4"/>
          <w:sz w:val="20"/>
        </w:rPr>
        <w:t xml:space="preserve">” means the grant or transfer by the Company or any of its Restricted Subsidiaries to any Person of a royalty, overriding royalty, net profits interest, production payment, partnership or other interest in oil and gas properties, reserves or the right to receive all or a portion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 pursuant to incentive compensation programs on terms that are reasonably customary in the oil and gas business for geologists, geophysicists or other providers of technical services to the Company or any of its Restricted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Restricted Subsidiary</w:t>
      </w:r>
      <w:r>
        <w:rPr>
          <w:rFonts w:ascii="Times New Roman;Times;serif" w:hAnsi="Times New Roman;Times;serif"/>
          <w:b w:val="false"/>
          <w:i w:val="false"/>
          <w:caps w:val="false"/>
          <w:smallCaps w:val="false"/>
          <w:color w:val="000000"/>
          <w:spacing w:val="4"/>
          <w:sz w:val="20"/>
        </w:rPr>
        <w:t xml:space="preserve">” of any Person means any Subsidiary of the Person that is not an Unrestricted Subsidiary.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United States Securities and Exchange Commission.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as amended, and the rules and regulations of the SEC promulgated thereunder.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Stated Maturity</w:t>
      </w:r>
      <w:r>
        <w:rPr>
          <w:rFonts w:ascii="Times New Roman;Times;serif" w:hAnsi="Times New Roman;Times;serif"/>
          <w:b w:val="false"/>
          <w:i w:val="false"/>
          <w:caps w:val="false"/>
          <w:smallCaps w:val="false"/>
          <w:color w:val="000000"/>
          <w:spacing w:val="4"/>
          <w:sz w:val="20"/>
        </w:rPr>
        <w:t xml:space="preserve">” means, with respect to any security or Indebtedness, the date specified in such security or Indebtedness as the fixed date on which the payment of principal of such security or Indebtedness is due and payable, including, without limitation, pursuant to any mandatory redemption provision, but shall not include any contingent obligations to repay, redeem or repurchase any such principal prior to the date originally scheduled for the payment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with respect to any Person, means any (i) corporation, limited liability company or other entity (other than a partnership) of which the outstanding Capital Stock having a majority of the votes entitled to be cast in the election of directors, managers or trustees of such entity under ordinary circumstances shall at the time be owned, directly or indirectly, by such Person or any other Person of which a majority of the voting interests under ordinary circumstances is at the time, directly or indirectly, owned by such Person or (ii) partnership (a) the sole general partner or the managing general partner of which is such Person or a Subsidiary of such Person or (b) the only general partners of which are that Person or one or more Subsidiaries of that Person (or any combination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Unrestricted Subsidiary</w:t>
      </w:r>
      <w:r>
        <w:rPr>
          <w:rFonts w:ascii="Times New Roman;Times;serif" w:hAnsi="Times New Roman;Times;serif"/>
          <w:b w:val="false"/>
          <w:i w:val="false"/>
          <w:caps w:val="false"/>
          <w:smallCaps w:val="false"/>
          <w:color w:val="000000"/>
          <w:spacing w:val="4"/>
          <w:sz w:val="20"/>
        </w:rPr>
        <w:t>” means (1) any Subsidiary of the Company designated as such pursuant to and in compliance with the Indenture and (2) any Subsidiary of an Unrestricted Subsidiary.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MUF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the material U.S. federal income tax consequences of the purchase, ownership and disposition of the notes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U.S. Internal Revenue Code of 1986, as amended (the “Code”), Treasury regulations promulgated thereunder (“Treasury Regulations”),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notes. We have not sought and will not seek any rulings from the IRS regarding the matters discussed below. There can be no assurance that the IRS or a court will not take a contrary position to that discussed below regarding the tax consequences of the purchase, ownership and disposition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discussion is limited to holders who hold the notes as “capital assets” within the meaning of Section 1221 of the Code (generally, property held for investment). In addition, this discussion is limited to persons purchasing the notes for cash at original issue and at their original “issue price” within the meaning of Section 1273 of the Code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 first price at which a substantial amount of the notes is sold to the public for cash other than to bond houses, brokers or similar persons or organizations acting in the capacity of underwriters, placement agents or wholesalers). This discussion assumes that the notes are not issued with original issue discount as that term is defined in the Code and the Treasury Regulations. This discussion does not address all U.S. federal income tax consequences relevant to a holder’s particular circumstances, including the impact of the Medicare contribution tax on net investment income under Section 1411 of the Code. In addition, it does not address consequences relevant to holders subject to special rules, including, without limitation: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long-term residents of the United States;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the notes as part of a hedge, straddle or other risk reduction strategy or as part of a conversion transaction or other integrated investment;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regulated investment companies or grantor trusts;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securities, currencies or commodities;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corporations, partnerships or other entities or arrangements treated as partnerships for U.S. federal income tax purposes (and investors therein);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the notes under the constructive sale provisions of the Code;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 retirement accounts or other tax-deferred accounts;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that hold the notes through non-U.S. brokers or other non-U.S. intermediaries;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entities subject to the U.S. anti-inversion rules;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are members of an “expanded group” or “modified expanded group” with us within the meaning of the Treasury Regulations under Section 385 of the Code;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hybrid entities;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have made an election to include in gross income all interest on a note under the constant yield method;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base erosion and anti-abuse tax; </w:t>
      </w:r>
      <w:r>
        <mc:AlternateContent>
          <mc:Choice Requires="wps">
            <w:drawing>
              <wp:anchor behindDoc="0" distT="0" distB="0" distL="254000" distR="0" simplePos="0" locked="0" layoutInCell="1" allowOverlap="1" relativeHeight="63">
                <wp:simplePos x="0" y="0"/>
                <wp:positionH relativeFrom="column">
                  <wp:align>left</wp:align>
                </wp:positionH>
                <wp:positionV relativeFrom="line">
                  <wp:posOffset>635</wp:posOffset>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trusts or estates that have United States beneficiaries;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personal holding company rules; and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as a result of any item of gross income with respect to the notes being taken into account in an applicable financial statement.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the notes, the tax treatment of a partner in the partnership will depend on the status of the partner, the activities of the partnership and certain determinations made at the partner level. Accordingly, partnerships holding the notes and the partners in such partnerships should consult their tax advisors regarding the U.S. federal income tax consequences to them.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THE NOTES ARISING UNDER OTHER U.S. FEDERAL TAX LAWS (INCLUDING ESTATE AND GIFT TAX LAWS), UNDER THE LAWS OF ANY STATE, LOCAL OR NON-U.S. TAXING JURISDICTION OR UNDER ANY APPLICABLE TAX TREATY, INCLUDING THE CONSEQUENCES OF ANY PROPOSED CHANGE IN APPLICABLE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Characterization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as described under “Description of the Notes — Optional Redemption” we may be obligated to pay amounts on the notes that are in excess of stated interest and principal payments on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issue is not free from doubt, we believe and intend to take the position that the possibility of paying such additional amounts should not cause the notes to be treated as contingent payment debt instruments, which are subject to special rules. This position is based in part on our determination that, as of the issuance date of the notes, the possibility that such additional amounts will have to be paid is a remote or incidental contingency within the meaning of applicable Treasury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determination that the notes are not contingent payment debt instruments is binding on a holder, unless such holder explicitly discloses to the IRS on its tax return for the year during which it acquires the notes that it is taking a different position. However, our position is not binding on the IRS. If the IRS takes a contrary position to that described above, then the notes may be treated as contingent payment debt instruments and, regardless of a holder’s method of accounting, a holder may be required to accrue interest income on the notes based upon a comparable yield at which we would have issued a fixed rate debt instrument with no contingent payments, but with terms and conditions similar to those of the notes. In addition, any gain on the sale, exchange, redemption, retirement or other taxable disposition of the notes generally would be characterized as ordinary income, rather than capital gain. The remainder of this discussion assumes that the notes will not be treated as contingent payment debt instruments. Holders should consult their own tax advisors regarding the possible application of the contingent payment debt instrument rules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Applicable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Definition of a U.S. Holder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a note that, for U.S. federal income tax purposes, is or is treated as: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created or organized under the laws of the United States, any state thereof, or the District of Columbia;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0" distB="0" distL="254000" distR="0" simplePos="0" locked="0" layoutInCell="1" allowOverlap="1" relativeHeight="69">
                <wp:simplePos x="0" y="0"/>
                <wp:positionH relativeFrom="column">
                  <wp:align>left</wp:align>
                </wp:positionH>
                <wp:positionV relativeFrom="line">
                  <wp:posOffset>635</wp:posOffset>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r>
        <mc:AlternateContent>
          <mc:Choice Requires="wps">
            <w:drawing>
              <wp:anchor behindDoc="0" distT="622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a note will be taxable to a U.S. Holder as ordinary income at the time such interest is received or accrued, in accordance with such U.S. Holder’s method of tax accounting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will recognize gain or loss on the sale, exchange, redemption, retirement or other taxable disposition of a note. The amount of such gain or loss will equal the difference between the amount received for the note in cash or other property valued at fair market value (less amounts attributable to any accrued but unpaid interest, which will be taxable as interest to the extent not previously included in income) and the U.S. Holder’s adjusted tax basis in the note. A U.S. Holder’s adjusted tax basis in a note generally will be equal to the amount the U.S. Holder paid for the note, reduced by any payment previously received by the U.S. Holder on the note other than a payment of qualified stated interest. Any gain or loss will be capital gain or loss, and will be long-term capital gain or loss if the U.S. Holder has held the note for more than one year at the time of sale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may be subject to information reporting and backup withholding when such holder receives payments on a note or receives proceeds from the sale or other taxable disposition of a note (including a redemption or retirement of a note). Certain U.S. Holders are exempt from backup withholding, including corporations and certain tax-exempt organizations. A U.S. Holder will be subject to backup withholding if such holder is not otherwise exempt and: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fails to furnish the holder’s taxpayer identification number, which for an individual is ordinarily his or her social security number; </w:t>
      </w:r>
      <w:r>
        <mc:AlternateContent>
          <mc:Choice Requires="wps">
            <w:drawing>
              <wp:anchor behindDoc="0" distT="6985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furnishes an incorrect taxpayer identification number; </w:t>
      </w:r>
      <w:r>
        <mc:AlternateContent>
          <mc:Choice Requires="wps">
            <w:drawing>
              <wp:anchor behindDoc="0" distT="609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withholding agent is notified by the IRS that the holder previously failed to properly report payments of interest or dividends; or </w:t>
      </w:r>
      <w:r>
        <mc:AlternateContent>
          <mc:Choice Requires="wps">
            <w:drawing>
              <wp:anchor behindDoc="0" distT="609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fails to certify under penalties of perjury on IRS Form W-9 (or applicable successor form) that the holder has furnished a correct taxpayer identification number and that the IRS has not notified the holder that the holder is subject to backup withholding. </w:t>
      </w:r>
      <w:r>
        <mc:AlternateContent>
          <mc:Choice Requires="wps">
            <w:drawing>
              <wp:anchor behindDoc="0" distT="609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any reportable payments, including reportable payments of interest, made to a U.S. Holder that is not exempt, and the amount of any tax withheld with respect to such payments, will be reported to such U.S. Holder and to the IRS for each calendar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Applicable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Definition of a Non-U.S. Holder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“Non-U.S. Holder” is a beneficial owner of a note that is neither a U.S. Holder nor an entity or arrangement treated as a partnership for U.S. federal income tax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on a note to a Non-U.S. Holder that is not effectively connected with the Non-U.S. Holder’s conduct of a trade or business within the United States generally will not be subject to U.S. federal income tax, or withholding tax of 30% (or such lower rate specified by an applicable income tax treaty), provided that: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does not, actually or constructively, own 10% or more of the total combined voting power of all classes of our voting stock within the meaning of Section 871(h)(3) of the Code; </w:t>
      </w:r>
      <w:r>
        <mc:AlternateContent>
          <mc:Choice Requires="wps">
            <w:drawing>
              <wp:anchor behindDoc="0" distT="7239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described in Section 881(c)(3)(C) of the Code that is related to us, actually or constructively, through the stock ownership rules of Section 864(d)(4) of the Code; </w:t>
      </w:r>
      <w:r>
        <mc:AlternateContent>
          <mc:Choice Requires="wps">
            <w:drawing>
              <wp:anchor behindDoc="0" distT="7239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bank that received the note on an extension of credit made pursuant to a loan agreement entered into in the ordinary course of its trade or business as described in Section 881(c)(3)(A) of the Code; and </w:t>
      </w:r>
      <w:r>
        <mc:AlternateContent>
          <mc:Choice Requires="wps">
            <w:drawing>
              <wp:anchor behindDoc="0" distT="7239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note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a copy of such statement to the applicable withholding agent; or (3) the Non-U.S. Holder holds its note directly through a “qualified intermediary” ​(within the meaning of applicable Treasury Regulations) and certain conditions are satisfied, which a non-U.S. financial institution may establish by furnishing an IRS Form W-8IMY certifying that it has entered into an agreement with the IRS to be treated as a qualified intermediary. </w:t>
      </w:r>
      <w:r>
        <mc:AlternateContent>
          <mc:Choice Requires="wps">
            <w:drawing>
              <wp:anchor behindDoc="0" distT="7239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Non-U.S. Holder does not satisfy the requirements above, such Non-U.S. Holder may be entitled to a reduction in or an exemption from withholding on such interest as a result of an applicable income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 A Non-U.S. Holder claiming treaty benefits may also be required to furnish its U.S. taxpayer identification number, and a claim for exemption will not be effective if the applicable withholding agent has actual knowledge or reason to know that the statements on the form are false.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W- 8ECI, certifying that interest paid on a note is not subject to withholding tax because it is effectively connected with the conduct by the Non-U.S. Holder of a trade or business within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effectively connected interest will be subject to U.S. federal income tax at the regular graduated rates. A Non-U.S. Holder that is a corporation also may be subject to a branch profits tax at a rate of 30% (or such lower rate specified by an applicable income tax treaty) on such effectively connected interest, as adjusted for certain items.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will not be subject to U.S. federal income tax on any gain realized upon the sale, exchange, redemption, retirement or other taxable disposition of a note (such amount excludes any amount allocable to accrued and unpaid interest, which will be treated as interest and may be subject to the rules discussed above in “— Payments of Interest”)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or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present in the United States for 183 days or more during the taxable year of the disposition and certain other requirements are met. </w:t>
      </w:r>
      <w:r>
        <mc:AlternateContent>
          <mc:Choice Requires="wps">
            <w:drawing>
              <wp:anchor behindDoc="0" distT="774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will be subject to U.S. federal income tax on a net income basis at the regular graduated rates. A Non-U.S. Holder that is a foreign corporation also may be subject to a branch profits tax at a rate of 30% (or such lower rate specified by an applicable income tax treaty) on such effectively connected gain, as adjusted for certain items.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Holder’s ability to claim a loss on the disposition of a note will be subject to substantial limitations. Non-U.S. Holders should consult their tax advisors regarding the tax consequences of disposing of the notes at a loss.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should consult their tax advisors regarding any applicable income tax treaties that may provide for different rules.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interest will not be subject to backup withholding, provided the applicable withholding agent does not have actual knowledge or reason to know the holder is a United States person and the holder certifies its non-U.S. status as described above under “— Payments of Interest.” However, information returns are required to be filed with the IRS in connection with any interest paid to the Non-U.S. Holder, regardless of whether any tax was actually withheld. In addition, proceeds of the sale or other taxable disposition of a note (including a retirement or redemption of the note) within the United States or conducted through certain U.S.-related brokers generally will not be subject to backup withholding or information reporting, if the applicable withholding agent receives the statement described above and does not have actual knowledge or reason to know that such holder is a United States person or the holder otherwise establishes an exemption. Proceeds of a disposition of a note paid outside the United States and conducted through a non-U.S. office of a non-U.S. broker generally will not be subject to backup withholding or information reporting, unless the broker is (1) a United States person, (2) a controlled foreign corporation, (3) a foreign person 50% or more of whose gross income for certain periods is effectively connected with the conduct of a trade or business within the United States, or (4) a foreign partnership if, at any time during its taxable year, one or more of its partners are United States persons that in the aggregate hold more than 50% of the income or capital interests in the partnership, or the foreign partnership is engaged in a trade or business within the United States, and, in each case, the Non-U.S. Holder does not establish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Tax on Payments Made to Foreign Accounts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payments of interest on, or (subject to the proposed Treasury Regulations discussed below) gross proceeds from the sale or other disposition of, a note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applicable Treasury Regulations and administrative guidance, withholding under FATCA generally applies to payments of interest on a note. While withholding under FATCA would have applied also to payments of gross proceeds from the sale or other disposition of a note on or after January 1, 2019, proposed Treasury Regulations eliminate FATCA withholding on payments of gross proceeds entirely. Taxpayers generally may rely on these proposed Treasury Regulations until final Treasury Regulations are issued, although there can be no assurance that a similar rule will not take effect in the future. In many cases, a Non-U.S. Holder may establish an exemption from, or compliance with, FATCA by providing a properly completed and duly executed IRS Form W-8BEN or W-8BEN-E (or other applicable successor form) to the applicable withholding agent, although additional information and diligence requirements may apply. We will not pay any additional amounts to holders in respect of any amounts withheld under FATCA.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Prospective investors should consult their tax advisors regarding the potential application of withholding under FATCA to their investment in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N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stated in the underwriting agreement dated the date of this prospectus supplement by and among us and the underwriters named below, for whom Citigroup Global Markets Inc. and J.P. Morgan Securities LLC are acting as representatives, we have agreed to sell to each of the underwriters, and each of the underwriters has agreed, severally and not jointly, to purchase from us, the principal amount of the notes indicated in the following table: </w:t>
      </w:r>
    </w:p>
    <w:tbl>
      <w:tblPr>
        <w:tblW w:w="5506" w:type="dxa"/>
        <w:jc w:val="left"/>
        <w:tblInd w:w="1393" w:type="dxa"/>
        <w:tblLayout w:type="fixed"/>
        <w:tblCellMar>
          <w:top w:w="0" w:type="dxa"/>
          <w:left w:w="0" w:type="dxa"/>
          <w:bottom w:w="43" w:type="dxa"/>
          <w:right w:w="0" w:type="dxa"/>
        </w:tblCellMar>
      </w:tblPr>
      <w:tblGrid>
        <w:gridCol w:w="3329"/>
        <w:gridCol w:w="109"/>
        <w:gridCol w:w="109"/>
        <w:gridCol w:w="112"/>
        <w:gridCol w:w="233"/>
        <w:gridCol w:w="1348"/>
        <w:gridCol w:w="112"/>
        <w:gridCol w:w="154"/>
      </w:tblGrid>
      <w:tr>
        <w:trPr/>
        <w:tc>
          <w:tcPr>
            <w:tcW w:w="3329"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5" w:type="dxa"/>
            <w:gridSpan w:val="4"/>
            <w:tcBorders>
              <w:bottom w:val="single" w:sz="2" w:space="0" w:color="000000"/>
            </w:tcBorders>
            <w:vAlign w:val="center"/>
          </w:tcPr>
          <w:p>
            <w:pPr>
              <w:pStyle w:val="TableContents"/>
              <w:bidi w:val="0"/>
              <w:spacing w:before="0" w:after="0"/>
              <w:jc w:val="center"/>
              <w:rPr/>
            </w:pPr>
            <w:r>
              <w:rPr>
                <w:spacing w:val="-3"/>
              </w:rPr>
              <w:t>Principal Amount</w:t>
            </w:r>
            <w:r>
              <w:rPr/>
              <w:t xml:space="preserve"> </w:t>
              <w:br/>
            </w:r>
            <w:r>
              <w:rPr>
                <w:spacing w:val="-3"/>
              </w:rPr>
              <w:t xml:space="preserve">of the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29" w:type="dxa"/>
            <w:tcBorders/>
            <w:shd w:fill="CCEEFF" w:val="clear"/>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98,750,000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98,750,000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29" w:type="dxa"/>
            <w:tcBorders/>
            <w:shd w:fill="CCEEFF" w:val="clear"/>
            <w:tcMar>
              <w:bottom w:w="0" w:type="dxa"/>
            </w:tcMar>
            <w:vAlign w:val="center"/>
          </w:tcPr>
          <w:p>
            <w:pPr>
              <w:pStyle w:val="TableContents"/>
              <w:bidi w:val="0"/>
              <w:spacing w:before="0" w:after="0"/>
              <w:jc w:val="left"/>
              <w:rPr>
                <w:spacing w:val="4"/>
              </w:rPr>
            </w:pPr>
            <w:r>
              <w:rPr>
                <w:spacing w:val="4"/>
              </w:rPr>
              <w:t xml:space="preserve">Citizens JMP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26,250,000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26,250,000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29" w:type="dxa"/>
            <w:tcBorders/>
            <w:shd w:fill="CCEEFF" w:val="clear"/>
            <w:tcMar>
              <w:bottom w:w="0" w:type="dxa"/>
            </w:tcMar>
            <w:vAlign w:val="center"/>
          </w:tcPr>
          <w:p>
            <w:pPr>
              <w:pStyle w:val="TableContents"/>
              <w:bidi w:val="0"/>
              <w:spacing w:before="0" w:after="0"/>
              <w:jc w:val="left"/>
              <w:rPr>
                <w:spacing w:val="4"/>
              </w:rPr>
            </w:pPr>
            <w:r>
              <w:rPr>
                <w:spacing w:val="4"/>
              </w:rPr>
              <w:t xml:space="preserve">MUFG Securities Americas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26,250,000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RBC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26,250,000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29" w:type="dxa"/>
            <w:tcBorders/>
            <w:shd w:fill="CCEEFF" w:val="clear"/>
            <w:tcMar>
              <w:bottom w:w="0" w:type="dxa"/>
            </w:tcMar>
            <w:vAlign w:val="center"/>
          </w:tcPr>
          <w:p>
            <w:pPr>
              <w:pStyle w:val="TableContents"/>
              <w:bidi w:val="0"/>
              <w:spacing w:before="0" w:after="0"/>
              <w:jc w:val="left"/>
              <w:rPr>
                <w:spacing w:val="4"/>
              </w:rPr>
            </w:pPr>
            <w:r>
              <w:rPr>
                <w:spacing w:val="4"/>
              </w:rPr>
              <w:t xml:space="preserve">TD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26,250,000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26,250,000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29" w:type="dxa"/>
            <w:tcBorders/>
            <w:shd w:fill="CCEEFF" w:val="clear"/>
            <w:tcMar>
              <w:bottom w:w="0" w:type="dxa"/>
            </w:tcMar>
            <w:vAlign w:val="center"/>
          </w:tcPr>
          <w:p>
            <w:pPr>
              <w:pStyle w:val="TableContents"/>
              <w:bidi w:val="0"/>
              <w:spacing w:before="0" w:after="0"/>
              <w:jc w:val="left"/>
              <w:rPr>
                <w:spacing w:val="4"/>
              </w:rPr>
            </w:pPr>
            <w:r>
              <w:rPr>
                <w:spacing w:val="4"/>
              </w:rPr>
              <w:t xml:space="preserve">Fifth Third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17,500,000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CIBC World Markets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17,500,000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29" w:type="dxa"/>
            <w:tcBorders/>
            <w:shd w:fill="CCEEFF" w:val="clear"/>
            <w:tcMar>
              <w:bottom w:w="0" w:type="dxa"/>
            </w:tcMar>
            <w:vAlign w:val="center"/>
          </w:tcPr>
          <w:p>
            <w:pPr>
              <w:pStyle w:val="TableContents"/>
              <w:bidi w:val="0"/>
              <w:spacing w:before="0" w:after="0"/>
              <w:jc w:val="left"/>
              <w:rPr>
                <w:spacing w:val="4"/>
              </w:rPr>
            </w:pPr>
            <w:r>
              <w:rPr>
                <w:spacing w:val="4"/>
              </w:rPr>
              <w:t xml:space="preserve">Goldman Sachs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17,500,000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Morgan Stanley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17,500,000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29" w:type="dxa"/>
            <w:tcBorders/>
            <w:shd w:fill="CCEEFF" w:val="clear"/>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17,500,000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Regions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17,500,000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29" w:type="dxa"/>
            <w:tcBorders/>
            <w:shd w:fill="CCEEFF" w:val="clear"/>
            <w:tcMar>
              <w:bottom w:w="0" w:type="dxa"/>
            </w:tcMar>
            <w:vAlign w:val="center"/>
          </w:tcPr>
          <w:p>
            <w:pPr>
              <w:pStyle w:val="TableContents"/>
              <w:bidi w:val="0"/>
              <w:spacing w:before="0" w:after="0"/>
              <w:jc w:val="left"/>
              <w:rPr>
                <w:spacing w:val="4"/>
              </w:rPr>
            </w:pPr>
            <w:r>
              <w:rPr>
                <w:spacing w:val="4"/>
              </w:rPr>
              <w:t xml:space="preserve">Scotia Capital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 xml:space="preserve">17,500,000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17,500,000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29"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BOK Financial Securities,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48" w:type="dxa"/>
            <w:tcBorders>
              <w:bottom w:val="single" w:sz="2" w:space="0" w:color="000000"/>
            </w:tcBorders>
            <w:shd w:fill="CCEEFF" w:val="clear"/>
            <w:tcMar>
              <w:bottom w:w="50" w:type="dxa"/>
            </w:tcMar>
            <w:vAlign w:val="center"/>
          </w:tcPr>
          <w:p>
            <w:pPr>
              <w:pStyle w:val="TableContents"/>
              <w:bidi w:val="0"/>
              <w:spacing w:before="0" w:after="283"/>
              <w:jc w:val="right"/>
              <w:rPr/>
            </w:pPr>
            <w:r>
              <w:rPr/>
              <w:t>5,000,000</w:t>
            </w:r>
          </w:p>
        </w:tc>
        <w:tc>
          <w:tcPr>
            <w:tcW w:w="11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bottom w:val="double" w:sz="8" w:space="0" w:color="000000"/>
            </w:tcBorders>
            <w:tcMar>
              <w:bottom w:w="50" w:type="dxa"/>
            </w:tcMar>
            <w:vAlign w:val="center"/>
          </w:tcPr>
          <w:p>
            <w:pPr>
              <w:pStyle w:val="TableContents"/>
              <w:bidi w:val="0"/>
              <w:spacing w:before="0" w:after="283"/>
              <w:jc w:val="right"/>
              <w:rPr/>
            </w:pPr>
            <w:r>
              <w:rPr/>
              <w:t>$</w:t>
            </w:r>
          </w:p>
        </w:tc>
        <w:tc>
          <w:tcPr>
            <w:tcW w:w="1348" w:type="dxa"/>
            <w:tcBorders>
              <w:bottom w:val="double" w:sz="8" w:space="0" w:color="000000"/>
            </w:tcBorders>
            <w:tcMar>
              <w:bottom w:w="50" w:type="dxa"/>
            </w:tcMar>
            <w:vAlign w:val="center"/>
          </w:tcPr>
          <w:p>
            <w:pPr>
              <w:pStyle w:val="TableContents"/>
              <w:bidi w:val="0"/>
              <w:spacing w:before="0" w:after="283"/>
              <w:jc w:val="right"/>
              <w:rPr/>
            </w:pPr>
            <w:r>
              <w:rPr/>
              <w:t>500,000,000</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and conditions of the underwriting agreement, if the underwriters take any of the notes, then they are obligated to take and pay for all the notes. The underwriting agreement also provides that if an underwriter defaults, the purchase commitments of non-defaulting underwriters may also be increased or the underwriting agreement may be terminated. 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and will not be listed on any national securities exchange. The underwriters have advised us that they intend to make a market for the notes, but they have no obligation to do so and may discontinue market-making at any time without providing any notice. No assurance can be given as to the liquidity of any trading market for the notes. Notes sold by the underwriters to the public will initially be offered at the public offering prices set forth on the cover page of this prospectus supplement. Any notes sold by the underwriters to securities dealers may be sold at a discount from the public offering price of up to 0.350% of the principal amount of the notes. The underwriters may allow, and any such dealer may reallow, a concession not in excess of 0.250% of the principal amount of the notes. After the initial offering of the notes to the public, the underwriters may change the offering price and other selling terms.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compensation to be paid by us to the underwriters: </w:t>
      </w:r>
    </w:p>
    <w:tbl>
      <w:tblPr>
        <w:tblW w:w="6706" w:type="dxa"/>
        <w:jc w:val="left"/>
        <w:tblInd w:w="1393" w:type="dxa"/>
        <w:tblLayout w:type="fixed"/>
        <w:tblCellMar>
          <w:top w:w="0" w:type="dxa"/>
          <w:left w:w="0" w:type="dxa"/>
          <w:bottom w:w="28" w:type="dxa"/>
          <w:right w:w="0" w:type="dxa"/>
        </w:tblCellMar>
      </w:tblPr>
      <w:tblGrid>
        <w:gridCol w:w="3438"/>
        <w:gridCol w:w="109"/>
        <w:gridCol w:w="109"/>
        <w:gridCol w:w="109"/>
        <w:gridCol w:w="109"/>
        <w:gridCol w:w="841"/>
        <w:gridCol w:w="109"/>
        <w:gridCol w:w="109"/>
        <w:gridCol w:w="109"/>
        <w:gridCol w:w="109"/>
        <w:gridCol w:w="226"/>
        <w:gridCol w:w="1066"/>
        <w:gridCol w:w="109"/>
        <w:gridCol w:w="154"/>
      </w:tblGrid>
      <w:tr>
        <w:trPr/>
        <w:tc>
          <w:tcPr>
            <w:tcW w:w="34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38" w:type="dxa"/>
            <w:tcBorders/>
            <w:shd w:fill="CCEEFF" w:val="clear"/>
            <w:tcMar>
              <w:bottom w:w="0" w:type="dxa"/>
            </w:tcMar>
            <w:vAlign w:val="center"/>
          </w:tcPr>
          <w:p>
            <w:pPr>
              <w:pStyle w:val="TableContents"/>
              <w:bidi w:val="0"/>
              <w:spacing w:before="0" w:after="0"/>
              <w:jc w:val="left"/>
              <w:rPr>
                <w:spacing w:val="4"/>
              </w:rPr>
            </w:pPr>
            <w:r>
              <w:rPr>
                <w:spacing w:val="4"/>
              </w:rPr>
              <w:t xml:space="preserve">Underwriting discount paid by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0.600%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to investors on or about the closing date specified on the cover page of this prospectus supplement, which will be the second business day following the date of this prospectus supplement. This settlement cycle is referred to as “T+2.” Under Rule 15c6-l under the Exchange Act, trades in the secondary market generally are required to settle in one business day, unless the parties to any such trade expressly agree otherwise. Accordingly, purchasers who wish to trade notes on the date of this prospectus supplement or the next succeeding business days will be required, by virtue of the fact that the notes initially will settle T+2, to specify an alternate settlement cycle at the time of any such trade to prevent a failed settlement. Purchasers of notes who wish to trade notes on the date of this prospectus supplement or the next succeeding business days should consult their own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total expenses of this offering to be paid by us, excluding underwriting discounts, will be approximately $2,000,000.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or to contribute to payments that the underwriters may be required to make in respect of any such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may engage in stabilizing transactions, over-allotment transactions, syndicate covering transactions and penalty bids in accordance with Regulation M under the Exchange Act.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Stabilizing transactions permit bids to purchase the underlying security so long as the stabilizing bids do not exceed a specified maximum.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Over-allotment transactions involve sales by the underwriters of notes in excess of the principal amount of notes the underwriters are obligated to purchase, which creates a syndicate short position.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Syndicate covering transactions involve purchases of the notes in the open market after the distribution has been completed in order to cover syndicate short positions.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Penalty bids permit the underwriters to reclaim a selling concession from a syndicate member when the notes originally sold by the syndicate member are purchased in a stabilizing transaction or a syndicate covering transaction to cover syndicate short positions.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stabilizing transactions, over-allotment transactions, syndicate covering transactions and penalty bids may have the effect of raising or maintaining the market price of the notes or preventing or retarding a decline in the market price of the notes. As a result the price of the notes may be higher than the price that might otherwise exist in the open market. These transactions, if commenced, may be discontinued at any time without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Affiliates of certain underwriters are lenders under our revolving credit facility and as a result may receive at least 5% of the net proceeds of this offering. Consequently, this offering is being made in compliance with Rule 5121 of FINRA. Pursuant to this rule, an appointment of a Qualified Independent Underwriter is not required because the notes will be rated investment grade. The underwriters subject to FINRA Rule 5121 will not confirm sales to a discretionary account without prior written approval of the account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business, the underwriters and their respective affiliates have from time to time performed and may in the future perform various financial advisory, commercial banking, investment banking, asset leasing and treasury services for us and our affiliates, for which they received, or will continue to receive, customary fees or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respective subsidiaries. Certain of the underwriters or their affiliates that have a lending relationship with us routinely hedge, and certain other underwriters or their affiliates that have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lending relationship with us may hedge their credit exposure to us consistent with their customary risk management policies. Typically, these underwriters or their affiliates would hedge such exposure by entering into transactions which consist of either the purchase of credit default swaps or the creation of short positions in our and our parent’s securities, including potentially the notes offered hereby. Any such credit default swaps or short positions could adversely affect future trading prices of the notes.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the European Economic Area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Regulation from the requirement to publish a prospectus for offers of notes. This prospectus is not a prospectus for the purposes of the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EEA selling restriction is in addition to any other selling restrictions set out in this prospectus supplement.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the United Kingdom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distributed or otherwise made available to and should not be offered, sold, distributed or otherwise made available to any retail investor in the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has been prepared on the basis that any offer of notes in the UK will be made pursuant to an exception from the prohibition on offers to the public under the POATRs.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Canada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Securities Act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notes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(including any amendment thereto) contains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applicable, 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Hong Kong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(i) has not offered or sold and will not offer or sell in Hong Kong, by means of any document, any notes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Taiwan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South Korea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Japan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Singapore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acknowledged that this prospectus has not been registered as a prospectus with the Monetary Authority of Singapore. Accordingly, each underwriter has represented, warranted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 — In connection with Section 309B of the SFA and the CMP Regulations 2018, unless otherwise specified before an offer of notes, the Company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Switzerland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does not constitute an offer to the public or a solicitation to purchase or invest in any notes. No notes have been offered or will be offered to the public in Switzerland, except that offers of notes may be made to the public in Switzerland at any time under the following exemptions under the Swiss Financial Services Act (“FinSA”):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person which is a professional client as defined under the FinSA; or </w:t>
      </w:r>
      <w:r>
        <mc:AlternateContent>
          <mc:Choice Requires="wps">
            <w:drawing>
              <wp:anchor behindDoc="0" distT="10033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36 FinSA in connection with Article 44 of the Swiss Financial Services Ordinance, provided that no such offer of notes shall require the Company or any underwriter to publish a prospectus pursuant to Article 35 FinSA. </w:t>
      </w:r>
      <w:r>
        <mc:AlternateContent>
          <mc:Choice Requires="wps">
            <w:drawing>
              <wp:anchor behindDoc="0" distT="10033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listed or admitted to trading on a trading venue in Switzerland. Neither this prospectus nor any other offering or marketing material relating to the notes constitutes a prospectus as such term is understood pursuant to the FinSA and neither this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the United Arab Emirates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Dubai Financial Services Authority.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the Dubai International Financial Centre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an Exempt Offer in accordance with the Markets Law, DIFC Law No. 1 of 2012, as amended. This prospectus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Chile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registered in the Securities Registry (Registro de Valores) or subject to the control of the Chilean Securities and Exchange Commission (Superintendencia de Valores y Seguros de Chile). This prospectus supplement and other offering materials relating to the offer of the notes do not constitute a public offer of, or an invitation to subscribe for or purchase, the notes in the Republic of Chile, other than to individually identified purchasers pursuant to a private offering within the meaning of Article 4 of the Chilean Securities Market Act (Ley de Mercado de Valores) (an offer that is not “addressed to the public at large or to a certain sector or specific group of the public”).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the Abu Dhabi Global Market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Abu Dhabi Global Market (ADGM), including the Financial Services Regulatory Authority and the Registration Authority does not accept any responsibility for the content of the information included in this prospectus, including the accuracy or completeness of such information. The liability for the content of this prospectus lies with the issuer of this prospectus and other persons, such as experts, whose opinions are included in this prospectus with their consent. The ADGM has also not assessed the suitability of the notes to which this prospectus relates to any particular noteholder or type of noteholder. Prospective purchasers of the notes offered should conduct their own due diligence on the notes. If you do not understand the contents of this prospectus or are unsure whether the notes to which this prospectus relates are suitable for your individual investment objectives and circumstances, you should consult an authorized financial adviser.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to Prospective Investors in Australia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prospectus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for sale, nor may application for the sale or purchase or any notes be invited in Australia (including an offer or invitation which is received by a person in Australia) and neither this prospectus nor any other offering material or advertisement relating to the notes may be distributed or published in Australia unless, in each case: </w:t>
      </w:r>
    </w:p>
    <w:p>
      <w:pPr>
        <w:pStyle w:val="TextBody"/>
        <w:bidi w:val="0"/>
        <w:spacing w:lineRule="atLeast" w:line="240" w:before="9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w:t>
      </w:r>
      <w:r>
        <mc:AlternateContent>
          <mc:Choice Requires="wps">
            <w:drawing>
              <wp:anchor behindDoc="0" distT="6223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invitation or distribution complied with the conditions of the Australian financial services license of the person making the offer, invitation or distribution or an applicable exemption from the requirement to hold such license; </w:t>
      </w:r>
      <w:r>
        <mc:AlternateContent>
          <mc:Choice Requires="wps">
            <w:drawing>
              <wp:anchor behindDoc="0" distT="6223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invitation or distribution complies with all applicable Australian laws, regulations and directives (including, without limitation, the licensing requirements set out in Chapter 7 of the Corporations Act); </w:t>
      </w:r>
      <w:r>
        <mc:AlternateContent>
          <mc:Choice Requires="wps">
            <w:drawing>
              <wp:anchor behindDoc="0" distT="6223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or invitation does not constitute an offer or invitation to a person in Australia who is a “retail client” as defined for the purposes of Section 761G of the Corporations Act; and </w:t>
      </w:r>
      <w:r>
        <mc:AlternateContent>
          <mc:Choice Requires="wps">
            <w:drawing>
              <wp:anchor behindDoc="0" distT="6350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action does not require any document to be lodged with ASIC or the ASX. </w:t>
      </w:r>
      <w:r>
        <mc:AlternateContent>
          <mc:Choice Requires="wps">
            <w:drawing>
              <wp:anchor behindDoc="0" distT="6350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issuance of the notes offered pursuant to this prospectus supplement and the accompanying base prospectus will be passed upon for us by Kirkland &amp; Ellis LLP, Houston, Texas, with respect to U.S. legal matters, and by McAfee &amp; Taft A Professional Corporation, Oklahoma City, Oklahoma, with respect to Oklahoma legal matters. Certain legal matters relating to the offering of the notes will be passed upon for the underwriters by Simpson Thacher &amp; Bartlett LLP, Houston, Texas.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EX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w:t>
      </w:r>
      <w:hyperlink r:id="rId4">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incorporated by reference in this prospectus supplement regarding estimated quantities of proved reserves of our assets, the future net revenues from those reserves and their present value as of December 31, 2025 is based on the proved reserve report prepared by Netherland, Sewell &amp; Associates, Inc., our independent petroleum engineers. These estimates are incorporated by reference in this prospectus supplement in reliance upon the authority of such firm as an expert in these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WYC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Available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web site address is https://www.expandenergy.com/. The information on our web site, however, is not, and should not be deemed to be, a part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SEC’s rules allow us to “incorporate by reference” information into this prospectus supplement and the accompanying base prospectus, which means that we can disclose important information to you by referring you to another document filed separately with the SEC. The information incorporated by reference is deemed to be part of this prospectus supplement and the accompanying base prospectus, and subsequent information that we file with the SEC will automatically update and supersede that information. Any statement contained in this prospectus supplement and the accompanying base prospectus or a previously filed document incorporated by reference will be deemed to be modified or superseded for purposes of this prospectus supplement and the accompanying base prospectus to the extent that a statement contained in this prospectus supplement and the accompanying base prospectus or a subsequently filed document incorporated by reference modifies or replaces that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base prospectus incorporate by reference the documents set forth below that have previously been filed with the SEC: </w:t>
      </w:r>
    </w:p>
    <w:p>
      <w:pPr>
        <w:pStyle w:val="TextBody"/>
        <w:bidi w:val="0"/>
        <w:spacing w:lineRule="atLeast" w:line="240" w:before="126" w:after="0"/>
        <w:ind w:left="1993" w:right="0" w:hanging="0"/>
        <w:jc w:val="left"/>
        <w:rPr/>
      </w:pPr>
      <w:hyperlink r:id="rId5">
        <w:r>
          <w:rPr>
            <w:rStyle w:val="InternetLink"/>
          </w:rPr>
          <w:t>Our Annual Report on Form 10-K for the year ended December 31, 2025, filed with the SEC on February 18,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hyperlink r:id="rId6">
        <w:r>
          <w:rPr>
            <w:rStyle w:val="InternetLink"/>
          </w:rPr>
          <w:t>The information specifically incorporated by reference into our Annual Report on Form 10-K from our Definitive Proxy Statement on Schedule 14A, filed with the SEC on April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2026 and June 30, 2026, filed with the SEC on </w:t>
      </w:r>
      <w:hyperlink r:id="rId7">
        <w:r>
          <w:rPr>
            <w:rStyle w:val="InternetLink"/>
          </w:rPr>
          <w:t>April 28, 2026</w:t>
        </w:r>
      </w:hyperlink>
      <w:r>
        <w:rPr>
          <w:rFonts w:ascii="Times New Roman;Times;serif" w:hAnsi="Times New Roman;Times;serif"/>
          <w:b w:val="false"/>
          <w:i w:val="false"/>
          <w:caps w:val="false"/>
          <w:smallCaps w:val="false"/>
          <w:color w:val="000000"/>
          <w:spacing w:val="4"/>
          <w:sz w:val="20"/>
        </w:rPr>
        <w:t xml:space="preserve"> and </w:t>
      </w:r>
      <w:hyperlink r:id="rId8">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9">
        <w:r>
          <w:rPr>
            <w:rStyle w:val="InternetLink"/>
          </w:rPr>
          <w:t>February 9,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April 6, 2026</w:t>
        </w:r>
      </w:hyperlink>
      <w:r>
        <w:rPr>
          <w:rFonts w:ascii="Times New Roman;Times;serif" w:hAnsi="Times New Roman;Times;serif"/>
          <w:b w:val="false"/>
          <w:i w:val="false"/>
          <w:caps w:val="false"/>
          <w:smallCaps w:val="false"/>
          <w:color w:val="000000"/>
          <w:spacing w:val="4"/>
          <w:sz w:val="20"/>
        </w:rPr>
        <w:t xml:space="preserve"> (excluding Item 7.01 thereto), </w:t>
      </w:r>
      <w:hyperlink r:id="rId11">
        <w:r>
          <w:rPr>
            <w:rStyle w:val="InternetLink"/>
          </w:rPr>
          <w:t>April 10,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June 4,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June 26, 2026</w:t>
        </w:r>
      </w:hyperlink>
      <w:r>
        <w:rPr>
          <w:rFonts w:ascii="Times New Roman;Times;serif" w:hAnsi="Times New Roman;Times;serif"/>
          <w:b w:val="false"/>
          <w:i w:val="false"/>
          <w:caps w:val="false"/>
          <w:smallCaps w:val="false"/>
          <w:color w:val="000000"/>
          <w:spacing w:val="4"/>
          <w:sz w:val="20"/>
        </w:rPr>
        <w:t xml:space="preserve"> and </w:t>
      </w:r>
      <w:hyperlink r:id="rId14">
        <w:r>
          <w:rPr>
            <w:rStyle w:val="InternetLink"/>
          </w:rPr>
          <w:t>July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(“Common Stock”) contained in Item 1 of the Registration Statement on Form 8-A, dated February 9, 2021, filed with the SEC on </w:t>
      </w:r>
      <w:hyperlink r:id="rId15">
        <w:r>
          <w:rPr>
            <w:rStyle w:val="InternetLink"/>
          </w:rPr>
          <w:t>February 9, 2021</w:t>
        </w:r>
      </w:hyperlink>
      <w:r>
        <w:rPr>
          <w:rFonts w:ascii="Times New Roman;Times;serif" w:hAnsi="Times New Roman;Times;serif"/>
          <w:b w:val="false"/>
          <w:i w:val="false"/>
          <w:caps w:val="false"/>
          <w:smallCaps w:val="false"/>
          <w:color w:val="000000"/>
          <w:spacing w:val="4"/>
          <w:sz w:val="20"/>
        </w:rPr>
        <w:t xml:space="preserve"> and any amendment or report filed with the SEC for the purpose of updating the description (such documents filed prior to October 1, 2024 were filed under our former name, Chesapeake Energy Corporation). </w:t>
      </w:r>
      <w:r>
        <mc:AlternateContent>
          <mc:Choice Requires="wps">
            <w:drawing>
              <wp:anchor behindDoc="0" distT="7874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reports and other documents we subsequently file pursuant to Section 13(a), 13(c), 14 or 15(d) of the Exchange Act, prior to the termination of this offering but excluding any information furnished (but not filed) under Item 2.02 or Item 7.01 of any Current Report on Form 8-K, will also be incorporated by reference into this prospectus supplement and deemed to be part of this prospectus from the date of the filing of such reports and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free copy of any of the documents incorporated by reference in this prospectus supplement and the accompanying base prospectus by writing or telephoning us at the following address: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Expand Energy 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Attention: Investor Relations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10000 Energy Drive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Spring, TX 77389 (346) 535-0990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Exhibits to the filings will not be sent, however, unless those exhibits have specifically been incorporated by reference in this prospectus or any accompanying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514725" cy="866775"/>
            <wp:effectExtent l="0" t="0" r="0" b="0"/>
            <wp:docPr id="9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 descr=""/>
                    <pic:cNvPicPr>
                      <a:picLocks noChangeAspect="1" noChangeArrowheads="1"/>
                    </pic:cNvPicPr>
                  </pic:nvPicPr>
                  <pic:blipFill>
                    <a:blip r:embed="rId16"/>
                    <a:stretch>
                      <a:fillRect/>
                    </a:stretch>
                  </pic:blipFill>
                  <pic:spPr bwMode="auto">
                    <a:xfrm>
                      <a:off x="0" y="0"/>
                      <a:ext cx="3514725" cy="86677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3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EXPAND ENERGY CORPORATION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 securities identified above from time to time in one or more offerings. This prospectus provides you with a general description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RISKS. SEE THE “</w:t>
      </w:r>
      <w:r>
        <w:rPr>
          <w:rFonts w:ascii="Times New Roman;Times;serif" w:hAnsi="Times New Roman;Times;serif"/>
          <w:b/>
          <w:i w:val="false"/>
          <w:caps w:val="false"/>
          <w:smallCaps w:val="false"/>
          <w:color w:val="000000"/>
          <w:spacing w:val="-4"/>
          <w:sz w:val="20"/>
          <w:u w:val="single"/>
        </w:rPr>
        <w:t>RISK FACTORS</w:t>
      </w:r>
      <w:r>
        <w:rPr>
          <w:rFonts w:ascii="Times New Roman;Times;serif" w:hAnsi="Times New Roman;Times;serif"/>
          <w:b/>
          <w:i w:val="false"/>
          <w:caps w:val="false"/>
          <w:smallCaps w:val="false"/>
          <w:color w:val="000000"/>
          <w:spacing w:val="-4"/>
          <w:sz w:val="20"/>
        </w:rPr>
        <w:t>” ON PAGE </w:t>
      </w:r>
      <w:hyperlink w:anchor="bRIFA">
        <w:r>
          <w:rPr>
            <w:rStyle w:val="InternetLink"/>
          </w:rPr>
          <w:t>7</w:t>
        </w:r>
      </w:hyperlink>
      <w:r>
        <w:rPr>
          <w:rFonts w:ascii="Times New Roman;Times;serif" w:hAnsi="Times New Roman;Times;serif"/>
          <w:b/>
          <w:i w:val="false"/>
          <w:caps w:val="false"/>
          <w:smallCaps w:val="false"/>
          <w:color w:val="000000"/>
          <w:spacing w:val="-4"/>
          <w:sz w:val="20"/>
        </w:rPr>
        <w:t xml:space="preserve"> OF THIS PROSPECTUS AND ANY SIMILAR SECTION CONTAINED IN THE APPLICABLE PROSPECTUS SUPPLEMENT CONCERNING FACTORS YOU SHOULD CONSIDER BEFORE INVESTING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“EXE.” On November 19, 2024, the last reported sale price of our common stock on the Nasdaq Global Select Market was $95.71 per share.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920" w:after="283"/>
        <w:ind w:left="17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November 20, 2024.</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C3"/>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6"/>
        <w:gridCol w:w="109"/>
        <w:gridCol w:w="109"/>
        <w:gridCol w:w="109"/>
        <w:gridCol w:w="109"/>
        <w:gridCol w:w="39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CSRF">
              <w:r>
                <w:rPr>
                  <w:rStyle w:val="InternetLink"/>
                  <w:spacing w:val="4"/>
                </w:rPr>
                <w:t xml:space="preserve">CAUTIONARY STATEMENT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CSRF">
              <w:r>
                <w:rPr>
                  <w:rStyle w:val="InternetLink"/>
                  <w:spacing w:val="4"/>
                </w:rPr>
                <w:t>2</w:t>
              </w:r>
            </w:hyperlink>
            <w:hyperlink w:anchor="bCS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WYCF">
              <w:r>
                <w:rPr>
                  <w:rStyle w:val="InternetLink"/>
                  <w:spacing w:val="4"/>
                </w:rPr>
                <w:t xml:space="preserve">WHERE YOU CAN FIND MORE INFORMATION; 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WYCF">
              <w:r>
                <w:rPr>
                  <w:rStyle w:val="InternetLink"/>
                  <w:spacing w:val="4"/>
                </w:rPr>
                <w:t>4</w:t>
              </w:r>
            </w:hyperlink>
            <w:hyperlink w:anchor="b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OUCO">
              <w:r>
                <w:rPr>
                  <w:rStyle w:val="InternetLink"/>
                  <w:spacing w:val="4"/>
                </w:rPr>
                <w:t xml:space="preserve">OUR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OUCO">
              <w:r>
                <w:rPr>
                  <w:rStyle w:val="InternetLink"/>
                  <w:spacing w:val="4"/>
                </w:rPr>
                <w:t>6</w:t>
              </w:r>
            </w:hyperlink>
            <w:hyperlink w:anchor="bOU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RIFA">
              <w:r>
                <w:rPr>
                  <w:rStyle w:val="InternetLink"/>
                  <w:spacing w:val="4"/>
                </w:rPr>
                <w:t>7</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UOP">
              <w:r>
                <w:rPr>
                  <w:rStyle w:val="InternetLink"/>
                  <w:spacing w:val="4"/>
                </w:rPr>
                <w:t>8</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DOCS">
              <w:r>
                <w:rPr>
                  <w:rStyle w:val="InternetLink"/>
                  <w:spacing w:val="4"/>
                </w:rPr>
                <w:t>9</w:t>
              </w:r>
            </w:hyperlink>
            <w:hyperlink w:anchor="b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DODS">
              <w:r>
                <w:rPr>
                  <w:rStyle w:val="InternetLink"/>
                  <w:spacing w:val="4"/>
                </w:rPr>
                <w:t>14</w:t>
              </w:r>
            </w:hyperlink>
            <w:hyperlink w:anchor="b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DOOS">
              <w:r>
                <w:rPr>
                  <w:rStyle w:val="InternetLink"/>
                  <w:spacing w:val="4"/>
                </w:rPr>
                <w:t xml:space="preserve">DESCRIPTION OF OTHER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DOOS">
              <w:r>
                <w:rPr>
                  <w:rStyle w:val="InternetLink"/>
                  <w:spacing w:val="4"/>
                </w:rPr>
                <w:t>22</w:t>
              </w:r>
            </w:hyperlink>
            <w:hyperlink w:anchor="bDO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GLSE">
              <w:r>
                <w:rPr>
                  <w:rStyle w:val="InternetLink"/>
                  <w:spacing w:val="4"/>
                </w:rPr>
                <w:t xml:space="preserve">GLOBAL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GLSE">
              <w:r>
                <w:rPr>
                  <w:rStyle w:val="InternetLink"/>
                  <w:spacing w:val="4"/>
                </w:rPr>
                <w:t>23</w:t>
              </w:r>
            </w:hyperlink>
            <w:hyperlink w:anchor="bGL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POD">
              <w:r>
                <w:rPr>
                  <w:rStyle w:val="InternetLink"/>
                  <w:spacing w:val="4"/>
                </w:rPr>
                <w:t>27</w:t>
              </w:r>
            </w:hyperlink>
            <w:hyperlink w:anchor="b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bLEMA">
              <w:r>
                <w:rPr>
                  <w:rStyle w:val="InternetLink"/>
                  <w:spacing w:val="4"/>
                </w:rPr>
                <w:t>28</w:t>
              </w:r>
            </w:hyperlink>
            <w:hyperlink w:anchor="b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bEXP">
              <w:r>
                <w:rPr>
                  <w:rStyle w:val="InternetLink"/>
                  <w:spacing w:val="4"/>
                </w:rPr>
                <w:t>28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bAT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and the applicable prospectus supplement. Accordingly, investors should not place undue reliance on this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information, including our financial statements and the notes thereto, is incorporated in this prospectus by reference to our reports filed with the SEC. Please read “Where You Can Find More Information; Incorporation by Reference” below. You are urged to read this prospectus carefully, including “Risk Factors,” and the documents incorporated by reference in their entirety before investing in our securities.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When we refer to “Expand Energy,” “we,” “our,” “us” and the “Company” in this prospectus, we mean Expand Energy Corporation and its consolidated subsidiaries, unless otherwise specified. When we refer to “you,” we mean the potential holders of the applicable series of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bCSRF"/>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documents incorporated herein by reference, includes “forward-looking statements” within the meaning of Section 27A of the Securities Act and Section 21E of the Securities Exchange Act of 1934 (the “Exchange Act”). Forward-looking statements include our current expectations or forecasts of future events, including matters relating to the Merger (as defined in the section of this prospectus entitled “Our Company”), armed conflict and instability in Europe and the Middle East, along with the effects of the current global economic environment, and the impact of each on our business, financial condition, results of operations and cash flows, market factors, market prices, our ability to meet debt service requirements, our ability to continue to pay cash dividends, the amount and timing of any cash dividends, and our environmental, social and governance (“ESG”) initiatives. Forward-looking and other statements in this prospectus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“expect,” “could,” “may,” “anticipate,” “intend,” “plan,” “ability,” “believe,” “seek,” “see,” “will,” “would,” “estimate,” “forecast,” “target,” “guidance,” “outlook,” “opportunity” or “strategy.”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conservation measures and technological advances could reduce demand for hydrocarbons;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public perceptions of our industry;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in the natural gas and oil exploration and production industry;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volatility of natural gas, oil and natural gas liquids (“NGL”) prices, which are affected by general economic and business conditions, as well as increased demand for (and availability of) alternative fuels and electric vehicles;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regional epidemics or pandemics and related economic turmoil, including supply chain constraints;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write-downs of our natural gas and oil asset carrying values due to low commodity prices;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capital expenditures required to replace our reserves, sustain production and conduct our business;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uncertainties inherent in estimating quantities of natural gas, oil and NGL reserves and projecting future rates of production and the amount and timing of development expenditures;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drilling and operating risks and resulting liabilities;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generate profits or achieve targeted results in drilling and well operations;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leasehold terms expiring before production can be established;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our commodity price risk management activities;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uncertainties, risks and costs associated with natural gas and oil operations;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need to secure adequate supplies of water for our drilling operations and to dispose of or recycle the water used;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pipeline and gathering system capacity constraints and transportation interruptions;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participate in the liquefied natural gas export industry;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terrorist activities and/or cyber-attacks adversely impacting our operations; </w:t>
      </w:r>
      <w:r>
        <mc:AlternateContent>
          <mc:Choice Requires="wps">
            <w:drawing>
              <wp:anchor behindDoc="0" distT="0" distB="0" distL="254000" distR="0" simplePos="0" locked="0" layoutInCell="1" allowOverlap="1" relativeHeight="113">
                <wp:simplePos x="0" y="0"/>
                <wp:positionH relativeFrom="column">
                  <wp:align>left</wp:align>
                </wp:positionH>
                <wp:positionV relativeFrom="line">
                  <wp:posOffset>635</wp:posOffset>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failure to protect personal information and data and compliance with data privacy and security laws and regulations;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of our business by natural or human causes beyond our control;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deterioration in general economic, business or industry conditions;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inflation and commodity price volatility, including as a result of armed conflict and instability in Europe and the Middle East, along with the effects of the current global economic environment, on our business, financial condition, employees, contractors, vendors and the global demand for natural gas and oil and on U.S. and global financial markets;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access the capital markets on favorable terms;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limitations on our financial flexibility due to our level of indebtedness and restrictive covenants from our indebtedness;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acquisitions or dispositions, or potential acquisitions or dispositions, including risks related to the Merger, such as risks related to loss of management personnel, other key employees, customers, suppliers, vendors, landlords, joint venture partners and other business partners following the Merger; risks related to disruption of management time from ongoing business operations due to the transaction; the risk of any unexpected costs or expenses resulting from the transaction; the outcome of existing litigation and the risk of any further litigation relating to the transaction; the risk that problems may arise in successfully integrating the businesses of the companies, which may result in the combined company not operating as effectively and efficiently as expected; and the risk that the combined company may be unable to achieve synergies or other anticipated benefits of the transaction or it may take longer than expected to achieve those synergies or benefits;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and maintain ESG certifications, goals and commitments;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legislative, regulatory and ESG initiatives, addressing environmental concerns, including initiatives addressing the impact of global climate change or further regulating hydraulic fracturing, methane emissions, flaring or water disposal;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and state tax proposals affecting our industry;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an annual limitation on the utilization of our tax attributes, as well as trading in our common stock, additional issuance of common stock, and certain other stock transactions, which could lead to an additional, potentially more restrictive, annual limitation; and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that are described under “Risk Factors” in our Annual Report on Form 10-K for the year ended December 31, 2023, filed with the SEC on February 21, 2024, and our Quarterly Report on Form 10-Q for the quarterly period ended September 30, 2024, filed with the SEC on October 29, 2024, or referenced in this prospectus.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not to place undue reliance on the forward-looking statements contained in this prospectus, which speak only as of the filing date, and we undertake no obligation to update this information. We urge you to carefully review and consider the disclosures in this prospectus and our other filings with the SEC that attempt to advise interested parties of the risks and factors that may affect our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WYC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Available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web site address is https://www.expandenergy.com/. The information on our web site, however, is not, and should not be deemed to be,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accompanying prospectus supplement incorporate by reference the documents set forth below that have previously been filed with the SEC (such documents filed prior to October 1, 2024 were filed under our former name prior to the Merger, Chesapeake Energy Corporation): </w:t>
      </w:r>
    </w:p>
    <w:p>
      <w:pPr>
        <w:pStyle w:val="TextBody"/>
        <w:bidi w:val="0"/>
        <w:spacing w:lineRule="atLeast" w:line="240" w:before="126"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w:t>
      </w:r>
      <w:hyperlink r:id="rId17">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year ended December 31, 2023, filed with the SEC on February 21, 2024. </w:t>
      </w:r>
      <w:r>
        <mc:AlternateContent>
          <mc:Choice Requires="wps">
            <w:drawing>
              <wp:anchor behindDoc="0" distT="8001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from our Definitive Proxy Statement on </w:t>
      </w:r>
      <w:hyperlink r:id="rId18">
        <w:r>
          <w:rPr>
            <w:rStyle w:val="InternetLink"/>
          </w:rPr>
          <w:t>Schedule 14A</w:t>
        </w:r>
      </w:hyperlink>
      <w:r>
        <w:rPr>
          <w:rFonts w:ascii="Times New Roman;Times;serif" w:hAnsi="Times New Roman;Times;serif"/>
          <w:b w:val="false"/>
          <w:i w:val="false"/>
          <w:caps w:val="false"/>
          <w:smallCaps w:val="false"/>
          <w:color w:val="000000"/>
          <w:spacing w:val="4"/>
          <w:sz w:val="20"/>
        </w:rPr>
        <w:t xml:space="preserve">, filed with the SEC on April 26, 2024. </w:t>
      </w:r>
      <w:r>
        <mc:AlternateContent>
          <mc:Choice Requires="wps">
            <w:drawing>
              <wp:anchor behindDoc="0" distT="7874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2024, June 30, 2024 and September 30, 2024, filed with the SEC on </w:t>
      </w:r>
      <w:hyperlink r:id="rId19">
        <w:r>
          <w:rPr>
            <w:rStyle w:val="InternetLink"/>
          </w:rPr>
          <w:t>April 30, 2024</w:t>
        </w:r>
      </w:hyperlink>
      <w:r>
        <w:rPr>
          <w:rFonts w:ascii="Times New Roman;Times;serif" w:hAnsi="Times New Roman;Times;serif"/>
          <w:b w:val="false"/>
          <w:i w:val="false"/>
          <w:caps w:val="false"/>
          <w:smallCaps w:val="false"/>
          <w:color w:val="000000"/>
          <w:spacing w:val="4"/>
          <w:sz w:val="20"/>
        </w:rPr>
        <w:t xml:space="preserve">, </w:t>
      </w:r>
      <w:hyperlink r:id="rId20">
        <w:r>
          <w:rPr>
            <w:rStyle w:val="InternetLink"/>
          </w:rPr>
          <w:t>July 29, 2024</w:t>
        </w:r>
      </w:hyperlink>
      <w:r>
        <w:rPr>
          <w:rFonts w:ascii="Times New Roman;Times;serif" w:hAnsi="Times New Roman;Times;serif"/>
          <w:b w:val="false"/>
          <w:i w:val="false"/>
          <w:caps w:val="false"/>
          <w:smallCaps w:val="false"/>
          <w:color w:val="000000"/>
          <w:spacing w:val="4"/>
          <w:sz w:val="20"/>
        </w:rPr>
        <w:t xml:space="preserve"> and </w:t>
      </w:r>
      <w:hyperlink r:id="rId21">
        <w:r>
          <w:rPr>
            <w:rStyle w:val="InternetLink"/>
          </w:rPr>
          <w:t>October 29, 2024</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874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22">
        <w:r>
          <w:rPr>
            <w:rStyle w:val="InternetLink"/>
          </w:rPr>
          <w:t>January 11, 2024</w:t>
        </w:r>
      </w:hyperlink>
      <w:r>
        <w:rPr>
          <w:rFonts w:ascii="Times New Roman;Times;serif" w:hAnsi="Times New Roman;Times;serif"/>
          <w:b w:val="false"/>
          <w:i w:val="false"/>
          <w:caps w:val="false"/>
          <w:smallCaps w:val="false"/>
          <w:color w:val="000000"/>
          <w:spacing w:val="4"/>
          <w:sz w:val="20"/>
        </w:rPr>
        <w:t xml:space="preserve"> (File No. 001-13726), </w:t>
      </w:r>
      <w:hyperlink r:id="rId23">
        <w:r>
          <w:rPr>
            <w:rStyle w:val="InternetLink"/>
          </w:rPr>
          <w:t>April 5, 2024</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June 6, 2024</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June 18, 2024</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September 26, 2024</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October 1, 2024</w:t>
        </w:r>
      </w:hyperlink>
      <w:r>
        <w:rPr>
          <w:rFonts w:ascii="Times New Roman;Times;serif" w:hAnsi="Times New Roman;Times;serif"/>
          <w:b w:val="false"/>
          <w:i w:val="false"/>
          <w:caps w:val="false"/>
          <w:smallCaps w:val="false"/>
          <w:color w:val="000000"/>
          <w:spacing w:val="4"/>
          <w:sz w:val="20"/>
        </w:rPr>
        <w:t xml:space="preserve"> (excluding Item 7.01 thereto), </w:t>
      </w:r>
      <w:hyperlink r:id="rId28">
        <w:r>
          <w:rPr>
            <w:rStyle w:val="InternetLink"/>
          </w:rPr>
          <w:t>November 1, 2024</w:t>
        </w:r>
      </w:hyperlink>
      <w:r>
        <w:rPr>
          <w:rFonts w:ascii="Times New Roman;Times;serif" w:hAnsi="Times New Roman;Times;serif"/>
          <w:b w:val="false"/>
          <w:i w:val="false"/>
          <w:caps w:val="false"/>
          <w:smallCaps w:val="false"/>
          <w:color w:val="000000"/>
          <w:spacing w:val="4"/>
          <w:sz w:val="20"/>
        </w:rPr>
        <w:t xml:space="preserve">, </w:t>
      </w:r>
      <w:hyperlink r:id="rId29">
        <w:r>
          <w:rPr>
            <w:rStyle w:val="InternetLink"/>
          </w:rPr>
          <w:t>November 7, 2024</w:t>
        </w:r>
      </w:hyperlink>
      <w:r>
        <w:rPr>
          <w:rFonts w:ascii="Times New Roman;Times;serif" w:hAnsi="Times New Roman;Times;serif"/>
          <w:b w:val="false"/>
          <w:i w:val="false"/>
          <w:caps w:val="false"/>
          <w:smallCaps w:val="false"/>
          <w:color w:val="000000"/>
          <w:spacing w:val="4"/>
          <w:sz w:val="20"/>
        </w:rPr>
        <w:t xml:space="preserve"> and </w:t>
      </w:r>
      <w:hyperlink r:id="rId30">
        <w:r>
          <w:rPr>
            <w:rStyle w:val="InternetLink"/>
          </w:rPr>
          <w:t>November 15, 2024</w:t>
        </w:r>
      </w:hyperlink>
      <w:r>
        <w:rPr>
          <w:rFonts w:ascii="Times New Roman;Times;serif" w:hAnsi="Times New Roman;Times;serif"/>
          <w:b w:val="false"/>
          <w:i w:val="false"/>
          <w:caps w:val="false"/>
          <w:smallCaps w:val="false"/>
          <w:color w:val="000000"/>
          <w:spacing w:val="4"/>
          <w:sz w:val="20"/>
        </w:rPr>
        <w:t xml:space="preserve"> (only with respect to the 8-K filing for Items 8.01 and 9.01 related to historical and pro forma financial and reserves information of Southwestern Energy Company and the Company). </w:t>
      </w:r>
      <w:r>
        <mc:AlternateContent>
          <mc:Choice Requires="wps">
            <w:drawing>
              <wp:anchor behindDoc="0" distT="7874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(“Common Stock”) contained in Item 1 of the Registration Statement on </w:t>
      </w:r>
      <w:hyperlink r:id="rId31">
        <w:r>
          <w:rPr>
            <w:rStyle w:val="InternetLink"/>
          </w:rPr>
          <w:t>Form 8-A</w:t>
        </w:r>
      </w:hyperlink>
      <w:r>
        <w:rPr>
          <w:rFonts w:ascii="Times New Roman;Times;serif" w:hAnsi="Times New Roman;Times;serif"/>
          <w:b w:val="false"/>
          <w:i w:val="false"/>
          <w:caps w:val="false"/>
          <w:smallCaps w:val="false"/>
          <w:color w:val="000000"/>
          <w:spacing w:val="4"/>
          <w:sz w:val="20"/>
        </w:rPr>
        <w:t xml:space="preserve">, dated February 9, 2021, filed with the SEC on February 9, 2021 and any amendment or report filed with the SEC for the purpose of updating the description. </w:t>
      </w:r>
      <w:r>
        <mc:AlternateContent>
          <mc:Choice Requires="wps">
            <w:drawing>
              <wp:anchor behindDoc="0" distT="7874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reports and other documents we subsequently file pursuant to Section 13(a), 13(c), 14 or 15(d) of the Exchange Act, prior to the termination of this offering but excluding any information furnished (but not filed) under Item 2.02 or Item 7.01 of any Current Report on Form 8-K, will also be incorporated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 into this prospectus and deemed to be part of this prospectus from the date of the filing of such reports and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free copy of any of the documents incorporated by reference in this prospectus by writing or telephoning us at the following address: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Expand Energy 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Attention: Investor Relations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6100 North Western Avenue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Oklahoma City, OK 73118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(405) 848-8000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Exhibits to the filings will not be sent, however, unless those exhibits have specifically been incorporated by reference in this prospectus or any accompanying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OUCO"/>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Established through the combination of Chesapeake Energy Corporation (“Chesapeake”) and Southwestern Energy Company (“Southwestern”) (the “Merger”), Expand Energy is the largest independent natural gas producer in the United States, based on net daily production, and is focused on responsibly developing an abundant supply of natural gas, oil and NGLs to expand energy access for all. Our operations are located in Louisiana in the Haynesville/Bossier Shales, in Pennsylvania in the Marcellus Shale, and in West Virginia and Ohio in the Marcellus and Utica Shales.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strategy is to create shareholder value through the responsible development of our significant resource plays while continuing to be a leading provider of natural gas to markets in need. We continue to focus on improving margins through operating efficiencies and financial discipline and improving our ESG performance. To accomplish these goals, we intend to allocate our human resources and capital expenditures to projects we believe offer the highest cash return on capital invested, to deploy leading drilling and completion technology throughout our portfolio, and to take advantage of acquisition and divestiture opportunities to strengthen our portfolio. We also intend to continue to dedicate capital to projects that reduce the environmental impact of our production activities.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6100 North Western Avenue, Oklahoma City, Oklahoma 73118, and our telephone number is (405) 848-8000. We maintain a website at https://www.expandenergy.com/. The information contained on, or that may be accessed through, our website is not part of, and is not incorporated into, this prospectus or the registration statement of which it forms a part.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bRIFA"/>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including but not limited to, the matters addressed in the section titled “Cautionary Statement Regarding Forward-Looking Statements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as updated by our subsequent filings under the Exchange Act, and the risk factors and other information contained in or incorporated by reference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“Cautionary Statement Regarding Forward-Looking Statements” included in our most recent Annual Report on Form 10-K and any subsequent Quarterly Reports on Form 10-Q or Current Reports on Form 8-K.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U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the securities as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DOC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Third Amended and Restated Certificate of Incorporation of Expand Energy (the “Expand Energy Charter”) provides that the Company is authorized to issue 495 million shares of capital stock, divided into two classes consisting of (a) 450 million shares of common stock, par value $0.01 per share, and (b) 45 million shares of preferred stock, par value $0.01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18, 2024, there were 231,096,625 shares of Common Stock and 0 shares of preferred stock outstanding and 1,260,494, 3,099,093 and 3,680,062 Class A Warrants to purchase Common Stock (“Class A Warrants”), Class B Warrants to purchase Common Stock (“Class B Warrants”) and Class C Warrants to purchase Common Stock (“Class C Warrants”), respectively, outstanding (collectively, the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shares of Common Stock, as such, shall be entitled to one vote for each share of Common Stock held of record by such holder on all matters on which shareholders generally are entitled to vote.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any then-outstanding shares of preferred stock, the holders of Common Stock may receive such dividends as the Board of Directors (the “Board”) may declare in its discretion out of legally available funds. Holders of Common Stock will be entitled to receive all of the remaining assets of the Company available for distribution to its shareholders, ratably in proportion to the number of shares of Common Stock held by them.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Common Stock is entitled to one vote for each share on all matters submitted to a vote of the shareholders, including the election or removal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Third Amended and Restated Bylaws of Expand Energy (the “Expand Energy Bylaws”) provide that the number of directors which shall constitute the whole board of directors shall not be less than three (3) nor more than eleven (11), and shall be determined by resolution adopted by a vote of a majority of the entire Board then in office, or at an annual or special meeting of shareholders by the affirmative vote of at least a majority of the then outstanding shares of the Company’s capital stock entitled to vote thereon. No reduction in number shall have the effect of removing any director prior to the expiration of his term. No person may stand for election to, or be elected to, the Board or be appointed by the directors to fill a vacancy on the Board who shall have made, or be making, improper or unlawful use of the Company’s confidential information. All elections of directors shall be by written ballot unless otherwise provided in the Expand Energy Charter. However, if authorized by the board of directors in its sole discretion, the ballot may be submitted by electronic transmission, provided that any such electronic transmission must either set forth, or be submitted with, information from which it can be determined that the electronic transmission was authorized by the shareholder or proxyholder. Vacancies and newly created directorships resulting from any increase in the authorized number of directors may be filled by a majority of the directors then in office, though less than a quorum, and the directors so chosen shall hold office until the next annual meeting of shareholders and until his or her successor is duly elected and qualified, or until his or her earlier resignation or removal.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from time to time declare, and the Company may pay, dividends (payable in cash, property or shares of the Company’s capital stock) on the Company’s outstanding shares of capital stock, subject to applicable law and the Expand Energy Charter and may be paid in cash, in property or in shares of the capital stock, or in any combination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the Expand Energy Bylaws or Expand Energy Charter, the common stock will have all rights and privileges typically associated with such securities as set forth in the Oklahoma General Corporation Act (the “OGCA”) in relation to rights upon liquidation.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 Energy Charter provides that shares of preferred stock may be issued from time to time in one or more series. The Board will be authorized to fix the voting rights, if any, designations, powers, preferences, the relative, participating, optional or other special rights and any qualifications, limitations and restrictions thereof, applicable to the shares of each series. The Board may, without shareholder approval, issue preferred stock with voting and other rights that could adversely affect the voting power and other rights of the holders of the Common Stock and could have anti-takeover effects. The ability of the Board to issue preferred stock without shareholder approval could have the effect of delaying, deferring or preventing a change of control of the Company or the removal of existing management. The Company has no preferred stock outstanding at the date 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each holder of a Class A Warrant is entitled to purchase 1.22 shares of the Company’s Common Stock for $22.576 per share, each holder of a Class B Warrant is entitled to purchase 1.22 shares of the Company’s Common Stock for $26.254 per share, and each holder of a Class C Warrant is entitled to purchase 1.22 shares of the Company’s Common Stock for $29.562 per share, subject to certain adjustments. Warrants must be exercised for a whole share of Common Stock. The Warrants will expire on February 9, 2026, or earlier upon liquidation.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have been issued in registered form pursuant to each applicable warrant agreement, by and between Equiniti Trust Company, as warrant agent, and us (each, a “Warrant Agreement”). You should review a copy of each applicable Warrant Agreement, which is filed as an exhibit to this prospectus, for a complete description of the terms and conditions applicable to the Warrants. Each Warrant Agreement provides that the terms of the Warrants may be amended without the consent of any holder to cure any ambiguity or to correct or supplement any defective provision, but any amendment, modification or waiver that adversely affects the interests of a holder of the applicable Warrant disproportionally relative to any other holder in any material respect requires the approval of each affected warrant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Warrants are outstanding and unexpired, (i) declare a dividend or make a distribution on our Common Stock in Common Stock, (ii) split, subdivide, recapitalize, restructure or reclassify the outstanding Common Stock into a greater number of shares of Common Stock or effect a similar transaction or (iii) combine, recapitalize, restructure or reclassify the outstanding Common Stock into a smaller number of shares of Common Stock or effect a similar transaction, the number of shares of Common Stock issuable upon exercise of a warrant at the time of the record date for such dividend or distribution or the effective date of such split, subdivision, combination, recapitalization, restructuring, reclassification or similar transaction shall be proportionately adjusted so that the applicable warrant holder, after such date, shall be entitled to purchase the number of shares of Common Stock which such warrant holder would have owned or been entitled to receive on such date had such applicable warrants been exercised immediately prior to such date. In such event, the exercise price in effect at the time of the record date for such dividend or distribution or the effective date of such split, subdivision, combination, recapitalization, restructuring, reclassification or similar transaction shall be adjusted to the number obtained by dividing (x) the product of (i) the number of shares of Common Stock issuable upon the exercise of a warrant before such adjustment and (ii) the exercise price in effect immediately prior to the record date or effective date, as the case may be, for such dividend, distribution, split, subdivision, combination, recapitalization, restructuring, reclassification or similar transaction giving rise to this adjustment by (y) the new number of shares of Common Stock issuable upon exercise of the applicable warrants determined pursuant to the immediately preceding sentence.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may be exercised upon surrender of the warrant certificate on or prior to the expiration date at the offices of the warrant agent, with the exercise form on the reverse side of the warrant certificate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shareholders. </w:t>
      </w:r>
    </w:p>
    <w:p>
      <w:pPr>
        <w:pStyle w:val="TextBody"/>
        <w:bidi w:val="0"/>
        <w:spacing w:lineRule="atLeast" w:line="240" w:before="23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Anti-Takeover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Oklahoma General Corporation Act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Oklahoma law, the Expand Energy Charter and the Expand Energy Bylaws summarized below could make certain change of control transactions more difficult, including acquisitions of the Company by means of a tender offer, proxy contest or otherwise, as well as removal of the incumbent directors. These provisions may have the effect of preventing changes in management. It is possible that these provisions would make it more difficult to accomplish or deter transactions that a shareholder might consider in his or her best interest, including those attempts that might result in a premium over the market price for the Common Stock.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Number and Election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 Energy Bylaws provide that the Board shall be comprised of no less than three and no more than 11 directors, with the number of directors to be fixed from time to time by resolution adopted by the Board. </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Calling of Special Meetings of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 Energy Bylaws provide that special meetings of shareholders may be called only by (i) the chairman of the Board, (ii) the chief executive officer or the president of the Company, (iii) the Board acting pursuant to a resolution adopted by a majority of the directors of the Board then in office or (iv) the secretary of the Company upon the delivery of a written request to the Company by the holders of at least 35% of the voting power of the Company’s then outstanding capital stock in the manner provided in the Expand Energy Bylaws. </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Amendments to the Expand Energy Charter and Expand Energy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 Energy Charter may be adopted, repealed, altered, amended or rescinded by the affirmative vote of the holders of at least a majority of the shares of the Company’s then outstanding capital stock entitled to vote thereon, except that the affirmative vote of the holders of at least sixty percent (60%) of the voting power of the Company’s then outstanding capital stock entitled to vote is required to amend, repeal, or adopt any provision inconsistent with Articles V, VI, VII, VIII, IX, X or XI of the Expand Energy Charter.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 Energy Bylaws may be adopted, repealed, altered, amended or rescinded by either the Board or the affirmative vote of the holders of at least a majority of the shares of the Company’s then outstanding capital stock entitled to vote thereon (a “Shareholder Adopted Bylaw”), except that Section 5.8, Section 5.9 and Article VII of the Expand Energy Bylaws may not be amended by the Board or by a Shareholder Adopted Bylaw without the approval of sixty percent (60%) of the voting power of the then outstanding shares of the Company’s capital stock entitled to vote at an election of directors. In addition, any Shareholder Adopted Bylaw that is approved by sixty percent (60%) or more of the voting power of the Company’s then outstanding capital stock entitled to vote at an election of directors (a “Supermajority Bylaw”) may only be amended, altered or repealed by the affirmative vote of holders of at least sixty percent (60%) of the voting power of the Company’s then outstanding capital stock entitled to vote at an election of directors, and the Board may not adopt any new bylaw, or amend, alter or repeal any existing bylaw, if such adoption, amendment, alteration or repeal would be directly contrary to a Supermajority Bylaw. </w:t>
      </w:r>
    </w:p>
    <w:p>
      <w:pPr>
        <w:pStyle w:val="TextBody"/>
        <w:bidi w:val="0"/>
        <w:spacing w:lineRule="atLeast" w:line="240" w:before="23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Limitations on Shareholder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 notice is required for shareholders to nominate directors or to submit proposals for consideration at meetings of shareholders. These procedures provide that notice of shareholder proposals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must be timely given in writing to the corporate secretary prior to the meeting at which the action is to be taken. Generally, to be timely, notice must be received at the principal executive offices not less than 90 days nor more than 120 days prior to the anniversary of the immediately preceding annual meeting of shareholders. The Expand Energy Bylaws specify in detail the requirements as to form and content of all shareholder notices. These requirements may preclude shareholders from bringing matters before the shareholders at an annual or special meeting. The Expand Energy Bylaws also describe certain criteria for when shareholder-requested meetings need not be held.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may be removed from office at any time by the affirmative vote of holders of at least a majority of the outstanding shares of common stock entitled generally to vote in the election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Newly Created Directorships and Vacancies on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Expand Energy Bylaws, any newly created directorships resulting from any increase in the number of directors and any vacancies on the Board for any reason may be filled by a majority vote of the directors then in office, even if less than a quorum, and the directors so chosen shall hold office until the next annual meeting of shareholders and until his or her successor is duly elected and qualified, or until his or her earlier resignation or removal.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but Unissued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authorized but unissued shares of common stock are available for future issuance. The Company may use these additional shares of common stock for a variety of corporate purposes, including future public offerings to raise additional capital, acquisitions and employee benefit plans. The existence of authorized but unissued shares of common stock could render more difficult or discourage an attempt to obtain control of the Company by means of a proxy contest, tender offer, merger or otherwise.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Exclusive Forum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 Energy Charter provides that, unless the Company consents in writing to the selection of an alternative forum, the state courts within the State of Oklahoma (or, if no such state court has jurisdiction, the United States District Court for the Western District of Oklahoma) will be the sole and exclusive forum for (i) any derivative action or proceeding brought on the Company’s behalf, (ii) any action asserting a claim of breach of a fiduciary duty owed by any current or former directors, officers, other employees or shareholders to the Company or to the shareholders, (iii) any action asserting a claim arising pursuant to any provision of the Oklahoma General Corporation Act, the Expand Energy Charter or the Expand Energy Bylaws (as each may be amended from time to time), or (iv) any action asserting a claim related to or involving the Company that is governed by the internal affairs doctrine.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Article VIII of the Expand Energy Charters provides that unless we consent in writing to the selection of an alternative forum, the federal courts shall be the sole and exclusive forum for the resolution of any complaint asserting a cause of action arising under the Securities Act against us or any of our directors, officers, other employees or agents. Section 22 of the Securities Act, however, created concurrent jurisdiction for federal and state courts over all suits brought to enforce any duty or liability created by the Securities Act or the rules and regulations thereunder. However, we note that there is uncertainty as to whether a court would enforce such provisions, and that investors cannot waive compliance with the federal securities laws and the rules and regulations thereunder. The foregoing descriptions of the Expand Energy Charter and Expand Energy Bylaws do not purport to be complete and are qualified in their entirety by reference to the Expand Energy Charter and Expand Energy Bylaws, copies of which are attached hereto as Exhibits 3.1 and 3.2 and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Warrant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Equiniti Trust Company is the transfer agent and registrar for our Common Stock and warrant agent for our Warrants. We have agreed to indemnify Equiniti Trust Company in its roles as transfer agent and warrant agent, its agents and each of its shareholders, directors, officers and employees against all liabilities, including judgments, costs and reasonable counsel fees that may arise out of acts performed or omitted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activities in that capacity, except for any liability due to any gross negligence, willful misconduct or bad faith of the indemnified person or entity.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Common Stock, Class A Warrants, Class B Warrants and Class C Warrants are listed on Nasdaq under the symbols “EXE,” “EXEEW,” “EXEEZ” and “EXEEL,” respectively.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DOD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prospectus supplement to what extent the general terms and provisions described in this prospectus apply to a particular series of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issued under an indenture between us and Regions Bank,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section only, “Expand Energy,” “we,” “our” or “us” refer to Expand Energy Corporation excluding our subsidiaries, unless expressly stated or the context otherwise requires.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ranking of the debt securities (including the terms of any subordination provisions); </w:t>
      </w:r>
      <w:r>
        <mc:AlternateContent>
          <mc:Choice Requires="wps">
            <w:drawing>
              <wp:anchor behindDoc="0" distT="7874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(expressed as a percentage of the principal amount) at which we will sell the debt securities; </w:t>
      </w:r>
      <w:r>
        <mc:AlternateContent>
          <mc:Choice Requires="wps">
            <w:drawing>
              <wp:anchor behindDoc="0" distT="7874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7874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securities of the series is payable; </w:t>
      </w:r>
      <w:r>
        <mc:AlternateContent>
          <mc:Choice Requires="wps">
            <w:drawing>
              <wp:anchor behindDoc="0" distT="7874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r>
        <mc:AlternateContent>
          <mc:Choice Requires="wps">
            <w:drawing>
              <wp:anchor behindDoc="0" distT="7874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r>
        <mc:AlternateContent>
          <mc:Choice Requires="wps">
            <w:drawing>
              <wp:anchor behindDoc="0" distT="7874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or periods within which, the price or prices at which and the terms and conditions upon which we may redeem the debt securities; </w:t>
      </w:r>
      <w:r>
        <mc:AlternateContent>
          <mc:Choice Requires="wps">
            <w:drawing>
              <wp:anchor behindDoc="0" distT="7874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r>
        <mc:AlternateContent>
          <mc:Choice Requires="wps">
            <w:drawing>
              <wp:anchor behindDoc="0" distT="0" distB="0" distL="254000" distR="0" simplePos="0" locked="0" layoutInCell="1" allowOverlap="1" relativeHeight="138">
                <wp:simplePos x="0" y="0"/>
                <wp:positionH relativeFrom="column">
                  <wp:align>left</wp:align>
                </wp:positionH>
                <wp:positionV relativeFrom="line">
                  <wp:posOffset>635</wp:posOffset>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and the price or prices at which we will repurchase debt securities at the option of the holders of debt securities and other detailed terms and provisions of these repurchase obligations; </w:t>
      </w:r>
      <w:r>
        <mc:AlternateContent>
          <mc:Choice Requires="wps">
            <w:drawing>
              <wp:anchor behindDoc="0" distT="6858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issued, if other than denominations of $1,000 and any integral multiple thereof; </w:t>
      </w:r>
      <w:r>
        <mc:AlternateContent>
          <mc:Choice Requires="wps">
            <w:drawing>
              <wp:anchor behindDoc="0" distT="6858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the form of certificated debt securities or global debt securities; </w:t>
      </w:r>
      <w:r>
        <mc:AlternateContent>
          <mc:Choice Requires="wps">
            <w:drawing>
              <wp:anchor behindDoc="0" distT="6858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principal amount of the debt securities payable upon declaration of acceleration of the maturity date, if other than the principal amount; </w:t>
      </w:r>
      <w:r>
        <mc:AlternateContent>
          <mc:Choice Requires="wps">
            <w:drawing>
              <wp:anchor behindDoc="0" distT="6858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r>
        <mc:AlternateContent>
          <mc:Choice Requires="wps">
            <w:drawing>
              <wp:anchor behindDoc="0" distT="6858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currency, currencies or currency units in which payment of principal of, premium and interest on the debt securities will be made; </w:t>
      </w:r>
      <w:r>
        <mc:AlternateContent>
          <mc:Choice Requires="wps">
            <w:drawing>
              <wp:anchor behindDoc="0" distT="6858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r>
        <mc:AlternateContent>
          <mc:Choice Requires="wps">
            <w:drawing>
              <wp:anchor behindDoc="0" distT="6731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r>
        <mc:AlternateContent>
          <mc:Choice Requires="wps">
            <w:drawing>
              <wp:anchor behindDoc="0" distT="6731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any security provided for the debt securities; </w:t>
      </w:r>
      <w:r>
        <mc:AlternateContent>
          <mc:Choice Requires="wps">
            <w:drawing>
              <wp:anchor behindDoc="0" distT="6731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r>
        <mc:AlternateContent>
          <mc:Choice Requires="wps">
            <w:drawing>
              <wp:anchor behindDoc="0" distT="6731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deletion of or change in the covenants described in this prospectus or in the indenture with respect to the debt securities; </w:t>
      </w:r>
      <w:r>
        <mc:AlternateContent>
          <mc:Choice Requires="wps">
            <w:drawing>
              <wp:anchor behindDoc="0" distT="6731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depositaries, interest rate calculation agents, exchange rate calculation agents or other agents with respect to the debt securities; </w:t>
      </w:r>
      <w:r>
        <mc:AlternateContent>
          <mc:Choice Requires="wps">
            <w:drawing>
              <wp:anchor behindDoc="0" distT="6731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r>
        <mc:AlternateContent>
          <mc:Choice Requires="wps">
            <w:drawing>
              <wp:anchor behindDoc="0" distT="6731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r>
        <mc:AlternateContent>
          <mc:Choice Requires="wps">
            <w:drawing>
              <wp:anchor behindDoc="0" distT="6731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of our direct or indirect subsidiaries will guarantee the debt securities of that series, including the terms of subordination, if any, of such guarantees. (Section 2.2) </w:t>
      </w:r>
      <w:r>
        <mc:AlternateContent>
          <mc:Choice Requires="wps">
            <w:drawing>
              <wp:anchor behindDoc="0" distT="6731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denominate the purchase price of any of the debt securities in a foreign currency or currencies or a foreign currency unit or units, or if the principal of and any premium and interest on any series of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and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any restrictive covenants applicable to any issue of debt securities. (Article IV)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Protection in the Event of a 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and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consolidate with or merge with or into, or convey, transfer or lease all or substantially all of our properties and assets to any person (a “successor person”)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surviving entity or the successor person (if other than Expand Energy) is a corporation, partnership, trust or other entity organized and validly existing under the laws of any U.S. domestic jurisdiction and expressly assumes our obligations on the debt securities and under the indenture; and </w:t>
      </w:r>
      <w:r>
        <mc:AlternateContent>
          <mc:Choice Requires="wps">
            <w:drawing>
              <wp:anchor behindDoc="0" distT="7366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Default or Event of Default, shall have occurred and be continuing.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above, any of our subsidiaries may consolidate with, merge into or transfer all or part of its properties to us. (Section 5.1)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Event of Default” means with respect to any series of debt securities, any of the following: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r>
        <mc:AlternateContent>
          <mc:Choice Requires="wps">
            <w:drawing>
              <wp:anchor behindDoc="0" distT="0" distB="0" distL="254000" distR="0" simplePos="0" locked="0" layoutInCell="1" allowOverlap="1" relativeHeight="156">
                <wp:simplePos x="0" y="0"/>
                <wp:positionH relativeFrom="column">
                  <wp:align>left</wp:align>
                </wp:positionH>
                <wp:positionV relativeFrom="line">
                  <wp:posOffset>635</wp:posOffset>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principal of any security of that series at its maturity; </w:t>
      </w:r>
      <w:r>
        <mc:AlternateContent>
          <mc:Choice Requires="wps">
            <w:drawing>
              <wp:anchor behindDoc="0" distT="7239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Expand Energy and the trustee receive written notice from the holders of not less than 25% in principal amount of the outstanding debt securities of that series as provided in the indenture; </w:t>
      </w:r>
      <w:r>
        <mc:AlternateContent>
          <mc:Choice Requires="wps">
            <w:drawing>
              <wp:anchor behindDoc="0" distT="7239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voluntary or involuntary events of bankruptcy, insolvency or reorganization of Expand Energy; </w:t>
      </w:r>
      <w:r>
        <mc:AlternateContent>
          <mc:Choice Requires="wps">
            <w:drawing>
              <wp:anchor behindDoc="0" distT="7366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with respect to debt securities of that series that is described in the applicable prospectus supplement. (Section 6.1)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holder has previously given to the trustee written notice of a continuing Event of Default with respect to debt securities of that series; and </w:t>
      </w:r>
      <w:r>
        <mc:AlternateContent>
          <mc:Choice Requires="wps">
            <w:drawing>
              <wp:anchor behindDoc="0" distT="0" distB="0" distL="254000" distR="0" simplePos="0" locked="0" layoutInCell="1" allowOverlap="1" relativeHeight="161">
                <wp:simplePos x="0" y="0"/>
                <wp:positionH relativeFrom="column">
                  <wp:align>left</wp:align>
                </wp:positionH>
                <wp:positionV relativeFrom="line">
                  <wp:posOffset>635</wp:posOffset>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modify, amend or supplement the indenture or the debt securities of any series without the consent of any holder of any debt security: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covenants in the indenture described above under the heading “Consolidation, Merger and Sale of Assets”;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uncertificated securities in addition to or in place of certificated securities;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guarantees with respect to debt securities of any series or secure debt securities of any series;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surrender any of our rights or powers under the indenture;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covenants or events of default for the benefit of the holders of debt securities of any series;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applicable procedures of the applicable depositary;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of debt securities;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issuance of and establish the form and terms and conditions of debt securities of any series as permitted by the indenture;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effect the appointment of a successor trustee with respect to the debt securities of any series and to add to or change any of the provisions of the indenture to provide for or facilitate administration by more than one trustee;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requirements of the SEC in order to effect or maintain the qualification of the indenture under the Trust Indenture Act; or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conform the text of the indenture or any debt securities to any provision of the “Description of Debt Securities” or “Description of the Notes” ​(or comparable) section in any offering memorandum, prospectus or prospectus supplement of the Company prepared from time to time with respect to the offer and sale of debt securities of any series, to the extent that such provision was intended to be a complete description or summary of a provision of the indenture or the debt securities, as determined in good faith by the Company (which intent will be established by an officer’s certificate). (Section 9.1)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debt securities whose holders must consent to an amendment, supplement or waiver;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extend the time for payment of interest (including default interest) on any debt security; </w:t>
      </w:r>
      <w:r>
        <mc:AlternateContent>
          <mc:Choice Requires="wps">
            <w:drawing>
              <wp:anchor behindDoc="0" distT="736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r>
        <mc:AlternateContent>
          <mc:Choice Requires="wps">
            <w:drawing>
              <wp:anchor behindDoc="0" distT="736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discount securities payable upon acceleration of maturity;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principal of or premium or interest on any debt security payable in currency other than that stated in the debt security;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redemption payment with respect to any debt security. (Section 9.3)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of Debt Securities and Certain Covenants in Certain Circumstances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Legal Defeasance</w:t>
      </w:r>
      <w:r>
        <w:rPr>
          <w:rFonts w:ascii="Times New Roman;Times;serif" w:hAnsi="Times New Roman;Times;serif"/>
          <w:b w:val="false"/>
          <w:i w:val="false"/>
          <w:caps w:val="false"/>
          <w:smallCaps w:val="false"/>
          <w:color w:val="000000"/>
          <w:spacing w:val="4"/>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investment bank, appraisal firm or firm of independent public accountants (or if no nationally recognized investment bank, appraisal firm or firm of independent public accountants agrees to express such opinion, a certificate from the chief financial officer of Expand Energy expressing his or her opinion)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 of Certain Covenants</w:t>
      </w:r>
      <w:r>
        <w:rPr>
          <w:rFonts w:ascii="Times New Roman;Times;serif" w:hAnsi="Times New Roman;Times;serif"/>
          <w:b w:val="false"/>
          <w:i w:val="false"/>
          <w:caps w:val="false"/>
          <w:smallCaps w:val="false"/>
          <w:color w:val="000000"/>
          <w:spacing w:val="4"/>
          <w:sz w:val="20"/>
        </w:rPr>
        <w:t xml:space="preserve">.   The indenture provides that, unless otherwise provided by the terms of the applicable series of debt securities, upon compliance with certain conditions: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omission to comply with those covenants will not constitute a Default or an Event of Default with respect to the debt securities of that series (“covenant defeasance”).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conditions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investment bank, appraisal firm or firm of independent public accountants (or if no nationally recognized investment bank, appraisal firm or firm of independent public accountants agrees to express such opinion, a certificate from the chief financial officer of Expand Energy expressing his or her opinion)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Personal Liability of Directors, Officers, Employees or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6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DOO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OTHER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set forth in the applicable prospectus supplement a description of any depositary shares, warrants, purchase contracts or units issued by us that may be offered and sold pursuant to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GLSE"/>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is: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limited-purpose trust company organized under the New York Banking Law; </w:t>
      </w:r>
      <w:r>
        <mc:AlternateContent>
          <mc:Choice Requires="wps">
            <w:drawing>
              <wp:anchor behindDoc="0" distT="7239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“banking organization” within the meaning of the New York Banking Law; </w:t>
      </w:r>
      <w:r>
        <mc:AlternateContent>
          <mc:Choice Requires="wps">
            <w:drawing>
              <wp:anchor behindDoc="0" distT="7239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of the Federal Reserve System; </w:t>
      </w:r>
      <w:r>
        <mc:AlternateContent>
          <mc:Choice Requires="wps">
            <w:drawing>
              <wp:anchor behindDoc="0" distT="7239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corporation” within the meaning of the New York Uniform Commercial Code; and </w:t>
      </w:r>
      <w:r>
        <mc:AlternateContent>
          <mc:Choice Requires="wps">
            <w:drawing>
              <wp:anchor behindDoc="0" distT="7239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agency” registered pursuant to the provisions of Section 17A of the Exchange Act. </w:t>
      </w:r>
      <w:r>
        <mc:AlternateContent>
          <mc:Choice Requires="wps">
            <w:drawing>
              <wp:anchor behindDoc="0" distT="7239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beneficial owners of a particular series of securities generally will not receive certificates representing their ownership interests in those securities. However,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r>
        <mc:AlternateContent>
          <mc:Choice Requires="wps">
            <w:drawing>
              <wp:anchor behindDoc="0" distT="7747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in our sole discretion, not to have such securities represented by one or more global securities; or </w:t>
      </w:r>
      <w:r>
        <mc:AlternateContent>
          <mc:Choice Requires="wps">
            <w:drawing>
              <wp:anchor behindDoc="0" distT="0" distB="0" distL="254000" distR="0" simplePos="0" locked="0" layoutInCell="1" allowOverlap="1" relativeHeight="193">
                <wp:simplePos x="0" y="0"/>
                <wp:positionH relativeFrom="column">
                  <wp:align>left</wp:align>
                </wp:positionH>
                <wp:positionV relativeFrom="line">
                  <wp:posOffset>635</wp:posOffset>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has occurred and is continuing with respect to such series of securities, </w:t>
      </w:r>
      <w:r>
        <mc:AlternateContent>
          <mc:Choice Requires="wps">
            <w:drawing>
              <wp:anchor behindDoc="0" distT="7747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Euroclear and Clearstream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bPOD"/>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from time to time: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one or more purchasers; or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identify the specific plan of distribution, including any underwriters, dealers, agents or direct purchasers and their compensation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bLEMA"/>
      <w:bookmarkEnd w:id="29"/>
      <w:r>
        <w:rPr>
          <w:rFonts w:ascii="calibri;arial;sans-serif" w:hAnsi="calibri;arial;sans-serif"/>
          <w:b w:val="false"/>
          <w:i w:val="false"/>
          <w:caps w:val="false"/>
          <w:smallCaps w:val="false"/>
          <w:color w:val="000000"/>
          <w:sz w:val="16"/>
        </w:rPr>
        <w:t>​</w:t>
      </w:r>
      <w:bookmarkStart w:id="30" w:name="bEXP"/>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Latham &amp; Watkins LLP, Houston, Texas, will pass upon certain legal matters relating to the issuance and sale of the securities offered hereby on behalf of Expand Energy Corporation. The validity of issuance of the offered securities and other matters arising under Oklahoma law are being passed upon for us by Derrick &amp; Briggs, LLP, Oklahoma City, Oklahoma. Additional legal matters may be passed upon for us or any underwriters, dealers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of Expand Energy Corporation (formerly known as Chesapeake Energy Corporation) (Successor) incorporated in this prospectus by reference to Chesapeake Energy Corporation’s Annual Report on </w:t>
      </w:r>
      <w:hyperlink r:id="rId32">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year ended December 31, 2023 have been so incorporated in reliance on the report (which contains an explanatory paragraph relating to Chesapeake Energy Corporation’s emergence from bankruptcy on February 9, 2021 as discussed in Note 2 to the financial statements)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Expand Energy Corporation (formerly known as Chesapeake Energy Corporation) (Predecessor) incorporated in this prospectus by reference to Chesapeake Energy Corporation’s Annual Report on </w:t>
      </w:r>
      <w:hyperlink r:id="rId33">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year ended December 31, 2023 have been so incorporated in reliance on the report (which contains an explanatory paragraph relating to Chesapeake Energy Corporation’s emergence from bankruptcy on February 9, 2021 as discussed in Note 2 to the financial statements)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estimates of Expand Energy Corporation’s net natural gas and oil reserves and related information incorporated by reference in this prospectus were based upon reserve estimates made by the Company’s reservoir engineers under the supervision of Chesapeake Energy Corporation’s management. These reserve estimates were audited by Netherland, Sewell &amp; Associates, Inc., an independent petroleum engineering firm.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audited historical financial statements of Southwestern Energy Company and management’s assessment of the effectiveness of internal control over financial reporting incorporated by reference in the Company’s Current Report on </w:t>
      </w:r>
      <w:hyperlink r:id="rId34">
        <w:r>
          <w:rPr>
            <w:rStyle w:val="InternetLink"/>
          </w:rPr>
          <w:t>Form 8-K</w:t>
        </w:r>
      </w:hyperlink>
      <w:r>
        <w:rPr>
          <w:rFonts w:ascii="Times New Roman;Times;serif" w:hAnsi="Times New Roman;Times;serif"/>
          <w:b w:val="false"/>
          <w:i w:val="false"/>
          <w:caps w:val="false"/>
          <w:smallCaps w:val="false"/>
          <w:color w:val="000000"/>
          <w:spacing w:val="4"/>
          <w:sz w:val="20"/>
        </w:rPr>
        <w:t xml:space="preserve">, filed with the SEC on November 15, 2024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Certain estimates of Southwestern Energy Company’s net natural gas and oil reserves and related information incorporated by reference in this prospectus were based upon reserve estimates made by Southwestern Energy Company’s reservoir engineers under the supervision of Southwestern Energy Company’s management. These reserve estimates were audited by Netherland, Sewell &amp; Associates, Inc., an independent petroleum engineering firm.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74" w:after="283"/>
        <w:jc w:val="center"/>
        <w:rPr>
          <w:caps w:val="false"/>
          <w:smallCaps w:val="false"/>
          <w:color w:val="000000"/>
        </w:rPr>
      </w:pPr>
      <w:r>
        <w:rPr>
          <w:caps w:val="false"/>
          <w:smallCaps w:val="false"/>
          <w:color w:val="000000"/>
        </w:rPr>
        <w:drawing>
          <wp:inline distT="0" distB="0" distL="0" distR="0">
            <wp:extent cx="2809875" cy="695325"/>
            <wp:effectExtent l="0" t="0" r="0" b="0"/>
            <wp:docPr id="19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3" descr=""/>
                    <pic:cNvPicPr>
                      <a:picLocks noChangeAspect="1" noChangeArrowheads="1"/>
                    </pic:cNvPicPr>
                  </pic:nvPicPr>
                  <pic:blipFill>
                    <a:blip r:embed="rId35"/>
                    <a:stretch>
                      <a:fillRect/>
                    </a:stretch>
                  </pic:blipFill>
                  <pic:spPr bwMode="auto">
                    <a:xfrm>
                      <a:off x="0" y="0"/>
                      <a:ext cx="2809875" cy="6953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1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Expand Energy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$500,000,000 5.650% Senior Notes due 2031</w:t>
      </w:r>
      <w:r>
        <w:rPr>
          <w:rFonts w:ascii="Times New Roman;Times;serif" w:hAnsi="Times New Roman;Times;serif"/>
          <w:b/>
          <w:i w:val="false"/>
          <w:caps w:val="false"/>
          <w:smallCaps w:val="false"/>
          <w:color w:val="000000"/>
          <w:spacing w:val="6"/>
          <w:sz w:val="28"/>
        </w:rPr>
        <w:t xml:space="preserve"> </w:t>
      </w:r>
    </w:p>
    <w:p>
      <w:pPr>
        <w:pStyle w:val="TextBody"/>
        <w:bidi w:val="0"/>
        <w:spacing w:before="46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2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7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9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 xml:space="preserve">Citigroup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J.P. Morgan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Citizens Capital Markets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Mizuho</w:t>
      </w:r>
      <w:r>
        <w:rPr>
          <w:rFonts w:ascii="Times New Roman;Times;serif" w:hAnsi="Times New Roman;Times;serif"/>
          <w:b/>
          <w:i w:val="false"/>
          <w:caps w:val="false"/>
          <w:smallCaps w:val="false"/>
          <w:color w:val="000000"/>
          <w:sz w:val="36"/>
        </w:rPr>
        <w:t xml:space="preserve"> </w:t>
        <w:br/>
      </w:r>
      <w:r>
        <w:rPr>
          <w:rFonts w:ascii="Times New Roman;Times;serif" w:hAnsi="Times New Roman;Times;serif"/>
          <w:b/>
          <w:i w:val="false"/>
          <w:caps w:val="false"/>
          <w:smallCaps w:val="false"/>
          <w:color w:val="000000"/>
          <w:spacing w:val="-7"/>
          <w:sz w:val="36"/>
        </w:rPr>
        <w:t>MUFG</w:t>
      </w:r>
      <w:r>
        <w:rPr>
          <w:rFonts w:ascii="Times New Roman;Times;serif" w:hAnsi="Times New Roman;Times;serif"/>
          <w:b/>
          <w:i w:val="false"/>
          <w:caps w:val="false"/>
          <w:smallCaps w:val="false"/>
          <w:color w:val="000000"/>
          <w:sz w:val="36"/>
        </w:rPr>
        <w:t xml:space="preserve"> </w:t>
        <w:br/>
      </w:r>
      <w:r>
        <w:rPr>
          <w:rFonts w:ascii="Times New Roman;Times;serif" w:hAnsi="Times New Roman;Times;serif"/>
          <w:b/>
          <w:i w:val="false"/>
          <w:caps w:val="false"/>
          <w:smallCaps w:val="false"/>
          <w:color w:val="000000"/>
          <w:spacing w:val="-7"/>
          <w:sz w:val="36"/>
        </w:rPr>
        <w:t>RBC Capital Markets</w:t>
      </w:r>
      <w:r>
        <w:rPr>
          <w:rFonts w:ascii="Times New Roman;Times;serif" w:hAnsi="Times New Roman;Times;serif"/>
          <w:b/>
          <w:i w:val="false"/>
          <w:caps w:val="false"/>
          <w:smallCaps w:val="false"/>
          <w:color w:val="000000"/>
          <w:sz w:val="36"/>
        </w:rPr>
        <w:t xml:space="preserve"> </w:t>
        <w:br/>
      </w:r>
      <w:r>
        <w:rPr>
          <w:rFonts w:ascii="Times New Roman;Times;serif" w:hAnsi="Times New Roman;Times;serif"/>
          <w:b/>
          <w:i w:val="false"/>
          <w:caps w:val="false"/>
          <w:smallCaps w:val="false"/>
          <w:color w:val="000000"/>
          <w:spacing w:val="-7"/>
          <w:sz w:val="36"/>
        </w:rPr>
        <w:t>TD Securities</w:t>
      </w:r>
      <w:r>
        <w:rPr>
          <w:rFonts w:ascii="Times New Roman;Times;serif" w:hAnsi="Times New Roman;Times;serif"/>
          <w:b/>
          <w:i w:val="false"/>
          <w:caps w:val="false"/>
          <w:smallCaps w:val="false"/>
          <w:color w:val="000000"/>
          <w:sz w:val="36"/>
        </w:rPr>
        <w:t xml:space="preserve"> </w:t>
        <w:br/>
      </w:r>
      <w:r>
        <w:rPr>
          <w:rFonts w:ascii="Times New Roman;Times;serif" w:hAnsi="Times New Roman;Times;serif"/>
          <w:b/>
          <w:i w:val="false"/>
          <w:caps w:val="false"/>
          <w:smallCaps w:val="false"/>
          <w:color w:val="000000"/>
          <w:spacing w:val="-7"/>
          <w:sz w:val="36"/>
        </w:rPr>
        <w:t>Wells Fargo Securities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24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5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Fifth Third Securities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 xml:space="preserve">CIBC Capital Markets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Goldman Sachs &amp; Co. LLC</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Morgan Stanley</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 xml:space="preserve">PNC Capital Markets LLC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Regions Securities LLC</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 xml:space="preserve">Scotiabank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Truist Securities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BOK Financial Securities, Inc.</w:t>
      </w:r>
    </w:p>
    <w:p>
      <w:pPr>
        <w:pStyle w:val="TextBody"/>
        <w:bidi w:val="0"/>
        <w:spacing w:before="46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September 15, 2026</w:t>
      </w:r>
      <w:r>
        <w:rPr>
          <w:rFonts w:ascii="Times New Roman;Times;serif" w:hAnsi="Times New Roman;Times;serif"/>
          <w:b/>
          <w:i w:val="false"/>
          <w:caps w:val="false"/>
          <w:smallCaps w:val="false"/>
          <w:color w:val="000000"/>
          <w:spacing w:val="4"/>
          <w:sz w:val="20"/>
        </w:rPr>
        <w:t xml:space="preserve"> </w:t>
      </w:r>
    </w:p>
    <w:p>
      <w:pPr>
        <w:pStyle w:val="TextBody"/>
        <w:bidi w:val="0"/>
        <w:spacing w:before="372"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1" w:name="tm2625334d4_ex-filingfees.htm"/>
      <w:bookmarkStart w:id="32" w:name="kstm2625334d4_exfilingfees"/>
      <w:bookmarkStart w:id="33" w:name="tm2625334d4_ex-filingfees.htm"/>
      <w:bookmarkStart w:id="34" w:name="kstm2625334d4_exfilingfees"/>
      <w:bookmarkEnd w:id="33"/>
      <w:bookmarkEnd w:id="34"/>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EXPAND ENERGY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29"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2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5.650% Senior Notes due 2031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right"/>
              <w:rPr/>
            </w:pPr>
            <w:r>
              <w:rPr/>
              <w:t xml:space="preserve">$ 0.99889 </w:t>
            </w:r>
          </w:p>
        </w:tc>
        <w:tc>
          <w:tcPr>
            <w:tcW w:w="1786" w:type="dxa"/>
            <w:tcBorders/>
            <w:shd w:fill="E7E7E2" w:val="clear"/>
            <w:vAlign w:val="center"/>
          </w:tcPr>
          <w:p>
            <w:pPr>
              <w:pStyle w:val="TableContents"/>
              <w:bidi w:val="0"/>
              <w:spacing w:before="0" w:after="283"/>
              <w:jc w:val="right"/>
              <w:rPr/>
            </w:pPr>
            <w:r>
              <w:rPr/>
              <w:t xml:space="preserve">$ 499,445,000.00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$ 68,973.35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2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$ 499,445,000.00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$ 68,973.35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$ 68,973.35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4"/>
        <w:gridCol w:w="8705"/>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Calculated in accordance with Rule 457(r) under the Securities Act of 1933, as amended (the "Securities Act"). Payment of the registration fee at the time of filing of the registrant's registration statement on Form S-3 (File No. 333-283348) filed with the Securities and Exchange Commission on November 20, 2024 was deferred pursuant to Rules 456(b) and 457(r) of the Securities Act, and is paid herewith. This filing fee table shall be deemed to update the "Calculation of Filing Fee" table in such registration statement.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$499,445,000.00.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95126/000089512626000011/exe-20251231.htm" TargetMode="External"/><Relationship Id="rId4" Type="http://schemas.openxmlformats.org/officeDocument/2006/relationships/hyperlink" Target="https://www.sec.gov/ix?doc=/Archives/edgar/data/895126/000089512626000011/exe-20251231.htm" TargetMode="External"/><Relationship Id="rId5" Type="http://schemas.openxmlformats.org/officeDocument/2006/relationships/hyperlink" Target="https://www.sec.gov/ix?doc=/Archives/edgar/data/895126/000089512626000011/exe-20251231.htm" TargetMode="External"/><Relationship Id="rId6" Type="http://schemas.openxmlformats.org/officeDocument/2006/relationships/hyperlink" Target="https://www.sec.gov/ix?doc=/Archives/edgar/data/895126/000110465926048155/tm261495d1_def14a.htm" TargetMode="External"/><Relationship Id="rId7" Type="http://schemas.openxmlformats.org/officeDocument/2006/relationships/hyperlink" Target="https://www.sec.gov/ix?doc=/Archives/edgar/data/895126/000089512626000028/exe-20260331.htm" TargetMode="External"/><Relationship Id="rId8" Type="http://schemas.openxmlformats.org/officeDocument/2006/relationships/hyperlink" Target="https://www.sec.gov/ix?doc=/Archives/edgar/data/895126/000089512626000047/exe-20260630.htm" TargetMode="External"/><Relationship Id="rId9" Type="http://schemas.openxmlformats.org/officeDocument/2006/relationships/hyperlink" Target="https://www.sec.gov/ix?doc=/Archives/edgar/data/895126/000089512626000003/exe-20260206.htm" TargetMode="External"/><Relationship Id="rId10" Type="http://schemas.openxmlformats.org/officeDocument/2006/relationships/hyperlink" Target="https://www.sec.gov/ix?doc=/Archives/edgar/data/895126/000089512626000016/exe-20260406.htm" TargetMode="External"/><Relationship Id="rId11" Type="http://schemas.openxmlformats.org/officeDocument/2006/relationships/hyperlink" Target="https://www.sec.gov/ix?doc=/Archives/edgar/data/895126/000089512626000021/exe-20260406.htm" TargetMode="External"/><Relationship Id="rId12" Type="http://schemas.openxmlformats.org/officeDocument/2006/relationships/hyperlink" Target="https://www.sec.gov/ix?doc=/Archives/edgar/data/895126/000089512626000032/exe-20260604.htm" TargetMode="External"/><Relationship Id="rId13" Type="http://schemas.openxmlformats.org/officeDocument/2006/relationships/hyperlink" Target="https://www.sec.gov/ix?doc=/Archives/edgar/data/895126/000089512626000036/exe-20260623.htm" TargetMode="External"/><Relationship Id="rId14" Type="http://schemas.openxmlformats.org/officeDocument/2006/relationships/hyperlink" Target="https://www.sec.gov/ix?doc=/Archives/edgar/data/895126/000110465926088451/tm2621424d1_8k.htm" TargetMode="External"/><Relationship Id="rId15" Type="http://schemas.openxmlformats.org/officeDocument/2006/relationships/hyperlink" Target="https://www.sec.gov/Archives/edgar/data/895126/000089512621000035/form8-axemergence.htm" TargetMode="External"/><Relationship Id="rId16" Type="http://schemas.openxmlformats.org/officeDocument/2006/relationships/image" Target="media/image1.jpeg"/><Relationship Id="rId17" Type="http://schemas.openxmlformats.org/officeDocument/2006/relationships/hyperlink" Target="http://www.sec.gov/ix?doc=/Archives/edgar/data/895126/000089512624000013/chk-20231231.htm" TargetMode="External"/><Relationship Id="rId18" Type="http://schemas.openxmlformats.org/officeDocument/2006/relationships/hyperlink" Target="http://www.sec.gov/ix?doc=/Archives/edgar/data/895126/000110465924052456/tm242837-d3_def14a.htm" TargetMode="External"/><Relationship Id="rId19" Type="http://schemas.openxmlformats.org/officeDocument/2006/relationships/hyperlink" Target="http://www.sec.gov/ix?doc=/Archives/edgar/data/895126/000089512624000055/chk-20240331.htm" TargetMode="External"/><Relationship Id="rId20" Type="http://schemas.openxmlformats.org/officeDocument/2006/relationships/hyperlink" Target="http://www.sec.gov/ix?doc=/Archives/edgar/data/895126/000089512624000108/chk-20240630.htm" TargetMode="External"/><Relationship Id="rId21" Type="http://schemas.openxmlformats.org/officeDocument/2006/relationships/hyperlink" Target="http://www.sec.gov/ix?doc=/Archives/edgar/data/895126/000089512624000135/exe-20240930.htm" TargetMode="External"/><Relationship Id="rId22" Type="http://schemas.openxmlformats.org/officeDocument/2006/relationships/hyperlink" Target="https://www.sec.gov/ix?doc=/Archives/edgar/data/895126/000110465924003344/tm243107d1_8k.htm" TargetMode="External"/><Relationship Id="rId23" Type="http://schemas.openxmlformats.org/officeDocument/2006/relationships/hyperlink" Target="http://www.sec.gov/ix?doc=/Archives/edgar/data/895126/000110465924043807/tm2411140d1_8k.htm" TargetMode="External"/><Relationship Id="rId24" Type="http://schemas.openxmlformats.org/officeDocument/2006/relationships/hyperlink" Target="http://www.sec.gov/ix?doc=/Archives/edgar/data/895126/000110465924069081/tm2416590d1_8k.htm" TargetMode="External"/><Relationship Id="rId25" Type="http://schemas.openxmlformats.org/officeDocument/2006/relationships/hyperlink" Target="http://www.sec.gov/ix?doc=/Archives/edgar/data/895126/000110465924072870/tm2416755d4_8k.htm" TargetMode="External"/><Relationship Id="rId26" Type="http://schemas.openxmlformats.org/officeDocument/2006/relationships/hyperlink" Target="http://www.sec.gov/ix?doc=/Archives/edgar/data/895126/000110465924102980/tm2425001d1_8k.htm" TargetMode="External"/><Relationship Id="rId27" Type="http://schemas.openxmlformats.org/officeDocument/2006/relationships/hyperlink" Target="http://www.sec.gov/ix?doc=/Archives/edgar/data/895126/000110465924104976/tm2425151d1_8k.htm" TargetMode="External"/><Relationship Id="rId28" Type="http://schemas.openxmlformats.org/officeDocument/2006/relationships/hyperlink" Target="http://www.sec.gov/ix?doc=/Archives/edgar/data/895126/000110465924113482/tm2427195d1_8k.htm" TargetMode="External"/><Relationship Id="rId29" Type="http://schemas.openxmlformats.org/officeDocument/2006/relationships/hyperlink" Target="http://www.sec.gov/ix?doc=/Archives/edgar/data/895126/000110465924115304/tm2427195d2_8k.htm" TargetMode="External"/><Relationship Id="rId30" Type="http://schemas.openxmlformats.org/officeDocument/2006/relationships/hyperlink" Target="http://www.sec.gov/ix?doc=/Archives/edgar/data/895126/000110465924119753/tm2428094d1_8k.htm" TargetMode="External"/><Relationship Id="rId31" Type="http://schemas.openxmlformats.org/officeDocument/2006/relationships/hyperlink" Target="http://www.sec.gov/Archives/edgar/data/895126/000089512621000035/form8-axemergence.htm" TargetMode="External"/><Relationship Id="rId32" Type="http://schemas.openxmlformats.org/officeDocument/2006/relationships/hyperlink" Target="http://www.sec.gov/ix?doc=/Archives/edgar/data/895126/000089512624000013/chk-20231231.htm" TargetMode="External"/><Relationship Id="rId33" Type="http://schemas.openxmlformats.org/officeDocument/2006/relationships/hyperlink" Target="http://www.sec.gov/ix?doc=/Archives/edgar/data/895126/000089512624000013/chk-20231231.htm" TargetMode="External"/><Relationship Id="rId34" Type="http://schemas.openxmlformats.org/officeDocument/2006/relationships/hyperlink" Target="http://www.sec.gov/ix?doc=/Archives/edgar/data/895126/000110465924119753/tm2428094d1_8k.htm" TargetMode="External"/><Relationship Id="rId35" Type="http://schemas.openxmlformats.org/officeDocument/2006/relationships/image" Target="media/image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39751</Words>
  <Characters>210627</Characters>
  <CharactersWithSpaces>252963</CharactersWithSpaces>
  <Paragraphs>4152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