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April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83185</wp:posOffset>
            </wp:positionV>
            <wp:extent cx="16630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EXPAND ENERGY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51435</wp:posOffset>
            </wp:positionV>
            <wp:extent cx="7046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87"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4160" w:type="dxa"/>
            <w:vAlign w:val="bottom"/>
            <w:gridSpan w:val="5"/>
          </w:tcPr>
          <w:p>
            <w:pPr>
              <w:ind w:left="380"/>
              <w:spacing w:after="0"/>
              <w:rPr>
                <w:sz w:val="20"/>
                <w:szCs w:val="20"/>
                <w:color w:val="auto"/>
              </w:rPr>
            </w:pPr>
            <w:r>
              <w:rPr>
                <w:rFonts w:ascii="Arial" w:cs="Arial" w:eastAsia="Arial" w:hAnsi="Arial"/>
                <w:sz w:val="16"/>
                <w:szCs w:val="16"/>
                <w:color w:val="auto"/>
              </w:rPr>
              <w:t>(Exact name of registrant as specified in its Charter)</w:t>
            </w:r>
          </w:p>
        </w:tc>
        <w:tc>
          <w:tcPr>
            <w:tcW w:w="3640" w:type="dxa"/>
            <w:vAlign w:val="bottom"/>
          </w:tcPr>
          <w:p>
            <w:pPr>
              <w:spacing w:after="0"/>
              <w:rPr>
                <w:sz w:val="18"/>
                <w:szCs w:val="18"/>
                <w:color w:val="auto"/>
              </w:rPr>
            </w:pPr>
          </w:p>
        </w:tc>
      </w:tr>
      <w:tr>
        <w:trPr>
          <w:trHeight w:val="255"/>
        </w:trPr>
        <w:tc>
          <w:tcPr>
            <w:tcW w:w="330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b w:val="1"/>
                <w:bCs w:val="1"/>
                <w:color w:val="auto"/>
              </w:rPr>
              <w:t>Oklahoma</w:t>
            </w:r>
          </w:p>
        </w:tc>
        <w:tc>
          <w:tcPr>
            <w:tcW w:w="5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001-13726</w:t>
            </w:r>
          </w:p>
        </w:tc>
        <w:tc>
          <w:tcPr>
            <w:tcW w:w="140" w:type="dxa"/>
            <w:vAlign w:val="bottom"/>
          </w:tcPr>
          <w:p>
            <w:pPr>
              <w:spacing w:after="0"/>
              <w:rPr>
                <w:sz w:val="22"/>
                <w:szCs w:val="22"/>
                <w:color w:val="auto"/>
              </w:rPr>
            </w:pPr>
          </w:p>
        </w:tc>
        <w:tc>
          <w:tcPr>
            <w:tcW w:w="364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b w:val="1"/>
                <w:bCs w:val="1"/>
                <w:color w:val="auto"/>
              </w:rPr>
              <w:t>73-1395733</w:t>
            </w:r>
          </w:p>
        </w:tc>
      </w:tr>
      <w:tr>
        <w:trPr>
          <w:trHeight w:val="199"/>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(State or other jurisdiction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gridSpan w:val="3"/>
          </w:tcPr>
          <w:p>
            <w:pPr>
              <w:jc w:val="center"/>
              <w:ind w:right="160"/>
              <w:spacing w:after="0"/>
              <w:rPr>
                <w:sz w:val="20"/>
                <w:szCs w:val="20"/>
                <w:color w:val="auto"/>
              </w:rPr>
            </w:pPr>
            <w:r>
              <w:rPr>
                <w:rFonts w:ascii="Arial" w:cs="Arial" w:eastAsia="Arial" w:hAnsi="Arial"/>
                <w:sz w:val="16"/>
                <w:szCs w:val="16"/>
                <w:color w:val="auto"/>
              </w:rPr>
              <w:t>(Commission File Number)</w:t>
            </w:r>
          </w:p>
        </w:tc>
        <w:tc>
          <w:tcPr>
            <w:tcW w:w="36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15"/>
        </w:trPr>
        <w:tc>
          <w:tcPr>
            <w:tcW w:w="3300" w:type="dxa"/>
            <w:vAlign w:val="bottom"/>
          </w:tcPr>
          <w:p>
            <w:pPr>
              <w:jc w:val="center"/>
              <w:ind w:left="459"/>
              <w:spacing w:after="0"/>
              <w:rPr>
                <w:sz w:val="20"/>
                <w:szCs w:val="20"/>
                <w:color w:val="auto"/>
              </w:rPr>
            </w:pPr>
            <w:r>
              <w:rPr>
                <w:rFonts w:ascii="Arial" w:cs="Arial" w:eastAsia="Arial" w:hAnsi="Arial"/>
                <w:sz w:val="16"/>
                <w:szCs w:val="16"/>
                <w:color w:val="auto"/>
              </w:rPr>
              <w:t>incorporation)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68"/>
        </w:trPr>
        <w:tc>
          <w:tcPr>
            <w:tcW w:w="3300" w:type="dxa"/>
            <w:vAlign w:val="bottom"/>
          </w:tcPr>
          <w:p>
            <w:pPr>
              <w:ind w:left="1240"/>
              <w:spacing w:after="0"/>
              <w:rPr>
                <w:sz w:val="20"/>
                <w:szCs w:val="20"/>
                <w:color w:val="auto"/>
              </w:rPr>
            </w:pPr>
            <w:r>
              <w:rPr>
                <w:rFonts w:ascii="Arial" w:cs="Arial" w:eastAsia="Arial" w:hAnsi="Arial"/>
                <w:sz w:val="16"/>
                <w:szCs w:val="16"/>
                <w:b w:val="1"/>
                <w:bCs w:val="1"/>
                <w:color w:val="auto"/>
              </w:rPr>
              <w:t>10000 Energy Drive</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ind w:left="600"/>
              <w:spacing w:after="0"/>
              <w:rPr>
                <w:sz w:val="20"/>
                <w:szCs w:val="20"/>
                <w:color w:val="auto"/>
              </w:rPr>
            </w:pPr>
            <w:r>
              <w:rPr>
                <w:rFonts w:ascii="Arial" w:cs="Arial" w:eastAsia="Arial" w:hAnsi="Arial"/>
                <w:sz w:val="16"/>
                <w:szCs w:val="16"/>
                <w:b w:val="1"/>
                <w:bCs w:val="1"/>
                <w:color w:val="auto"/>
              </w:rPr>
              <w:t>Spring</w:t>
            </w:r>
          </w:p>
        </w:tc>
        <w:tc>
          <w:tcPr>
            <w:tcW w:w="2280" w:type="dxa"/>
            <w:vAlign w:val="bottom"/>
            <w:gridSpan w:val="2"/>
          </w:tcPr>
          <w:p>
            <w:pPr>
              <w:ind w:left="1100"/>
              <w:spacing w:after="0"/>
              <w:rPr>
                <w:sz w:val="20"/>
                <w:szCs w:val="20"/>
                <w:color w:val="auto"/>
              </w:rPr>
            </w:pPr>
            <w:r>
              <w:rPr>
                <w:rFonts w:ascii="Arial" w:cs="Arial" w:eastAsia="Arial" w:hAnsi="Arial"/>
                <w:sz w:val="16"/>
                <w:szCs w:val="16"/>
                <w:b w:val="1"/>
                <w:bCs w:val="1"/>
                <w:color w:val="auto"/>
              </w:rPr>
              <w:t>Texas</w:t>
            </w:r>
          </w:p>
        </w:tc>
        <w:tc>
          <w:tcPr>
            <w:tcW w:w="3640" w:type="dxa"/>
            <w:vAlign w:val="bottom"/>
          </w:tcPr>
          <w:p>
            <w:pPr>
              <w:jc w:val="right"/>
              <w:ind w:right="1519"/>
              <w:spacing w:after="0"/>
              <w:rPr>
                <w:sz w:val="20"/>
                <w:szCs w:val="20"/>
                <w:color w:val="auto"/>
              </w:rPr>
            </w:pPr>
            <w:r>
              <w:rPr>
                <w:rFonts w:ascii="Arial" w:cs="Arial" w:eastAsia="Arial" w:hAnsi="Arial"/>
                <w:sz w:val="16"/>
                <w:szCs w:val="16"/>
                <w:b w:val="1"/>
                <w:bCs w:val="1"/>
                <w:color w:val="auto"/>
              </w:rPr>
              <w:t>77389</w:t>
            </w:r>
          </w:p>
        </w:tc>
      </w:tr>
      <w:tr>
        <w:trPr>
          <w:trHeight w:val="225"/>
        </w:trPr>
        <w:tc>
          <w:tcPr>
            <w:tcW w:w="5180" w:type="dxa"/>
            <w:vAlign w:val="bottom"/>
            <w:tcBorders>
              <w:top w:val="single" w:sz="8" w:color="auto"/>
            </w:tcBorders>
            <w:gridSpan w:val="4"/>
          </w:tcPr>
          <w:p>
            <w:pPr>
              <w:ind w:left="2260"/>
              <w:spacing w:after="0"/>
              <w:rPr>
                <w:sz w:val="20"/>
                <w:szCs w:val="20"/>
                <w:color w:val="auto"/>
              </w:rPr>
            </w:pPr>
            <w:r>
              <w:rPr>
                <w:rFonts w:ascii="Arial" w:cs="Arial" w:eastAsia="Arial" w:hAnsi="Arial"/>
                <w:sz w:val="16"/>
                <w:szCs w:val="16"/>
                <w:color w:val="auto"/>
              </w:rPr>
              <w:t>(Address of principal executive offices)</w:t>
            </w:r>
          </w:p>
        </w:tc>
        <w:tc>
          <w:tcPr>
            <w:tcW w:w="2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251"/>
        </w:trPr>
        <w:tc>
          <w:tcPr>
            <w:tcW w:w="3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140" w:type="dxa"/>
            <w:vAlign w:val="bottom"/>
          </w:tcPr>
          <w:p>
            <w:pPr>
              <w:jc w:val="right"/>
              <w:ind w:right="839"/>
              <w:spacing w:after="0"/>
              <w:rPr>
                <w:sz w:val="20"/>
                <w:szCs w:val="20"/>
                <w:color w:val="auto"/>
              </w:rPr>
            </w:pPr>
            <w:r>
              <w:rPr>
                <w:rFonts w:ascii="Arial" w:cs="Arial" w:eastAsia="Arial" w:hAnsi="Arial"/>
                <w:sz w:val="16"/>
                <w:szCs w:val="16"/>
                <w:b w:val="1"/>
                <w:bCs w:val="1"/>
                <w:color w:val="auto"/>
              </w:rPr>
              <w:t>(346) 535-0990</w:t>
            </w:r>
          </w:p>
        </w:tc>
        <w:tc>
          <w:tcPr>
            <w:tcW w:w="140" w:type="dxa"/>
            <w:vAlign w:val="bottom"/>
          </w:tcPr>
          <w:p>
            <w:pPr>
              <w:spacing w:after="0"/>
              <w:rPr>
                <w:sz w:val="21"/>
                <w:szCs w:val="21"/>
                <w:color w:val="auto"/>
              </w:rPr>
            </w:pPr>
          </w:p>
        </w:tc>
        <w:tc>
          <w:tcPr>
            <w:tcW w:w="36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5080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pacing w:after="0" w:line="31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185"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91"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w:t>
            </w:r>
          </w:p>
        </w:tc>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160" w:type="dxa"/>
            <w:vAlign w:val="bottom"/>
          </w:tcPr>
          <w:p>
            <w:pPr>
              <w:spacing w:after="0"/>
              <w:rPr>
                <w:sz w:val="18"/>
                <w:szCs w:val="18"/>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EXE</w:t>
            </w:r>
          </w:p>
        </w:tc>
        <w:tc>
          <w:tcPr>
            <w:tcW w:w="140" w:type="dxa"/>
            <w:vAlign w:val="bottom"/>
          </w:tcPr>
          <w:p>
            <w:pPr>
              <w:spacing w:after="0"/>
              <w:rPr>
                <w:sz w:val="18"/>
                <w:szCs w:val="18"/>
                <w:color w:val="auto"/>
              </w:rPr>
            </w:pPr>
          </w:p>
        </w:tc>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57" w:lineRule="exact"/>
        <w:rPr>
          <w:sz w:val="24"/>
          <w:szCs w:val="24"/>
          <w:color w:val="auto"/>
        </w:rPr>
      </w:pPr>
    </w:p>
    <w:p>
      <w:pPr>
        <w:ind w:left="20" w:right="22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 w:lineRule="exact"/>
        <w:rPr>
          <w:sz w:val="24"/>
          <w:szCs w:val="24"/>
          <w:color w:val="auto"/>
        </w:rPr>
      </w:pPr>
    </w:p>
    <w:p>
      <w:pPr>
        <w:ind w:left="8660"/>
        <w:spacing w:after="0"/>
        <w:rPr>
          <w:sz w:val="20"/>
          <w:szCs w:val="20"/>
          <w:color w:val="auto"/>
        </w:rPr>
      </w:pPr>
      <w:r>
        <w:rPr>
          <w:rFonts w:ascii="Arial" w:cs="Arial" w:eastAsia="Arial" w:hAnsi="Arial"/>
          <w:sz w:val="16"/>
          <w:szCs w:val="16"/>
          <w:color w:val="auto"/>
        </w:rPr>
        <w:t>Emerging growth company</w:t>
      </w:r>
    </w:p>
    <w:p>
      <w:pPr>
        <w:spacing w:after="0" w:line="140" w:lineRule="exact"/>
        <w:rPr>
          <w:sz w:val="24"/>
          <w:szCs w:val="24"/>
          <w:color w:val="auto"/>
        </w:rPr>
      </w:pPr>
    </w:p>
    <w:p>
      <w:pPr>
        <w:ind w:left="20" w:right="300"/>
        <w:spacing w:after="0" w:line="30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580" w:space="220"/>
            <w:col w:w="440"/>
          </w:cols>
          <w:pgMar w:left="320" w:top="1440" w:right="339" w:bottom="1440" w:gutter="0" w:footer="0" w:header="0"/>
          <w:type w:val="continuous"/>
        </w:sectPr>
      </w:pPr>
    </w:p>
    <w:bookmarkStart w:id="1" w:name="page2"/>
    <w:bookmarkEnd w:id="1"/>
    <w:p>
      <w:pPr>
        <w:jc w:val="both"/>
        <w:ind w:right="2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6, 2026, John D. Gass notified Expand Energy Corporation (the “Company”) that he will not stand for re-election to the Company’s Board of Directors (the “Board”) at its 2026 Annual Meeting of Shareholders (the “Annual Meeting”) and that he will retire from the Board at the conclusion of the Annual Meeting. Mr. Gass’s decision not to stand for re-election and to retire from the Board was not due to any disagreement with the Company regarding any matter relating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EXPAND ENERGY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CHRIS LACY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34925</wp:posOffset>
            </wp:positionV>
            <wp:extent cx="3025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 Lacy</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Executive Vice President, General Counsel and Corporate</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10, 2026</w:t>
      </w:r>
    </w:p>
    <w:sectPr>
      <w:pgSz w:w="11900" w:h="16838" w:orient="portrait"/>
      <w:cols w:equalWidth="0" w:num="1">
        <w:col w:w="11120"/>
      </w:cols>
      <w:pgMar w:left="320" w:top="140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2026-04-10T15:04:13Z</dcterms:created>
  <dcterms:modified xsi:type="dcterms:W3CDTF">2026-04-10T15:04:13Z</dcterms:modified>
</cp:coreProperties>
</file>