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334d2_8k.htm"/>
      <w:bookmarkStart w:id="1" w:name="kstm2625334d2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8_edei--DocumentType_c2026091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717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619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EXPAND ENERGY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375"/>
        <w:gridCol w:w="60"/>
        <w:gridCol w:w="1850"/>
        <w:gridCol w:w="60"/>
        <w:gridCol w:w="278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Oklahoma</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915"/>
            <w:bookmarkEnd w:id="6"/>
            <w:r>
              <w:rPr>
                <w:rFonts w:ascii="Times New Roman;Times;Serif" w:hAnsi="Times New Roman;Times;Serif"/>
                <w:b/>
                <w:sz w:val="20"/>
              </w:rPr>
              <w:t>001-13726</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73-1395733</w:t>
            </w:r>
          </w:p>
        </w:tc>
      </w:tr>
      <w:tr>
        <w:trPr/>
        <w:tc>
          <w:tcPr>
            <w:tcW w:w="237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185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vAlign w:val="center"/>
          </w:tcPr>
          <w:p>
            <w:pPr>
              <w:pStyle w:val="TableContents"/>
              <w:bidi w:val="0"/>
              <w:spacing w:before="0" w:after="283"/>
              <w:jc w:val="left"/>
              <w:rPr/>
            </w:pPr>
            <w:r>
              <w:rPr/>
              <w:t> </w:t>
            </w:r>
          </w:p>
        </w:tc>
        <w:tc>
          <w:tcPr>
            <w:tcW w:w="27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283"/>
        <w:jc w:val="left"/>
        <w:rPr/>
      </w:pPr>
      <w:r>
        <w:rPr/>
        <w:t> </w:t>
      </w:r>
    </w:p>
    <w:tbl>
      <w:tblPr>
        <w:tblW w:w="4193" w:type="dxa"/>
        <w:jc w:val="left"/>
        <w:tblInd w:w="0" w:type="dxa"/>
        <w:tblLayout w:type="fixed"/>
        <w:tblCellMar>
          <w:top w:w="0" w:type="dxa"/>
          <w:left w:w="0" w:type="dxa"/>
          <w:bottom w:w="28" w:type="dxa"/>
          <w:right w:w="0" w:type="dxa"/>
        </w:tblCellMar>
      </w:tblPr>
      <w:tblGrid>
        <w:gridCol w:w="1983"/>
        <w:gridCol w:w="648"/>
        <w:gridCol w:w="582"/>
        <w:gridCol w:w="60"/>
        <w:gridCol w:w="920"/>
      </w:tblGrid>
      <w:tr>
        <w:trPr/>
        <w:tc>
          <w:tcPr>
            <w:tcW w:w="1983"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bookmarkStart w:id="8" w:name="xdx_90A_edei--EntityAddressAddressLine1_"/>
            <w:bookmarkEnd w:id="8"/>
            <w:r>
              <w:rPr>
                <w:rFonts w:ascii="Times New Roman;Times;Serif" w:hAnsi="Times New Roman;Times;Serif"/>
                <w:b/>
                <w:sz w:val="20"/>
              </w:rPr>
              <w:t xml:space="preserve">10000 Energy Drive </w:t>
            </w:r>
          </w:p>
        </w:tc>
        <w:tc>
          <w:tcPr>
            <w:tcW w:w="648"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9_edei--EntityAddressCityOrTown_c2"/>
            <w:bookmarkEnd w:id="9"/>
            <w:r>
              <w:rPr>
                <w:rFonts w:ascii="Times New Roman;Times;Serif" w:hAnsi="Times New Roman;Times;Serif"/>
                <w:b/>
                <w:sz w:val="20"/>
              </w:rPr>
              <w:t>Spring</w:t>
            </w:r>
          </w:p>
        </w:tc>
        <w:tc>
          <w:tcPr>
            <w:tcW w:w="58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bookmarkStart w:id="10" w:name="xdx_904_edei--EntityAddressStateOrProvin"/>
            <w:bookmarkEnd w:id="10"/>
            <w:r>
              <w:rPr>
                <w:rFonts w:ascii="Times New Roman;Times;Serif" w:hAnsi="Times New Roman;Times;Serif"/>
                <w:b/>
                <w:sz w:val="20"/>
              </w:rPr>
              <w:t>Texas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4_edei--EntityAddressPostalZipCode"/>
            <w:bookmarkEnd w:id="11"/>
            <w:r>
              <w:rPr>
                <w:rFonts w:ascii="Times New Roman;Times;Serif" w:hAnsi="Times New Roman;Times;Serif"/>
                <w:b/>
                <w:sz w:val="20"/>
              </w:rPr>
              <w:t>77389</w:t>
            </w:r>
          </w:p>
        </w:tc>
      </w:tr>
      <w:tr>
        <w:trPr/>
        <w:tc>
          <w:tcPr>
            <w:tcW w:w="3213" w:type="dxa"/>
            <w:gridSpan w:val="3"/>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5_edei--CityAreaCode_c20260915__20"/>
      <w:bookmarkEnd w:id="12"/>
      <w:r>
        <w:rPr>
          <w:rFonts w:ascii="Times New Roman;Times;Serif" w:hAnsi="Times New Roman;Times;Serif"/>
          <w:b/>
          <w:i w:val="false"/>
          <w:caps w:val="false"/>
          <w:smallCaps w:val="false"/>
          <w:sz w:val="20"/>
        </w:rPr>
        <w:t xml:space="preserve">405) </w:t>
      </w:r>
      <w:bookmarkStart w:id="13" w:name="xdx_90E_edei--LocalPhoneNumber_c20260915"/>
      <w:bookmarkEnd w:id="13"/>
      <w:r>
        <w:rPr>
          <w:rFonts w:ascii="Times New Roman;Times;Serif" w:hAnsi="Times New Roman;Times;Serif"/>
          <w:b/>
          <w:i w:val="false"/>
          <w:caps w:val="false"/>
          <w:smallCaps w:val="false"/>
          <w:sz w:val="20"/>
        </w:rPr>
        <w:t>848-8000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A_edei--SolicitingMaterial_c202609"/>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3410"/>
        <w:gridCol w:w="60"/>
        <w:gridCol w:w="1340"/>
        <w:gridCol w:w="60"/>
        <w:gridCol w:w="3590"/>
      </w:tblGrid>
      <w:tr>
        <w:trPr/>
        <w:tc>
          <w:tcPr>
            <w:tcW w:w="3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vAlign w:val="center"/>
          </w:tcPr>
          <w:p>
            <w:pPr>
              <w:pStyle w:val="TableContents"/>
              <w:bidi w:val="0"/>
              <w:spacing w:before="0" w:after="283"/>
              <w:jc w:val="center"/>
              <w:rPr/>
            </w:pPr>
            <w:r>
              <w:rPr/>
              <w:t> </w:t>
            </w:r>
          </w:p>
        </w:tc>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bookmarkStart w:id="18" w:name="xdx_904_edei--Security12bTitle_c20260915"/>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34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60915__2"/>
            <w:bookmarkEnd w:id="19"/>
            <w:r>
              <w:rPr>
                <w:rFonts w:ascii="Times New Roman;Times;Serif" w:hAnsi="Times New Roman;Times;Serif"/>
                <w:sz w:val="20"/>
              </w:rPr>
              <w:t>EXE</w:t>
            </w:r>
          </w:p>
        </w:tc>
        <w:tc>
          <w:tcPr>
            <w:tcW w:w="60" w:type="dxa"/>
            <w:tcBorders/>
            <w:vAlign w:val="center"/>
          </w:tcPr>
          <w:p>
            <w:pPr>
              <w:pStyle w:val="TableContents"/>
              <w:bidi w:val="0"/>
              <w:spacing w:before="0" w:after="283"/>
              <w:jc w:val="center"/>
              <w:rPr/>
            </w:pPr>
            <w:r>
              <w:rPr/>
              <w:t> </w:t>
            </w:r>
          </w:p>
        </w:tc>
        <w:tc>
          <w:tcPr>
            <w:tcW w:w="359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20" w:name="xdx_906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both"/>
              <w:rPr>
                <w:sz w:val="20"/>
              </w:rPr>
            </w:pPr>
            <w:r>
              <w:rPr>
                <w:sz w:val="20"/>
              </w:rPr>
              <w:t>Indicate by check mark whether the registrant is an emerging growth company as defined in Rule 405 of the Securities Act of 1933 (17 CFR § 230.405) or Rule 12b-2 of the Securities Exchange Act of 1934 (17 CFR § 240.12b-2).</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center"/>
              <w:rPr/>
            </w:pPr>
            <w:bookmarkStart w:id="21" w:name="xdx_909_edei--EntityEmergingGrowthCompan"/>
            <w:bookmarkEnd w:id="21"/>
            <w:r>
              <w:rPr/>
              <w:t>☐</w:t>
            </w:r>
          </w:p>
        </w:tc>
      </w:tr>
      <w:tr>
        <w:trPr/>
        <w:tc>
          <w:tcPr>
            <w:tcW w:w="996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center"/>
              <w:rPr/>
            </w:pPr>
            <w:r>
              <w:rPr/>
              <w:t> </w:t>
            </w:r>
          </w:p>
        </w:tc>
      </w:tr>
      <w:tr>
        <w:trPr/>
        <w:tc>
          <w:tcPr>
            <w:tcW w:w="9960"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45" w:type="dxa"/>
            <w:tcBorders/>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Expand Energy Corporation (the “Company”) entered into an underwriting agreement (the “Underwriting Agreement”) with Citigroup Global Markets Inc. and J.P. Morgan Securities LLC, as representatives of the several underwriters named in Schedule 1 to the Underwriting Agreement (the “Underwriters”), with respect to the issuance and sale in an underwritten public offering (the “Offering”) by the Company of $500,000,000 aggregate principal amount of the Company’s 5.650% Senior Notes due 2031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Offering are described in the prospectus supplement dated September 15, 2026, as filed by the Company with the Securities and Exchange Commission (the “Commission”). The offer and sale of the Notes is registered with the Commission pursuant to the Company’s Registration Statement on Form S-3 (File No. 333-283348) that was filed with the Commission on November 20, 2024. Subject to the satisfaction of customary conditions to closing, the transactions contemplated by the Underwriting Agreement will be consummated on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indemnification and contribution provisions whereby the Company, on the one hand, and the Underwriters, on the other hand, have agreed to indemnify each other against certain liabilities, including liabilities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Underwriting Agreement does not purport to be complete and is qualified in its entirety by reference to the full text of the Underwriting Agreement, a copy of which is filed as Exhibit 1.1 to this Current Report on Form 8-K (the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Underwriters and their affiliates have engaged in, and may in the future engage in, investment banking and other commercial dealings in the ordinary course of business with the Company and its affiliates.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issued a press release announcing the pricing of the Offering. A copy of the press release is being furnished as Exhibit 99.1 to this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Item 7.01 of this Report, including Exhibit 99.1, shall not be deemed “filed” for purposes of Section 18 of the Securities Exchange Act of 1934, as amended (the “Exchange Act”), or otherwise subject to the liabilities of that section, and shall not be incorporated by reference in any filing under the Securities Act or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0"/>
        <w:gridCol w:w="60"/>
        <w:gridCol w:w="9465"/>
      </w:tblGrid>
      <w:tr>
        <w:trPr/>
        <w:tc>
          <w:tcPr>
            <w:tcW w:w="68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6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80" w:type="dxa"/>
            <w:tcBorders/>
            <w:tcMar>
              <w:bottom w:w="0" w:type="dxa"/>
            </w:tcMar>
            <w:vAlign w:val="center"/>
          </w:tcPr>
          <w:p>
            <w:pPr>
              <w:pStyle w:val="TableContents"/>
              <w:bidi w:val="0"/>
              <w:spacing w:before="0" w:after="283"/>
              <w:jc w:val="left"/>
              <w:rPr/>
            </w:pPr>
            <w:hyperlink w:anchor="tm2625334d2_ex1-1.htm">
              <w:r>
                <w:rPr>
                  <w:rStyle w:val="InternetLink"/>
                  <w:rFonts w:ascii="Times New Roman;Times;Serif" w:hAnsi="Times New Roman;Times;Serif"/>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both"/>
              <w:rPr/>
            </w:pPr>
            <w:hyperlink w:anchor="tm2625334d2_ex1-1.htm">
              <w:r>
                <w:rPr>
                  <w:rStyle w:val="InternetLink"/>
                  <w:rFonts w:ascii="Times New Roman;Times;Serif" w:hAnsi="Times New Roman;Times;Serif"/>
                  <w:sz w:val="20"/>
                </w:rPr>
                <w:t>Underwriting Agreement, dated September 15, 2026, by and among Expand Energy Corporation and Citigroup Global Markets Inc. and J.P. Morgan Securities LLC, as representatives of the several underwriters named therein.</w:t>
              </w:r>
            </w:hyperlink>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283"/>
              <w:jc w:val="left"/>
              <w:rPr/>
            </w:pPr>
            <w:hyperlink w:anchor="tm2625334d2_ex99-1.htm">
              <w:r>
                <w:rPr>
                  <w:rStyle w:val="InternetLink"/>
                  <w:rFonts w:ascii="Times New Roman;Times;Serif" w:hAnsi="Times New Roman;Times;Serif"/>
                  <w:sz w:val="20"/>
                  <w:shd w:fill="FFFFFF" w:val="clear"/>
                </w:rPr>
                <w:t>99.1</w:t>
              </w:r>
            </w:hyperlink>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hyperlink w:anchor="tm2625334d2_ex99-1.htm">
              <w:r>
                <w:rPr>
                  <w:rStyle w:val="InternetLink"/>
                  <w:rFonts w:ascii="Times New Roman;Times;Serif" w:hAnsi="Times New Roman;Times;Serif"/>
                  <w:sz w:val="20"/>
                </w:rPr>
                <w:t>Expand Energy Corporation press release dated September 15, 2026.</w:t>
              </w:r>
            </w:hyperlink>
          </w:p>
        </w:tc>
      </w:tr>
      <w:tr>
        <w:trPr/>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pPr>
            <w:r>
              <w:rPr/>
              <w:t> </w:t>
            </w:r>
          </w:p>
        </w:tc>
      </w:tr>
      <w:tr>
        <w:trPr/>
        <w:tc>
          <w:tcPr>
            <w:tcW w:w="6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320"/>
        <w:gridCol w:w="4025"/>
      </w:tblGrid>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EXPAND ENERGY CORPORATION</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Marcel Teunissen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Marcel Teunissen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25334d2_ex1-1.htm"/>
      <w:bookmarkStart w:id="23" w:name="kstm2625334d2_ex11"/>
      <w:bookmarkEnd w:id="22"/>
      <w:bookmarkEnd w:id="23"/>
      <w:r>
        <w:rPr>
          <w:b/>
        </w:rPr>
        <w:t>Exhibit 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625"/>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listed</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 an Oklahoma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issue and sell to the several Underwriters listed in Schedule 1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you are acting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$500,000,000 principal amount of its 5.650% Senior Notes due 2031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will be issued pursuant to that certain Indenture dated December 2, 2024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Regions Bank,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the Second Supplemental Indenture to the Base Indenture, to be dated as of September 17, 2026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proceeds of the offering of the Securities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being issued and sold in connection with the transactions contemplated by an Agreement and Plan of Merger, as defined below, dated as of July 24, 2026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Twin Eagle Holdings, N.A., L.L.C. (“</w:t>
      </w:r>
      <w:r>
        <w:rPr>
          <w:rFonts w:ascii="Times New Roman;Times;Serif" w:hAnsi="Times New Roman;Times;Serif"/>
          <w:b w:val="false"/>
          <w:i w:val="false"/>
          <w:caps w:val="false"/>
          <w:smallCaps w:val="false"/>
          <w:sz w:val="20"/>
          <w:u w:val="single"/>
        </w:rPr>
        <w:t>Twin Eagle</w:t>
      </w:r>
      <w:r>
        <w:rPr>
          <w:rFonts w:ascii="Times New Roman;Times;Serif" w:hAnsi="Times New Roman;Times;Serif"/>
          <w:b w:val="false"/>
          <w:i w:val="false"/>
          <w:caps w:val="false"/>
          <w:smallCaps w:val="false"/>
          <w:sz w:val="20"/>
        </w:rPr>
        <w:t>”), Eikon AW Holdings, LLC, a wholly owned subsidiary of the Company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TERM Holdings, LLC, solely in its capacity as representative of the members of Twin Eagle with Twin Eagle and its subsidiaries referred to collectively as the “</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following which Merger Sub will merge with and into Twin Eagle, with Twin Eagle surviving the merger as a wholly owned subsidiary of the Company (such transactions,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The completion of the offering of the Securities contemplated by this Agreement (as defined below) is not a condition to the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several Underwriters concerning the purchase and sale of the Securities,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and the rules and regulations of the Commission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 registration statement on Form S-3 (File No. 333-283348), including a prospectus, relating to the Securities. Such registration statement, as amended at the time it became effective, including the information, if any, deemed pursuant to Rule 430B or 430C under the Securities Act to be part of the registration statement at the time of its effectiveness (“</w:t>
      </w:r>
      <w:r>
        <w:rPr>
          <w:rFonts w:ascii="Times New Roman;Times;Serif" w:hAnsi="Times New Roman;Times;Serif"/>
          <w:b w:val="false"/>
          <w:i w:val="false"/>
          <w:caps w:val="false"/>
          <w:smallCaps w:val="false"/>
          <w:sz w:val="20"/>
          <w:u w:val="single"/>
        </w:rPr>
        <w:t>Rule 430 Information</w:t>
      </w:r>
      <w:r>
        <w:rPr>
          <w:rFonts w:ascii="Times New Roman;Times;Serif" w:hAnsi="Times New Roman;Times;Serif"/>
          <w:b w:val="false"/>
          <w:i w:val="false"/>
          <w:caps w:val="false"/>
          <w:smallCaps w:val="false"/>
          <w:sz w:val="20"/>
        </w:rPr>
        <w:t>”), is referred to herein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as used herein, the term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w:t>
      </w:r>
      <w:r>
        <w:rPr>
          <w:rFonts w:ascii="Times New Roman;Times;Serif" w:hAnsi="Times New Roman;Times;Serif"/>
          <w:b w:val="false"/>
          <w:i w:val="false"/>
          <w:caps w:val="false"/>
          <w:smallCaps w:val="false"/>
          <w:sz w:val="20"/>
          <w:u w:val="single"/>
        </w:rPr>
        <w:t>Rule 462 Registration Statement</w:t>
      </w:r>
      <w:r>
        <w:rPr>
          <w:rFonts w:ascii="Times New Roman;Times;Serif" w:hAnsi="Times New Roman;Times;Serif"/>
          <w:b w:val="false"/>
          <w:i w:val="false"/>
          <w:caps w:val="false"/>
          <w:smallCaps w:val="false"/>
          <w:sz w:val="20"/>
        </w:rPr>
        <w:t>”), then any reference herein to the term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be deemed to include such Rule 462 Registration Statement. Any reference in this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Times;Serif" w:hAnsi="Times New Roman;Times;Serif"/>
          <w:b w:val="false"/>
          <w:i w:val="false"/>
          <w:caps w:val="false"/>
          <w:smallCaps w:val="false"/>
          <w:sz w:val="20"/>
          <w:u w:val="single"/>
        </w:rPr>
        <w:t>amend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that are deemed to be incorporated by reference therein. Capitalized terms used but not defined herein shall have the meanings given to such terms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1:48 P.M., New York City time, on September 15, 2026, the time when sales of the Securities were first made (the “</w:t>
      </w:r>
      <w:r>
        <w:rPr>
          <w:rFonts w:ascii="Times New Roman;Times;Serif" w:hAnsi="Times New Roman;Times;Serif"/>
          <w:b w:val="false"/>
          <w:i w:val="false"/>
          <w:caps w:val="false"/>
          <w:smallCaps w:val="false"/>
          <w:sz w:val="20"/>
          <w:u w:val="single"/>
        </w:rPr>
        <w:t>Time of Sale</w:t>
      </w:r>
      <w:r>
        <w:rPr>
          <w:rFonts w:ascii="Times New Roman;Times;Serif" w:hAnsi="Times New Roman;Times;Serif"/>
          <w:b w:val="false"/>
          <w:i w:val="false"/>
          <w:caps w:val="false"/>
          <w:smallCaps w:val="false"/>
          <w:sz w:val="20"/>
        </w:rPr>
        <w:t>”), the Company had prepared the following information (collectively, the “</w:t>
      </w:r>
      <w:r>
        <w:rPr>
          <w:rFonts w:ascii="Times New Roman;Times;Serif" w:hAnsi="Times New Roman;Times;Serif"/>
          <w:b w:val="false"/>
          <w:i w:val="false"/>
          <w:caps w:val="false"/>
          <w:smallCaps w:val="false"/>
          <w:sz w:val="20"/>
          <w:u w:val="single"/>
        </w:rPr>
        <w:t>Time of Sale Information</w:t>
      </w:r>
      <w:r>
        <w:rPr>
          <w:rFonts w:ascii="Times New Roman;Times;Serif" w:hAnsi="Times New Roman;Times;Serif"/>
          <w:b w:val="false"/>
          <w:i w:val="false"/>
          <w:caps w:val="false"/>
          <w:smallCaps w:val="false"/>
          <w:sz w:val="20"/>
        </w:rPr>
        <w:t>”): a Preliminary Prospectus dated September 15, 2026, and each “</w:t>
      </w:r>
      <w:r>
        <w:rPr>
          <w:rFonts w:ascii="Times New Roman;Times;Serif" w:hAnsi="Times New Roman;Times;Serif"/>
          <w:b w:val="false"/>
          <w:i w:val="false"/>
          <w:caps w:val="false"/>
          <w:smallCaps w:val="false"/>
          <w:sz w:val="20"/>
          <w:u w:val="single"/>
        </w:rPr>
        <w:t>free-writing prospectus</w:t>
      </w:r>
      <w:r>
        <w:rPr>
          <w:rFonts w:ascii="Times New Roman;Times;Serif" w:hAnsi="Times New Roman;Times;Serif"/>
          <w:b w:val="false"/>
          <w:i w:val="false"/>
          <w:caps w:val="false"/>
          <w:smallCaps w:val="false"/>
          <w:sz w:val="20"/>
        </w:rPr>
        <w:t>” (as defined pursuant to Rule 405 under the Securities Act) listed on Annex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and Sale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99.289% of the principal amount thereof plus accrued interest, if any, from September 17, 2026 to the Closing Date (as defined below). The Company will not be obligated to deliver any of the Securities except upon payment for all the Securities to be purchased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for and delivery of the Securities will be made at the offices of Simpson Thacher &amp; Bartlett LLP, 1000 Main Street, Suite 2900, Houston, Texas 77002 at 10:00 A.M., New York City time, on September 17,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for the Securities shall be made by wire transfer in immediately available funds to the account(s) specified by the Company to the Representatives against delivery to the nominee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for the account of the Underwriters, of one or more global notes representing the Securities (collectively, the “</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with any transfer taxes payable in connection with the initial sale and delivery of the Securities by the Company to the Underwriters duly paid by the Company; provided, that notwithstanding anything to the contrary herein, the Company shall not be responsible for any transfer or other similar taxes payable in connection with any subsequent transfer or resale of the Securities by any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or with respect thereto. Any review by the Representatives or any Underwriter of the Company, the transactions contemplated hereby or other matters relating to such transactions will be performed solely for the benefit of the Representatives or such Underwriter, as the case may be, and shall not be on behalf of the Company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each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Preliminary Prospectus.</w:t>
      </w:r>
      <w:r>
        <w:rPr>
          <w:rFonts w:ascii="Times New Roman;Times;Serif" w:hAnsi="Times New Roman;Times;Serif"/>
          <w:b w:val="false"/>
          <w:i w:val="false"/>
          <w:caps w:val="false"/>
          <w:smallCaps w:val="false"/>
          <w:sz w:val="20"/>
        </w:rPr>
        <w:t xml:space="preserve"> No order preventing or suspending the use of any Preliminary Prospectus has been issued by the Commission, and each Preliminary Prospectus, at the time of filing thereof, complied in all material respects with the applicable requirements of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The Time of Sale Information, at the Time of Sale did not, and, as then amended or supplemented by the Company, if applicable,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Issuer Free Writing Prospectus. </w:t>
      </w:r>
      <w:r>
        <w:rPr>
          <w:rFonts w:ascii="Times New Roman;Times;Serif" w:hAnsi="Times New Roman;Times;Serif"/>
          <w:b w:val="false"/>
          <w:i w:val="false"/>
          <w:caps w:val="false"/>
          <w:smallCaps w:val="false"/>
          <w:sz w:val="20"/>
        </w:rPr>
        <w:t>The Company (including its agents and representatives, other than the Underwriters in their capacity as such) has not prepared, made, used, authorized, approved or referred to and will not prepare, make, use, authorize, approve or refer to any “</w:t>
      </w:r>
      <w:r>
        <w:rPr>
          <w:rFonts w:ascii="Times New Roman;Times;Serif" w:hAnsi="Times New Roman;Times;Serif"/>
          <w:b w:val="false"/>
          <w:i w:val="false"/>
          <w:caps w:val="false"/>
          <w:smallCaps w:val="false"/>
          <w:sz w:val="20"/>
          <w:u w:val="single"/>
        </w:rPr>
        <w:t>written communication</w:t>
      </w:r>
      <w:r>
        <w:rPr>
          <w:rFonts w:ascii="Times New Roman;Times;Serif" w:hAnsi="Times New Roman;Times;Serif"/>
          <w:b w:val="false"/>
          <w:i w:val="false"/>
          <w:caps w:val="false"/>
          <w:smallCaps w:val="false"/>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as defined in Rule 433(h) under the Securities Act (the “</w:t>
      </w:r>
      <w:r>
        <w:rPr>
          <w:rFonts w:ascii="Times New Roman;Times;Serif" w:hAnsi="Times New Roman;Times;Serif"/>
          <w:b w:val="false"/>
          <w:i w:val="false"/>
          <w:caps w:val="false"/>
          <w:smallCaps w:val="false"/>
          <w:sz w:val="20"/>
          <w:u w:val="single"/>
        </w:rPr>
        <w:t>Road Show</w:t>
      </w:r>
      <w:r>
        <w:rPr>
          <w:rFonts w:ascii="Times New Roman;Times;Serif" w:hAnsi="Times New Roman;Times;Serif"/>
          <w:b w:val="false"/>
          <w:i w:val="false"/>
          <w:caps w:val="false"/>
          <w:smallCaps w:val="false"/>
          <w:sz w:val="20"/>
        </w:rPr>
        <w:t xml:space="preserve">”)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threatened by the Commission; as of the applicable effective date of the Registration Statement and any amendment thereto, the Registration Statement complied and will comply in all material respects to the applicable requirements of the Securities Act and the Trust Indenture Act of 1939, as amended, and the rules and regulations of the Commission thereunder (collectively,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xml:space="preserve">”), and did not and will not, as of their respective dates,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is that described as such in Section 7(b)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Incorporated Documents.</w:t>
      </w:r>
      <w:r>
        <w:rPr>
          <w:rFonts w:ascii="Times New Roman;Times;Serif" w:hAnsi="Times New Roman;Times;Serif"/>
          <w:b w:val="false"/>
          <w:i w:val="false"/>
          <w:caps w:val="false"/>
          <w:smallCaps w:val="false"/>
          <w:sz w:val="20"/>
        </w:rPr>
        <w:t xml:space="preserve"> The documents incorporated by reference in each of the Registration Statement, the Prospectus and the Time of Sale Information, when they were filed with the Commission conformed in all material respects to the applicable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required to be stated therein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financial statements of the Company and the related notes thereto included or incorporated by reference in each of the Registration Statement, the Time of Sale Information and the Prospectus comply in all material respects with the applicable requirements of the Securities Act and the Exchange Act, as applicable, and present fairly, in all material respects, the consolidated financial position of the Company and its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thereby, except as described in the notes to such financial statements, and the supporting schedules included or incorporated by reference in each of the Registration Statement, the Prospectus and the Time of Sale Information present fairly the information required to be stated therein. The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Since the date of the latest audited financial statements of the Company included or incorporated by reference in each of the Registration Statement, the Time of Sale Information and the Prospectus there has not been any material change in the capital stock or long-term debt of the Company or any of its “significant subsidiaries” (as defined in Rule 1-02 of Regulation S-X, the “</w:t>
      </w:r>
      <w:r>
        <w:rPr>
          <w:rFonts w:ascii="Times New Roman;Times;Serif" w:hAnsi="Times New Roman;Times;Serif"/>
          <w:b w:val="false"/>
          <w:i w:val="false"/>
          <w:caps w:val="false"/>
          <w:smallCaps w:val="false"/>
          <w:sz w:val="20"/>
          <w:u w:val="single"/>
        </w:rPr>
        <w:t>Significant Subsidiaries</w:t>
      </w:r>
      <w:r>
        <w:rPr>
          <w:rFonts w:ascii="Times New Roman;Times;Serif" w:hAnsi="Times New Roman;Times;Serif"/>
          <w:b w:val="false"/>
          <w:i w:val="false"/>
          <w:caps w:val="false"/>
          <w:smallCaps w:val="false"/>
          <w:sz w:val="20"/>
        </w:rPr>
        <w:t>”) or any material adverse change, or any development involving a prospective material adverse change, in or affecting the properties, business, financial position, or results of operations of the Company and its subsidiaries, taken as a whole, otherwise than as set forth or contemplated in the Registration Statement, the Time of Sale Information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Title to Real and Personal Property.</w:t>
      </w:r>
      <w:r>
        <w:rPr>
          <w:rFonts w:ascii="Times New Roman;Times;Serif" w:hAnsi="Times New Roman;Times;Serif"/>
          <w:b w:val="false"/>
          <w:i w:val="false"/>
          <w:caps w:val="false"/>
          <w:smallCaps w:val="false"/>
          <w:sz w:val="20"/>
        </w:rPr>
        <w:t xml:space="preserve"> The Company and its subsidiaries have (i) good and defensible title to its oil and gas properties, (ii) good and marketable title to all other real property owned by it to the extent necessary to carry on its business, (iii) good and marketable title to all personal property owned by it, and (iv) good and defensible title to the easements, leases and subleases material to the business of the Company and its subsidiaries, in each case free and clear of all liens, encumbrances and defects that, in aggregate, materially affect the value of the properties of the Company and its subsidiaries, considered as one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The Company has the capitalization as set forth in each of the Registration Statement, the Time of Sale Information and the Prospectus under the heading “Capitalization”; and all of the issued shares of capital stock of the Company and its Significant Subsidiaries have been duly and validly authorized and issued, are fully paid and non-assessable and (in the case of the capital stock of the Company’s Significant Subsidiaries) are owned directly or indirectly by the Company free and clear of any lien, charge, encumbrance, security interest, restriction on voting or transfer or any other claim of any third party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except as otherwise disclosed in each of the Registration Statement, the Time of Sale Information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xml:space="preserve"> The Company and its Significant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in each case as described in the Registration Statement, Time of Sale Information and the Prospectus, except where the failure to be so qualified, in good standing or have such power or authority would not reasonably be expected to, individually or in the aggregate, have a material adverse effect on the business, properties, management, financial position, results of operations or prospects of the Company and its subsidiaries taken as a whole or on the performance by the Company of its obligations under this Agreement and the Securities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subsidiaries listed in Schedule 2 to this Agreement are the only Significant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 xml:space="preserve">The Indenture. </w:t>
      </w:r>
      <w:r>
        <w:rPr>
          <w:rFonts w:ascii="Times New Roman;Times;Serif" w:hAnsi="Times New Roman;Times;Serif"/>
          <w:b w:val="false"/>
          <w:i w:val="false"/>
          <w:caps w:val="false"/>
          <w:smallCaps w:val="false"/>
          <w:sz w:val="20"/>
        </w:rPr>
        <w:t>The Indenture has been duly authorized by the Company and on the Closing Date will be duly executed and delivered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reorganization or similar laws affecting the enforcement of creditors’ rights generally or by equitable principles relating to enforceability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and on the Closing Date, the Indenture will conform in all material respects to the applicable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The Company has all requisite corporate power to execute, deliver and perform its obligations under this Agreement, the Securities, the Indenture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to perform its obligations hereunder and thereunder; and all action required to be taken for the due and proper authorization, execution and delivery of each of the Transaction Documents and the consummation of the transactions contemplated thereby has been duly and validly taken by the Company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has not taken, directly or indirectly, any action designed to or that could reasonably be expected to cause or result in any stabilization or manipulation of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No Violation or Default.</w:t>
      </w:r>
      <w:r>
        <w:rPr>
          <w:rFonts w:ascii="Times New Roman;Times;Serif" w:hAnsi="Times New Roman;Times;Serif"/>
          <w:b w:val="false"/>
          <w:i w:val="false"/>
          <w:caps w:val="false"/>
          <w:smallCaps w:val="false"/>
          <w:sz w:val="20"/>
        </w:rPr>
        <w:t xml:space="preserve"> Neither the Company nor any of its subsidiaries (or, in the case of the succeeding clause (i), its Significant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written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having jurisdiction over the Company, its subsidiaries or any of their respective property, except, in the case of clauses (ii) and (iii) above, for any such default or violation that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 xml:space="preserve">No Conflicts. </w:t>
      </w:r>
      <w:r>
        <w:rPr>
          <w:rFonts w:ascii="Times New Roman;Times;Serif" w:hAnsi="Times New Roman;Times;Serif"/>
          <w:b w:val="false"/>
          <w:i w:val="false"/>
          <w:caps w:val="false"/>
          <w:smallCaps w:val="false"/>
          <w:sz w:val="20"/>
        </w:rPr>
        <w:t>The execution, delivery and performance by the Company of each of the Transaction Documents to which it is a party, the issuance and sale of the Securities, the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its subsidiaries or any of their respective property, except, in the case of clauses (i) and (iii) above, for any such conflict, breach, violation, default, lien, charge or encumbrance that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xml:space="preserve"> Except as otherwise disclosed in the Registration Statement, the Time of Sale Information and the Prospectus, there are no legal, governmental or regulatory investigations, actions, demands, claims, suits, arbitrations, inquiries or proceedings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pending or, to the knowledge of the Company, threatened by any governmental or regulatory authority or by others to which the Company or any of its subsidiaries is or may be a party or to which any property or asset of the Company or any of its subsidiaries is or may be the subject that, individually or in the aggregate, if determined adversely to the Company or any of its subsidiaries,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The Company is not, and after giving effect to the offering and sale of the Securities and the application of the proceeds thereof as described in each of the Registration Statement, the Time of Sale Information and the Prospectus, will not be an “investment company” or an entity “controlled” by an “investment company” within the meaning of the Investment Company Act of 1940, as amended, and the rules and regulations of the Commission thereunder (collectively,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xml:space="preserve"> The Company and its subsidiaries maintain systems of “internal control over financial reporting” (as defined in Rule 13a-15(f) of the Exchange Act) that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each of the Registration Statement, the Time of Sale Information and the Prospectus, the Company is not aware of any material weaknesses in the Company’s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Disclosure Controls</w:t>
      </w:r>
      <w:r>
        <w:rPr>
          <w:rFonts w:ascii="Times New Roman;Times;Serif" w:hAnsi="Times New Roman;Times;Serif"/>
          <w:b w:val="false"/>
          <w:i w:val="false"/>
          <w:caps w:val="false"/>
          <w:smallCaps w:val="false"/>
          <w:sz w:val="20"/>
        </w:rPr>
        <w:t>. The Company and its subsidiaries maintain a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xml:space="preserve"> Neither the Company nor any of its subsidiaries, nor any director or officer nor, to the knowledge of the Company, any employee of the Company or any of its subsidiaries, any agent, affiliate or other person authorized to act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applicable provision of the Foreign Corrupt Practices Act of 1977, as amended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or any applicable law or regulation implementing the OECD Convention on Combating Bribery of Foreign Public Officials in International Business Transactions, or committed an offence under the Bribery Act 2010 of the United Kingdom (the “</w:t>
      </w:r>
      <w:r>
        <w:rPr>
          <w:rFonts w:ascii="Times New Roman;Times;Serif" w:hAnsi="Times New Roman;Times;Serif"/>
          <w:b w:val="false"/>
          <w:i w:val="false"/>
          <w:caps w:val="false"/>
          <w:smallCaps w:val="false"/>
          <w:sz w:val="20"/>
          <w:u w:val="single"/>
        </w:rPr>
        <w:t>UK Bribery Act</w:t>
      </w:r>
      <w:r>
        <w:rPr>
          <w:rFonts w:ascii="Times New Roman;Times;Serif" w:hAnsi="Times New Roman;Times;Serif"/>
          <w:b w:val="false"/>
          <w:i w:val="false"/>
          <w:caps w:val="false"/>
          <w:smallCaps w:val="false"/>
          <w:sz w:val="20"/>
        </w:rPr>
        <w:t>”) where applicable, or any other applicable anti-bribery or anti-corruption law (collectively, “</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reasonably designed to promote compliance with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Compliance with Money Laundering Laws</w:t>
      </w:r>
      <w:r>
        <w:rPr>
          <w:rFonts w:ascii="Times New Roman;Times;Serif" w:hAnsi="Times New Roman;Times;Serif"/>
          <w:b w:val="false"/>
          <w:i w:val="false"/>
          <w:caps w:val="false"/>
          <w:smallCaps w:val="false"/>
          <w:sz w:val="20"/>
        </w:rPr>
        <w:t>. The operations of the Company and its subsidiaries have been conducted at all times in material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No Conflicts with Sanctions Laws. </w:t>
      </w:r>
      <w:r>
        <w:rPr>
          <w:rFonts w:ascii="Times New Roman;Times;Serif" w:hAnsi="Times New Roman;Times;Serif"/>
          <w:b w:val="false"/>
          <w:i w:val="false"/>
          <w:caps w:val="false"/>
          <w:smallCaps w:val="false"/>
          <w:sz w:val="20"/>
        </w:rPr>
        <w:t>Neither the Company nor any of its subsidiaries nor any of their respective directors or officers nor, to the knowledge of the Company, any employee, agent or affiliate of the Company or any of its subsidiaries is currently the subject of any sanctions administered by the U.S. Government (including without limitation, the Office of Foreign Assets Control of the U.S. Department of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or the U.S. Department of State), the United Nations Security Council, the European Union, HM’s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the target of Sanctions (at the time of this Agreement, the Crimea, so-called Donetsk People’s Republic, Kherson, the so-called Luhansk People’s Republic, and Zaporizhzhia regions of Ukraine, Cuba, Iran, North Korea and Syria (with respect to Syria, only until July 1, 2025)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knowingly indirectly use any of the proceeds of the offering of the Securities hereunder, or lend, contribute or otherwise make available such proceeds to any subsidiary, joint venture partner or other person or entity (i) to fund or facilitate any activity of or business with any person that, at the time of such funding or facilitation, is the subject or the target of any Sanctions, (ii) to fund or facilitate any activities of or any business in any Sanctioned Country, or (iii) in any other manner that would result in a violation by any person (including any person participating in the transaction, whether as underwriter, advisor, investor, or otherwise) of any Sanctions. Since April 24, 2019, the Company and its subsidiaries have not knowingly engaged in, are not now knowingly engaged in, and will not directly or knowingly indirectly engage in, any dealings or transactions with any person that at the time of the dealing or transaction is or was the subject or the target of any Sanctions or with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Certain Environmental Matters</w:t>
      </w:r>
      <w:r>
        <w:rPr>
          <w:rFonts w:ascii="Times New Roman;Times;Serif" w:hAnsi="Times New Roman;Times;Serif"/>
          <w:b w:val="false"/>
          <w:i w:val="false"/>
          <w:caps w:val="false"/>
          <w:smallCaps w:val="false"/>
          <w:sz w:val="20"/>
        </w:rPr>
        <w:t>. Except as disclosed in the Registration Statement, the Time of Sale Information and the Prospectus, neither the Company nor any of its subsidiaries (i) is in violation of any applicable foreign, federal, state, or local statute, rule, regulation, or legally binding decision or order of any governmental agency or body or any court, relating to the use, disposal or release of hazardous or toxic substances or relating to the protection or pollution of the environment or human exposure to hazardous or toxic substances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owns or operates any real property contaminated with any waste, pollutant, contaminant, or hazardous or toxic substance for which it is subject to liability pursuant to any Environmental Laws, or is liable for contamination at any off-site location pursuant to any Environmental Laws, or (iii) is subject to any pending, or to the knowledge of the Company, threatened claim in writing arising under any Environmental Laws, except, in the case of clauses (i), (ii), and (iii) above, for any such violation, contamination, liability or claim that would not reasonably be expected to,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Compliance with ERISA.</w:t>
      </w:r>
      <w:r>
        <w:rPr>
          <w:rFonts w:ascii="Times New Roman;Times;Serif" w:hAnsi="Times New Roman;Times;Serif"/>
          <w:b w:val="false"/>
          <w:i w:val="false"/>
          <w:caps w:val="false"/>
          <w:smallCaps w:val="false"/>
          <w:sz w:val="20"/>
        </w:rPr>
        <w:t xml:space="preserve">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affiliates for employees or former employees of the Company and its affiliates has been maintained in compliance, in all material respects, with its terms and the requirements of any applicable statutes, orders, rules and regulations, including but not limited to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no prohibited transaction, within the meaning of Section 406 of ERISA or Section 4975 of the Code, has occurred with respect to any such plan excluding any transactions effected pursuant to a statutory or administrative exemption and transactions which, individually or in the aggregate, would not have a Material Adverse Effect; and no such plan is subject to Title IV of ERISA or the funding rules of Section 412 of the Code or Section 302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 xml:space="preserve">Reserve Standards. </w:t>
      </w:r>
      <w:r>
        <w:rPr>
          <w:rFonts w:ascii="Times New Roman;Times;Serif" w:hAnsi="Times New Roman;Times;Serif"/>
          <w:b w:val="false"/>
          <w:i w:val="false"/>
          <w:caps w:val="false"/>
          <w:smallCaps w:val="false"/>
          <w:sz w:val="20"/>
        </w:rPr>
        <w:t>Other than as disclosed in the Registration Statement, the Time of Sale Information and the Prospectus, the proved reserves for crude oil and natural gas for each of the periods presented in the Registration Statement and the Prospectus were prepared in accordance with the Statement of Financial Accounting Standards No. 69 and Rule 4-10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 xml:space="preserve">Independent Reserve Engineers. </w:t>
      </w:r>
      <w:r>
        <w:rPr>
          <w:rFonts w:ascii="Times New Roman;Times;Serif" w:hAnsi="Times New Roman;Times;Serif"/>
          <w:b w:val="false"/>
          <w:i w:val="false"/>
          <w:caps w:val="false"/>
          <w:smallCaps w:val="false"/>
          <w:sz w:val="20"/>
        </w:rPr>
        <w:t>Netherland, Sewell &amp; Associates, Inc. (“</w:t>
      </w:r>
      <w:r>
        <w:rPr>
          <w:rFonts w:ascii="Times New Roman;Times;Serif" w:hAnsi="Times New Roman;Times;Serif"/>
          <w:b w:val="false"/>
          <w:i w:val="false"/>
          <w:caps w:val="false"/>
          <w:smallCaps w:val="false"/>
          <w:sz w:val="20"/>
          <w:u w:val="single"/>
        </w:rPr>
        <w:t>NSAI</w:t>
      </w:r>
      <w:r>
        <w:rPr>
          <w:rFonts w:ascii="Times New Roman;Times;Serif" w:hAnsi="Times New Roman;Times;Serif"/>
          <w:b w:val="false"/>
          <w:i w:val="false"/>
          <w:caps w:val="false"/>
          <w:smallCaps w:val="false"/>
          <w:sz w:val="20"/>
        </w:rPr>
        <w:t>”), whose report is included in the Time of Sale Information and the Prospectus and who has delivered and will deliver the letters referred to in Section 6(g) hereof, was, as of the date of such report, and is, as of the date hereof, an independent petroleum engineer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Reserve Report Data</w:t>
      </w:r>
      <w:r>
        <w:rPr>
          <w:rFonts w:ascii="Times New Roman;Times;Serif" w:hAnsi="Times New Roman;Times;Serif"/>
          <w:b w:val="false"/>
          <w:i w:val="false"/>
          <w:caps w:val="false"/>
          <w:smallCaps w:val="false"/>
          <w:sz w:val="20"/>
        </w:rPr>
        <w:t>. The oil and gas reserve estimates of the Company included in each of the Time of Sale Information and the Prospectus are derived from reports prepared by NSAI, as set forth and to the extent indicated therein, and have been prepared in accordance with Commission guidelines in all material respects, and the Company has no reason to believe that such estimates do not fairly reflect, in all material respects, the oil and gas reserves of the Company, as of the dates indicated therein. Other than normal production of the reserves, intervening product price fluctuations, fluctuations in demand for such products, adverse weather conditions, unavailability or increased costs of rigs, services, supplies or personnel, the timing of third party operations and other facts, in each case in the ordinary course of business, and as described in each of the Time of Sale Information and the Prospectus, the Company is not aware of any facts or circumstances that would result in a material adverse change in the aggregate net reserves or the present value of future net cash flows therefrom as described in each of the Time of Sale Information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xml:space="preserve"> PricewaterhouseCoopers LLP (“</w:t>
      </w:r>
      <w:r>
        <w:rPr>
          <w:rFonts w:ascii="Times New Roman;Times;Serif" w:hAnsi="Times New Roman;Times;Serif"/>
          <w:b w:val="false"/>
          <w:i w:val="false"/>
          <w:caps w:val="false"/>
          <w:smallCaps w:val="false"/>
          <w:sz w:val="20"/>
          <w:u w:val="single"/>
        </w:rPr>
        <w:t>PwC</w:t>
      </w:r>
      <w:r>
        <w:rPr>
          <w:rFonts w:ascii="Times New Roman;Times;Serif" w:hAnsi="Times New Roman;Times;Serif"/>
          <w:b w:val="false"/>
          <w:i w:val="false"/>
          <w:caps w:val="false"/>
          <w:smallCaps w:val="false"/>
          <w:sz w:val="20"/>
        </w:rPr>
        <w:t>”), who have certified certain financial statements of the Company and its subsidiaries, are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The Company is in compliance in all material respects with the applicable provisions of the Sarbanes-Oxley Act of 2002, as amended, and the rules and regulations promulgated in connection therewith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 xml:space="preserve">Cybersecurity; Data Protection. </w:t>
      </w:r>
      <w:r>
        <w:rPr>
          <w:rFonts w:ascii="Times New Roman;Times;Serif" w:hAnsi="Times New Roman;Times;Serif"/>
          <w:b w:val="false"/>
          <w:i w:val="false"/>
          <w:caps w:val="false"/>
          <w:smallCaps w:val="false"/>
          <w:sz w:val="20"/>
        </w:rPr>
        <w:t>To the Company’s knowledge, except as would not reasonably be expected, individually or in the aggregate, to have a Material Adverse Effect, the Company’s and its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(i) are adequate for, and operate and perform in all material respects as required in connection with, the operation of the businesses of the Company and its subsidiaries as currently conducted and as proposed to be conducted in the Registration Statement, the Time of Sale Information and the Prospectus, (ii) have not malfunctioned or failed in a manner that has not been remediated in all respects, and (iii) are free and clear of all bugs, errors, defects, Trojan horses, time bombs, backdoors, drop dead devices, malware and other corruptants. The Company and its subsidiaries have implemented commercially reasonable controls, policies, procedures, and technological safeguards designed to maintain and protect the integrity and security of their material IT Systems and sensitive or confidential data and information (including all data that constitutes “personal” or “personally identifiable” data or information under applicable law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used in connection with their businesses, including as processed and stored thereon. There has been no breach, outage, compromise or unauthorized or unlawful use or disclosure of or access to the Company’s IT Systems, Personal Data maintained, processed or stored thereon, or, to the Company’s knowledge any such data stored or processed by third parties for or on behalf of the Company or its subsidiaries (each, a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except as would not, individually or in the aggregate, reasonably be expected to result in a Material Adverse Effect. The Company and its subsidiaries have complied with and are presently in compliance with all applicable laws and statutes and all applicable judgments, orders, rules and regulations of any court or arbitrator or governmental or regulatory authority, the Company’s or its subsidiaries’, as applicable, internal and external policies, contractual obligations, and binding industry standards, in each case, to the extent relating to (x) the privacy and security of the IT Systems and Personal Data, (y) the protection of such IT Systems and Personal Data from any Breach, or (z) the collection, use, transfer, storage, protection, disposal, disclosure or other processing by the Company or any of its subsidiaries of Personal Data, in each case of the foregoing, other than as would not reasonably be expected to result, individually or in the aggregate,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(i) The Company and its subsidiaries own, or have obtained valid and enforceable licenses for, or other adequate rights to use, or can acquire on reasonable terms such rights to, all inventions, patents, trademarks, tradenames, service marks, copyrights, trade secrets, know-how, social media identifiers and accounts, software, domain names and all other worldwide intellectual property and similar proprietary rights (including all registrations and applications for registration of, and all goodwill associated with, the foregoing)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that are used in or necessary for the conduct of their respective businesses as currently conducted, except where the failure to own, license or have such rights would not, individually or in the aggregate, have a Material Adverse Effect. Neither the Company nor any of its subsidiaries have knowingly infringed, misappropriated, or otherwise violated any Intellectual Property rights of others, nor have the Company or its subsidiaries received any written notice alleging any infringement, misappropriation or other violation by the Company or its subsidiaries of any Intellectual Property rights of others, which, individually or in the aggregate, if the subject of an unfavorable decision, ruling or finding, would have a Material Adverse Effect. Except as would not, individually or in the aggregate, reasonably be expected to result in a Material Adverse Effect, there is no pending, or to the Company’s knowledge, threatened, Action against the Company or any of its subsidiaries regarding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rPr>
        <w:t xml:space="preserve">Taxes. </w:t>
      </w:r>
      <w:r>
        <w:rPr>
          <w:rFonts w:ascii="Times New Roman;Times;Serif" w:hAnsi="Times New Roman;Times;Serif"/>
          <w:b w:val="false"/>
          <w:i w:val="false"/>
          <w:caps w:val="false"/>
          <w:smallCaps w:val="false"/>
          <w:sz w:val="20"/>
        </w:rPr>
        <w:t>Except as otherwise disclosed in each of the Registration Statement, the Time of Sale Information and the Prospectus, or as would not, individually or in the aggregate, have a Material Adverse Effect, (i) the Company and its subsidiaries have paid all federal, state, local and foreign taxes and filed all tax returns required to be paid or filed through the date hereof other than taxes that are being contested in good faith and as to which adequate reserves have been established in accordance with GAAP; and (ii) there is no tax deficiency that has been, or could reasonably be expected to be, asserted against the Company or its subsidiaries or any of their respective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is required for the execution, delivery and performance by the Company of each of the Transaction Documents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and sale of the Securities, the compliance by the Company with the terms thereof and the consummation of the transactions contemplated by the Transaction Documents, except for (i) the registration of the Securities under the Securities Act, (ii) the qualification of the Indenture under the Trust Indenture Act, (iii) such consents, approvals, authorizations, orders and registrations or qualifications as may be required under applicable state securities laws in connection with the purchase and distribution of the Securities by the Underwriters and (iv) that, if not obtained,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rPr>
        <w:t>The Securities</w:t>
      </w:r>
      <w:r>
        <w:rPr>
          <w:rFonts w:ascii="Times New Roman;Times;Serif" w:hAnsi="Times New Roman;Times;Serif"/>
          <w:b w:val="false"/>
          <w:i w:val="false"/>
          <w:caps w:val="false"/>
          <w:smallCaps w:val="false"/>
          <w:sz w:val="20"/>
        </w:rPr>
        <w:t>. 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Descriptions of the Transaction Documents</w:t>
      </w:r>
      <w:r>
        <w:rPr>
          <w:rFonts w:ascii="Times New Roman;Times;Serif" w:hAnsi="Times New Roman;Times;Serif"/>
          <w:b w:val="false"/>
          <w:i w:val="false"/>
          <w:caps w:val="false"/>
          <w:smallCaps w:val="false"/>
          <w:sz w:val="20"/>
        </w:rPr>
        <w:t>. Each Transaction Document conforms in all material respects to the description thereof contained in each of the Registration Statement, the Time of Sale Information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xml:space="preserve"> The Company and its subsidiaries possess all licenses, sub-licenses, certificates, permits and other authorizations issued by, and have made all declarations and filings with, the appropriate federal, state, or local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individually or in the aggregate, have a Material Adverse Effect; and except as described in each of the Registration Statement, the Time of Sale Information and the Prospectus, neither the Company nor any of its subsidiaries has received notice of any revocation or modification of any such license, sub-license, certificate, permit or authorization or reasonably expects that any such license, sub-license, certificate, permit or authorization will not be renewed in the ordinary course, except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xml:space="preserve"> No labor disturbance by or dispute with employees of the Company or any of its subsidiaries exists or, to the knowledge of the Company, is contemplated or threatened, in each case, that would reasonably be expected to have a Material Adverse Effect. Neither the Company nor any of its subsidiaries has received any notice of cancellation or termination with respect to any collective bargaining agreement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The Company and its subsidiaries have insurance covering their respective properties, operations, personnel and businesses, including business interruption insurance, which insurance is in amounts and insures against such losses and risks as are reasonably adequate to protect the Company and its subsidiaries and their respective businesses in all material respects. All such policies of insurance are outstanding and in full force and effect on the date hereof and will be outstanding and in full force and effect on the Closing Date; and the Company is in compliance with the terms of such policies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No Restrictions on Subsidiaries</w:t>
      </w:r>
      <w:r>
        <w:rPr>
          <w:rFonts w:ascii="Times New Roman;Times;Serif" w:hAnsi="Times New Roman;Times;Serif"/>
          <w:b w:val="false"/>
          <w:i w:val="false"/>
          <w:caps w:val="false"/>
          <w:smallCaps w:val="false"/>
          <w:sz w:val="20"/>
        </w:rPr>
        <w: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except for any such restrictions that will not be prohibited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No Broker’s Fees.</w:t>
      </w:r>
      <w:r>
        <w:rPr>
          <w:rFonts w:ascii="Times New Roman;Times;Serif" w:hAnsi="Times New Roman;Times;Serif"/>
          <w:b w:val="false"/>
          <w:i w:val="false"/>
          <w:caps w:val="false"/>
          <w:smallCaps w:val="false"/>
          <w:sz w:val="20"/>
        </w:rPr>
        <w:t xml:space="preserve"> Neither the Company nor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No Registration Rights</w:t>
      </w:r>
      <w:r>
        <w:rPr>
          <w:rFonts w:ascii="Times New Roman;Times;Serif" w:hAnsi="Times New Roman;Times;Serif"/>
          <w:b w:val="false"/>
          <w:i w:val="false"/>
          <w:caps w:val="false"/>
          <w:smallCaps w:val="false"/>
          <w:sz w:val="20"/>
        </w:rPr>
        <w:t>. No person has the right to require the Company or any of its subsidiaries to register any securities for sale under the Securities Act by reason of the filing of the Registration Statement with the Commission or the issuance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Margin Rules</w:t>
      </w:r>
      <w:r>
        <w:rPr>
          <w:rFonts w:ascii="Times New Roman;Times;Serif" w:hAnsi="Times New Roman;Times;Serif"/>
          <w:b w:val="false"/>
          <w:i w:val="false"/>
          <w:caps w:val="false"/>
          <w:smallCaps w:val="false"/>
          <w:sz w:val="20"/>
        </w:rPr>
        <w:t>. 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xml:space="preserve"> No forward-looking statement (within the meaning of Section 27A of the Securities Act and Section 21E of the Exchange Act) included or incorporated by reference in any of the Registration Statement, the Time of Sale Information or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caps w:val="false"/>
          <w:smallCaps w:val="false"/>
          <w:sz w:val="20"/>
        </w:rPr>
        <w:t>Statistical and Market Data</w:t>
      </w:r>
      <w:r>
        <w:rPr>
          <w:rFonts w:ascii="Times New Roman;Times;Serif" w:hAnsi="Times New Roman;Times;Serif"/>
          <w:b w:val="false"/>
          <w:i w:val="false"/>
          <w:caps w:val="false"/>
          <w:smallCaps w:val="false"/>
          <w:sz w:val="20"/>
        </w:rPr>
        <w:t>. Nothing has come to the attention of the Company that has caused the Company to believe that the statistical and market-related data included or incorporated by reference in each of the Registration Statement, the Time of Sale Information and the Prospectus is not based on or derived from sources that are reliable and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caps w:val="false"/>
          <w:smallCaps w:val="false"/>
          <w:sz w:val="20"/>
        </w:rPr>
        <w:t>Status under the Securities Act</w:t>
      </w:r>
      <w:r>
        <w:rPr>
          <w:rFonts w:ascii="Times New Roman;Times;Serif" w:hAnsi="Times New Roman;Times;Serif"/>
          <w:b w:val="false"/>
          <w:i w:val="false"/>
          <w:caps w:val="false"/>
          <w:smallCaps w:val="false"/>
          <w:sz w:val="20"/>
        </w:rPr>
        <w:t>. The Company is not an ineligible issuer and is a well-known seasoned issuer, in each case as defined under the Securities Act, in each case at the times specified in the Securities Act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caps w:val="false"/>
          <w:smallCaps w:val="false"/>
          <w:sz w:val="20"/>
        </w:rPr>
        <w:t>Merger Agreement.</w:t>
      </w:r>
      <w:r>
        <w:rPr>
          <w:rFonts w:ascii="Times New Roman;Times;Serif" w:hAnsi="Times New Roman;Times;Serif"/>
          <w:b w:val="false"/>
          <w:i w:val="false"/>
          <w:caps w:val="false"/>
          <w:smallCaps w:val="false"/>
          <w:sz w:val="20"/>
        </w:rPr>
        <w:t xml:space="preserve"> (i) The Merger Agreement has been duly authorized, executed and delivered by the Company and Merger Sub and is a valid and binding agreement of the Company and Merger Sub, enforceable against the Company and Merger Sub in accordance with its terms, subject to the Enforceability Exceptions; (ii) to the knowledge of the Company, all of the representations and warranties made by the Target in the Merger Agreement are true and correct, except where the failure of such representations and warranties to be so true and correct (without regard to qualification or exceptions contained therein as to “materiality,” “in all material respects” or “Material Adverse Effect” (as defined in the Merger Agreement)) would not reasonably be expected to have, individually or in the aggregate, a Material Adverse Effect; and (iii) the Company has no reason to believe that the Company’s conditions to closing, or the Target’s conditions to closing, of the transactions contemplated by the Merger Agreement will not be satisfied within the timeframe contemplated therein. The Company has not received any notice of termination of the Merger Agreement from the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Agreements of the Company</w:t>
      </w:r>
      <w:r>
        <w:rPr>
          <w:rFonts w:ascii="Times New Roman;Times;Serif" w:hAnsi="Times New Roman;Times;Serif"/>
          <w:b w:val="false"/>
          <w:i w:val="false"/>
          <w:caps w:val="false"/>
          <w:smallCaps w:val="false"/>
          <w:sz w:val="20"/>
        </w:rPr>
        <w:t>. The Company covenants and agrees with each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the final Prospectus with the Commission within the time periods specified by Rule 424(b) and Rule 430B or 430C under the Securities Act, will file any Issuer Free Writing Prospectus (including the Pricing Term Sheet referred to in Annex B hereto)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deliver, without charge, to the Underwriters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means such period of time after the first date of the public offering of the Securities a prospectus relating to the Securities is required by law to be delivered (or required to be delivered but for Rule 172 under the Securities Act) in connection with sales of the Securities by any Underwriter or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Amendments or Supplements; Issuer Free Writing Prospectuses.</w:t>
      </w:r>
      <w:r>
        <w:rPr>
          <w:rFonts w:ascii="Times New Roman;Times;Serif" w:hAnsi="Times New Roman;Times;Serif"/>
          <w:b w:val="false"/>
          <w:i w:val="false"/>
          <w:caps w:val="false"/>
          <w:smallCaps w:val="false"/>
          <w:sz w:val="20"/>
        </w:rPr>
        <w:t xml:space="preserve"> Before making, preparing, using, authorizing, approving, referring to or filing any Issuer Free Writing Prospectus, and before filing any amendment or supplement to the Registration Statement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within a reasonable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the Representatives.</w:t>
      </w:r>
      <w:r>
        <w:rPr>
          <w:rFonts w:ascii="Times New Roman;Times;Serif" w:hAnsi="Times New Roman;Times;Serif"/>
          <w:b w:val="false"/>
          <w:i w:val="false"/>
          <w:caps w:val="false"/>
          <w:smallCaps w:val="false"/>
          <w:sz w:val="20"/>
        </w:rPr>
        <w:t xml:space="preserve"> The Company will advise the Representatives promptly, and confirm such advice in writing (including by electronic mail), (i) when the Registration Statement has become effective; (ii) when any amendment to the Registration Statement has been filed or becomes effective; (iii) when any supplement to the Prospectus or any Issuer Free Writing Prospectus or any amendment to the Prospectus or any Issuer Free Writing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during the Prospectus Delivery Period,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(vi) of the occurrence of any event or development within the Prospectus Delivery Period as a result of which the Prospectus, any of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during the Prospectus Delivery Period, the receipt by the Company of any notice of objection of the Commission to the use of the Registration Statement or any post-effective amendment thereto pursuant to Rule 401(g)(2) under the Securities Act; and (viii) of, during the Prospectus Delivery Period,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obtain as soon as reasonably possible the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as soon as practicable, notify the Underwriters thereof and forthwith prepare and, subject to paragraph (c) above, file with the Commission (to the extent required) and furnish to the Underwriters,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If during the Prospectus Delivery Period (i) any event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as soon as practicable, notify the Underwriters thereof and forthwith prepare and, subject to paragraph (c) above, file with the Commission (to the extent required)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qualify the Securities (if necessary) for offer and sale under the securities or Blue Sky laws of such jurisdictions as the Representatives shall reasonably request and will continue such qualifications in effect so long as required for distribution of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Earning Statement. </w:t>
      </w:r>
      <w:r>
        <w:rPr>
          <w:rFonts w:ascii="Times New Roman;Times;Serif" w:hAnsi="Times New Roman;Times;Serif"/>
          <w:b w:val="false"/>
          <w:i w:val="false"/>
          <w:caps w:val="false"/>
          <w:smallCaps w:val="false"/>
          <w:sz w:val="20"/>
        </w:rPr>
        <w:t>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this Section 4(h) by filing such an earnings statement on the Electronic Data Gathering, Analysis and Retrieval system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Clear Market.</w:t>
      </w:r>
      <w:r>
        <w:rPr>
          <w:rFonts w:ascii="Times New Roman;Times;Serif" w:hAnsi="Times New Roman;Times;Serif"/>
          <w:b w:val="false"/>
          <w:i w:val="false"/>
          <w:caps w:val="false"/>
          <w:smallCaps w:val="false"/>
          <w:sz w:val="20"/>
        </w:rPr>
        <w:t xml:space="preserve"> During the period from the date hereof through and including the Closing Date, the Company will not, without the prior written consent of the Representatives, offer, sell, contract to sell or otherwise dispose of any debt securities issued or guaranteed by the Company and having a tenor of more than one year (other than as contemplated by this Agreement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Securities as described in each of the Registration Statement, the Time of Sale Information and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Company will assist the Underwriters in arranging for the Securities to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will not take, directly or indirectly, any action designed to or that would reasonably be expected to cause or result in any stabilization or manipulation of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Agreements of the Underwriters</w:t>
      </w:r>
      <w:r>
        <w:rPr>
          <w:rFonts w:ascii="Times New Roman;Times;Serif" w:hAnsi="Times New Roman;Times;Serif"/>
          <w:b w:val="false"/>
          <w:i w:val="false"/>
          <w:caps w:val="false"/>
          <w:smallCaps w:val="false"/>
          <w:sz w:val="20"/>
        </w:rPr>
        <w:t>. Each Underwriter hereby represents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not and will not use, authorize use of, refer to, or participate in the planning for use of, any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Times;Serif" w:hAnsi="Times New Roman;Times;Serif"/>
          <w:b w:val="false"/>
          <w:i w:val="false"/>
          <w:caps w:val="false"/>
          <w:smallCaps w:val="false"/>
          <w:sz w:val="20"/>
          <w:u w:val="single"/>
        </w:rPr>
        <w:t>Underwriter Free Writing Prospectus</w:t>
      </w:r>
      <w:r>
        <w:rPr>
          <w:rFonts w:ascii="Times New Roman;Times;Serif" w:hAnsi="Times New Roman;Times;Serif"/>
          <w:b w:val="false"/>
          <w:i w:val="false"/>
          <w:caps w:val="false"/>
          <w:smallCaps w:val="false"/>
          <w:sz w:val="20"/>
        </w:rPr>
        <w:t>”). Notwithstanding the foregoing, the Underwriters may use the Pricing Term Sheet referred to in Annex B hereto without the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xml:space="preserve"> The obligation of each Underwriter to purchase Securities on the Closing Date as provided herein is subject to the performance by the Company of its covenants and other obligations hereunder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shall be in effect, and no proceeding for such purpose, pursuant to Rule 401(g)(2) or pursuant to Section 8A under the Securities Act shall be pending before or, to the Company’s knowledge,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the Company contained herein shall be true and correct on the date hereof and on and as of the Closing Date; and the statements of the Company and its respective officers made in any certificates delivered pursuant to this Agreement shall be true and correct on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Downgrade.</w:t>
      </w:r>
      <w:r>
        <w:rPr>
          <w:rFonts w:ascii="Times New Roman;Times;Serif" w:hAnsi="Times New Roman;Times;Serif"/>
          <w:b w:val="false"/>
          <w:i w:val="false"/>
          <w:caps w:val="false"/>
          <w:smallCaps w:val="false"/>
          <w:sz w:val="20"/>
        </w:rPr>
        <w:t xml:space="preserve"> Subsequent to the earlier of (A) the Time of Sale and (B) the execution and delivery of this Agreement, (i) no downgrading 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Subsequent to the execution and delivery of this agreement, 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the effect of which in the judgment of the Representatives (after consultation with the Company) is so material and adverse as to make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Representatives shall have received on and as of the Closing Date a certificate of an executive officer of the Company who has specific knowledge of the Company’s financial matters and is reasonably satisfactory to the Representatives (i) confirming that such officer has carefully reviewed the Registration Statement, the Time of Sale Information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Comfort Letters. </w:t>
      </w:r>
      <w:r>
        <w:rPr>
          <w:rFonts w:ascii="Times New Roman;Times;Serif" w:hAnsi="Times New Roman;Times;Serif"/>
          <w:b w:val="false"/>
          <w:i w:val="false"/>
          <w:caps w:val="false"/>
          <w:smallCaps w:val="false"/>
          <w:sz w:val="20"/>
        </w:rPr>
        <w:t xml:space="preserve">On the date of this Agreement and on the Closing Date, PwC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Time of Sale Information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shall use a “cut-off” date no more than three business days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Reserve Engineer Letters</w:t>
      </w:r>
      <w:r>
        <w:rPr>
          <w:rFonts w:ascii="Times New Roman;Times;Serif" w:hAnsi="Times New Roman;Times;Serif"/>
          <w:b w:val="false"/>
          <w:i w:val="false"/>
          <w:caps w:val="false"/>
          <w:smallCaps w:val="false"/>
          <w:sz w:val="20"/>
        </w:rPr>
        <w:t>. On the date of this Agreement and on the Closing Date, NSAI shall have furnished to the Representatives, at the request of the Company, a letter, dated the respective date of delivery thereof and addressed to the Underwriters, in form and substance reasonably satisfactory to the Representatives, confirming that, as of the date of its reserve report, NSAI was an independent reserve engineer for the Company and that, as of the date of such letter, no information had come to NSAI’s attention that could reasonably have been expected to cause it to withdraw its reserve report with respect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Opinion and 10b-5 Statement of Counsel for the Company.</w:t>
      </w:r>
      <w:r>
        <w:rPr>
          <w:rFonts w:ascii="Times New Roman;Times;Serif" w:hAnsi="Times New Roman;Times;Serif"/>
          <w:b w:val="false"/>
          <w:i w:val="false"/>
          <w:caps w:val="false"/>
          <w:smallCaps w:val="false"/>
          <w:sz w:val="20"/>
        </w:rPr>
        <w:t xml:space="preserve"> Kirkland &amp; Ellis LLP, counsel for the Company, shall have furnished to the Representatives, at the request of the Company, their written opinion and 10b-5 statement, dated the Closing Date and addressed to the Underwriters,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Opinion of Local Counsel</w:t>
      </w:r>
      <w:r>
        <w:rPr>
          <w:rFonts w:ascii="Times New Roman;Times;Serif" w:hAnsi="Times New Roman;Times;Serif"/>
          <w:b w:val="false"/>
          <w:i w:val="false"/>
          <w:caps w:val="false"/>
          <w:smallCaps w:val="false"/>
          <w:sz w:val="20"/>
        </w:rPr>
        <w:t>. McAfee &amp; Taft LLP, special Oklahoma counsel for the Company, shall have furnished to the Representatives, at the request of the Company, its written opinion, dated the Closing Date and addressed to the Underwriters, in form and substance reasonably satisfactory to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Opinion and 10b-5 Statement of Counsel for the Underwriters.</w:t>
      </w:r>
      <w:r>
        <w:rPr>
          <w:rFonts w:ascii="Times New Roman;Times;Serif" w:hAnsi="Times New Roman;Times;Serif"/>
          <w:b w:val="false"/>
          <w:i w:val="false"/>
          <w:caps w:val="false"/>
          <w:smallCaps w:val="false"/>
          <w:sz w:val="20"/>
        </w:rPr>
        <w:t xml:space="preserve"> The Representatives shall have received on and as of the Closing Date an opinion and 10b-5 statement, addressed to the Underwriters, of Simpson Thacher &amp; Bartlett LLP, counsel for the Underwriters, with respect to such matters as the Representatives may reasonably request, and such counsel shall have received such documents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 Legal Impediment to Issuance.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Representatives shall have received on and as of the Closing Date satisfactory evidence of the good standing of the Company in its jurisdiction of organization and its good standing in such other jurisdictions as the Representatives may reasonably request, in each case in writing or any standard form of telecommunication, from the appropriate governmental authorities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Securities shall be eligible for clearance and settlement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Indenture and Securities</w:t>
      </w:r>
      <w:r>
        <w:rPr>
          <w:rFonts w:ascii="Times New Roman;Times;Serif" w:hAnsi="Times New Roman;Times;Serif"/>
          <w:b w:val="false"/>
          <w:i w:val="false"/>
          <w:caps w:val="false"/>
          <w:smallCaps w:val="false"/>
          <w:sz w:val="20"/>
        </w:rPr>
        <w:t>. The Indenture shall have been duly executed and delivered by a duly authorized officer of the Company and the Trustee, and the Securities shall have been duly executed and delivered by a duly authorized officer of the Company and duly authenticated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the Company shall have furnished to the Representatives such further certificates and documents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the Underwriters.</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documented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the Company.</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(including, without limitation, legal fees and other expenses reasonably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such Underwriter furnished to the Company in writing by or on behalf of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eighth and ninth paragraphs and the first sentence of the tenth paragraph under the section entitled “Underwriting” (the “</w:t>
      </w:r>
      <w:r>
        <w:rPr>
          <w:rFonts w:ascii="Times New Roman;Times;Serif" w:hAnsi="Times New Roman;Times;Serif"/>
          <w:b w:val="false"/>
          <w:i w:val="false"/>
          <w:caps w:val="false"/>
          <w:smallCaps w:val="false"/>
          <w:sz w:val="20"/>
          <w:u w:val="single"/>
        </w:rPr>
        <w:t>Underwriter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reasonable and documented fees and expenses of such proceeding and shall pay the reasonable fees and expenses of such counsel related to such proceeding.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(including the availability of different defenses).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Citigroup Global Markets Inc. and J.P. Morgan Securities LLC, and any such separate firm for the Company,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and the Underwriters agree that it would not be just and equitable if contribution pursuant to this Section 7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legal or other expenses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this Section 7 are not exclusive and shall not limit any rights or remedies that may otherwise be available to any Indemnified Person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in the absolute discretion of the Representatives, by written notice to the Company, if after the execution and delivery of this Agreement and on or prior to the Closing Date (i) trading generally shall have been suspended or materially limited on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Defaulting Underwriter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(based on the principal amount of Securities that such Underwriter agreed to purchase hereunder) of the Securities of such defaulting Underwriter or Underwriters for which such arrangements have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or any non-defaulting Underwriter for damages caused by its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Securities and any taxes (other than income or similar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reasonable documented fees and expenses incurred in connection with the registration or qualification and determination of eligibility for investment of the Securities under the laws of such jurisdictions as the Representatives may designate; (vi) any fees charged by rating agencies for rating the Securities; (vii) the fees and expenses of the Trustee and any paying agent (including related fees and expenses of any counsel to such parties); (viii) all reasonable expenses and application fees incurred in connection with any filing with, and clearance of the offering by, the Financial Industry Regulatory Authority, and the approval of the Securities for book-entry transfer by DTC (including the related fees and expenses of counsel for the Underwriters, not to exceed $25,000); and (ix) all expenses incurred by the Company in connection with any Road Show presentation to potential investors. It is understood, however, that, except as provided in Section 7 and (b) of this Section 11, the Underwriters will pay all of their own costs and expenses, including the fees of their counsel, and all transfer taxes payable on the resale of any of the Securities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this Agreement is terminated pursuant to clause (ii) of Section 9, (ii) the Company for any reason fails to tender the Securities for delivery to the Underwriters or (iii) the Underwriters decline to purchase the Securities for any reason permitted under this Agreement (other than as a result of a termination of this Agreement pursuant to clause (i), (iii) or (iv) of Section 9 or pursuant to Section 10), the Company agrees to reimburse the Underwriters for all documented out-of-pocket costs and expenses (including the fees and expenses of their counsel) reasonably and actually incurred by the Underwriters in connection with this Agreement and the offering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Company will not be required to reimburse any out-of-pocket costs or expenses that are directly and solely attributable to a defaulting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405 under the Securities Act; (b)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are permitted or required to be closed in New York City; and (c)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the meaning set forth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Authority of the Representatives.</w:t>
      </w:r>
      <w:r>
        <w:rPr>
          <w:rFonts w:ascii="Times New Roman;Times;Serif" w:hAnsi="Times New Roman;Times;Serif"/>
          <w:b w:val="false"/>
          <w:i w:val="false"/>
          <w:caps w:val="false"/>
          <w:smallCaps w:val="false"/>
          <w:sz w:val="20"/>
        </w:rPr>
        <w:t xml:space="preserve"> Any action by the Underwriters hereunder may be taken by Citigroup Global Markets Inc. and J.P. Morgan Securities LLC on behalf of the Underwriters, and any such action taken by Citigroup Global Markets Inc. and J.P. Morgan Securities LLC shall be binding upon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Citigroup Global Markets Inc., 388 Greenwich Street, New York, New York 10013; Attention: General Counsel, facsimile: (646) 291-1469; c/o J.P. Morgan Securities LLC, 270 Park Avenue, New York, New York 10172 (fax: 212-834-6081); Attention: Investment Grade Syndicate Desk. Notices to the Company shall be given to it at Expand Energy Corporation, 10000 Energy Drive, Spring, Texas 77389 (email: kristina.mcquaid@expandenergy.com); Attention: Assistant General Counsel – Corporate. Copies of notices to the Company shall be given to its counsel at Kirkland &amp; Ellis LLP, 609 Main Street, Houston, Texas 77002 (email: </w:t>
      </w:r>
      <w:r>
        <w:rPr>
          <w:rFonts w:ascii="Times New Roman;Times;Serif" w:hAnsi="Times New Roman;Times;Serif"/>
          <w:b w:val="false"/>
          <w:i w:val="false"/>
          <w:caps w:val="false"/>
          <w:smallCaps w:val="false"/>
          <w:sz w:val="20"/>
          <w:u w:val="single"/>
        </w:rPr>
        <w:t>Julian.Seiguer@kirkland.com</w:t>
      </w:r>
      <w:r>
        <w:rPr>
          <w:rFonts w:ascii="Times New Roman;Times;Serif" w:hAnsi="Times New Roman;Times;Serif"/>
          <w:b w:val="false"/>
          <w:i w:val="false"/>
          <w:caps w:val="false"/>
          <w:smallCaps w:val="false"/>
          <w:sz w:val="20"/>
        </w:rPr>
        <w:t>; sara.lampert@kirkland.com); Attention: Julian J. Seiguer, P.C.; Sara Lampert.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claim, controversy or dispute arising under or related to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hereby waives any right to trial by jury in any suit or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16(f):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signed in counterparts (which may include counterparts delivered by any 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xml:space="preserve"> The headings herein are included for convenience of reference only and are not intended to be part of, or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hanging="0"/>
        <w:jc w:val="left"/>
        <w:rPr>
          <w:caps w:val="false"/>
          <w:smallCaps w:val="false"/>
        </w:rPr>
      </w:pPr>
      <w:r>
        <w:rPr>
          <w:caps w:val="false"/>
          <w:smallCaps w:val="false"/>
        </w:rPr>
        <w:t> </w:t>
      </w:r>
    </w:p>
    <w:tbl>
      <w:tblPr>
        <w:tblW w:w="4905" w:type="dxa"/>
        <w:jc w:val="left"/>
        <w:tblInd w:w="0" w:type="dxa"/>
        <w:tblLayout w:type="fixed"/>
        <w:tblCellMar>
          <w:top w:w="0" w:type="dxa"/>
          <w:left w:w="0" w:type="dxa"/>
          <w:bottom w:w="0" w:type="dxa"/>
          <w:right w:w="0" w:type="dxa"/>
        </w:tblCellMar>
      </w:tblPr>
      <w:tblGrid>
        <w:gridCol w:w="75"/>
        <w:gridCol w:w="260"/>
        <w:gridCol w:w="545"/>
        <w:gridCol w:w="4025"/>
      </w:tblGrid>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3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Marcel Teunissen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Marcel Teunissen</w:t>
            </w:r>
          </w:p>
        </w:tc>
      </w:tr>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on behalf of the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listed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1 hereto.</w:t>
      </w:r>
    </w:p>
    <w:p>
      <w:pPr>
        <w:pStyle w:val="TextBody"/>
        <w:bidi w:val="0"/>
        <w:spacing w:before="0" w:after="0"/>
        <w:ind w:left="0" w:right="0" w:hanging="0"/>
        <w:jc w:val="left"/>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439"/>
        <w:gridCol w:w="2835"/>
        <w:gridCol w:w="75"/>
      </w:tblGrid>
      <w:tr>
        <w:trPr/>
        <w:tc>
          <w:tcPr>
            <w:tcW w:w="32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75" w:type="dxa"/>
            <w:tcBorders/>
            <w:vAlign w:val="center"/>
          </w:tcPr>
          <w:p>
            <w:pPr>
              <w:pStyle w:val="TableContents"/>
              <w:bidi w:val="0"/>
              <w:spacing w:before="0" w:after="283"/>
              <w:jc w:val="left"/>
              <w:rPr/>
            </w:pPr>
            <w:r>
              <w:rPr/>
              <w:t> </w:t>
            </w:r>
          </w:p>
        </w:tc>
      </w:tr>
      <w:tr>
        <w:trPr/>
        <w:tc>
          <w:tcPr>
            <w:tcW w:w="32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2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Bordner</w:t>
            </w:r>
          </w:p>
        </w:tc>
        <w:tc>
          <w:tcPr>
            <w:tcW w:w="75" w:type="dxa"/>
            <w:tcBorders/>
            <w:vAlign w:val="center"/>
          </w:tcPr>
          <w:p>
            <w:pPr>
              <w:pStyle w:val="TableContents"/>
              <w:bidi w:val="0"/>
              <w:spacing w:before="0" w:after="283"/>
              <w:jc w:val="left"/>
              <w:rPr/>
            </w:pPr>
            <w:r>
              <w:rPr/>
              <w:t> </w:t>
            </w:r>
          </w:p>
        </w:tc>
      </w:tr>
      <w:tr>
        <w:trPr/>
        <w:tc>
          <w:tcPr>
            <w:tcW w:w="439" w:type="dxa"/>
            <w:tcBorders/>
            <w:vAlign w:val="center"/>
          </w:tcPr>
          <w:p>
            <w:pPr>
              <w:pStyle w:val="TableContents"/>
              <w:bidi w:val="0"/>
              <w:spacing w:before="0" w:after="283"/>
              <w:jc w:val="left"/>
              <w:rPr>
                <w:caps w:val="false"/>
                <w:smallCaps w:val="false"/>
              </w:rPr>
            </w:pPr>
            <w:r>
              <w:rPr>
                <w:caps w:val="false"/>
                <w:smallCaps w:val="false"/>
              </w:rPr>
              <w:t> </w:t>
            </w:r>
          </w:p>
        </w:tc>
        <w:tc>
          <w:tcPr>
            <w:tcW w:w="2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370"/>
        <w:gridCol w:w="2394"/>
        <w:gridCol w:w="75"/>
      </w:tblGrid>
      <w:tr>
        <w:trPr/>
        <w:tc>
          <w:tcPr>
            <w:tcW w:w="27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Saee Athalye</w:t>
            </w:r>
          </w:p>
        </w:tc>
        <w:tc>
          <w:tcPr>
            <w:tcW w:w="75" w:type="dxa"/>
            <w:tcBorders/>
            <w:vAlign w:val="center"/>
          </w:tcPr>
          <w:p>
            <w:pPr>
              <w:pStyle w:val="TableContents"/>
              <w:bidi w:val="0"/>
              <w:spacing w:before="0" w:after="283"/>
              <w:jc w:val="left"/>
              <w:rPr/>
            </w:pPr>
            <w:r>
              <w:rPr/>
              <w:t> </w:t>
            </w:r>
          </w:p>
        </w:tc>
      </w:tr>
      <w:tr>
        <w:trPr/>
        <w:tc>
          <w:tcPr>
            <w:tcW w:w="370" w:type="dxa"/>
            <w:tcBorders/>
            <w:vAlign w:val="center"/>
          </w:tcPr>
          <w:p>
            <w:pPr>
              <w:pStyle w:val="TableContents"/>
              <w:bidi w:val="0"/>
              <w:spacing w:before="0" w:after="283"/>
              <w:jc w:val="left"/>
              <w:rPr>
                <w:caps w:val="false"/>
                <w:smallCaps w:val="false"/>
              </w:rPr>
            </w:pPr>
            <w:r>
              <w:rPr>
                <w:caps w:val="false"/>
                <w:smallCaps w:val="false"/>
              </w:rPr>
              <w:t> </w:t>
            </w:r>
          </w:p>
        </w:tc>
        <w:tc>
          <w:tcPr>
            <w:tcW w:w="23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570"/>
        <w:gridCol w:w="60"/>
        <w:gridCol w:w="1475"/>
      </w:tblGrid>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Principal Amount</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Securities,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Securities LLC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BOK Financial Securities,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r>
      <w:tr>
        <w:trPr/>
        <w:tc>
          <w:tcPr>
            <w:tcW w:w="25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Subsidiaries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330"/>
        <w:gridCol w:w="9762"/>
      </w:tblGrid>
      <w:tr>
        <w:trPr/>
        <w:tc>
          <w:tcPr>
            <w:tcW w:w="1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Operating L.L.C.</w:t>
            </w:r>
          </w:p>
        </w:tc>
      </w:tr>
      <w:tr>
        <w:trPr/>
        <w:tc>
          <w:tcPr>
            <w:tcW w:w="1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Exploration L.L.C.</w:t>
            </w:r>
          </w:p>
        </w:tc>
      </w:tr>
      <w:tr>
        <w:trPr/>
        <w:tc>
          <w:tcPr>
            <w:tcW w:w="1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Appalachia L.L.C.</w:t>
            </w:r>
          </w:p>
        </w:tc>
      </w:tr>
      <w:tr>
        <w:trPr/>
        <w:tc>
          <w:tcPr>
            <w:tcW w:w="1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Gulf Coast L.L.C.</w:t>
            </w:r>
          </w:p>
        </w:tc>
      </w:tr>
      <w:tr>
        <w:trPr/>
        <w:tc>
          <w:tcPr>
            <w:tcW w:w="1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 Energy Marketing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Information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6"/>
        <w:gridCol w:w="10022"/>
      </w:tblGrid>
      <w:tr>
        <w:trPr/>
        <w:tc>
          <w:tcPr>
            <w:tcW w:w="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Pricing Term Sheet, dated September 15, 2026, substantially in the form of Annex 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Free Writing Prospectus dated September 15,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Relating to Preliminary Prospectus Supplement dated September 15,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November 20, 2024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333-283348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$500,000,000 5.650% Senior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pricing term sheet supplements the registration statement, the prospectus, and the preliminary prospectus supplement and supersedes the information in the registration statement, the prospectus, and the preliminary prospectus supplement and the documents incorporated therein to the extent inconsistent with the information in those documents. Terms used herein but not defined herein shall have the respective meanings as set forth in the preliminary prospectus supplement.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2"/>
        <w:gridCol w:w="9013"/>
      </w:tblGrid>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Expand Energy Corporation</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5.650% Senior Notes due 2031 (the “</w:t>
            </w:r>
            <w:r>
              <w:rPr>
                <w:rFonts w:ascii="Times New Roman;Times;Serif" w:hAnsi="Times New Roman;Times;Serif"/>
                <w:sz w:val="20"/>
                <w:u w:val="single"/>
              </w:rPr>
              <w:t>Notes</w:t>
            </w:r>
            <w:r>
              <w:rPr>
                <w:rFonts w:ascii="Times New Roman;Times;Serif" w:hAnsi="Times New Roman;Times;Serif"/>
                <w:sz w:val="20"/>
              </w:rPr>
              <w:t>”)</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Format:</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2026</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9013" w:type="dxa"/>
            <w:tcBorders/>
            <w:vAlign w:val="center"/>
          </w:tcPr>
          <w:p>
            <w:pPr>
              <w:pStyle w:val="TableContents"/>
              <w:bidi w:val="0"/>
              <w:spacing w:before="0" w:after="283"/>
              <w:jc w:val="left"/>
              <w:rPr/>
            </w:pPr>
            <w:r>
              <w:rPr/>
              <w:t>September 17, 2026 (T+2)</w:t>
              <w:br/>
              <w:br/>
              <w:t>It is expected that delivery of the Notes will be made against payment therefor on or about the closing date specified on the cover page of the prospectus supplement, which will be the second business day following the date of the prospectus supplement. This settlement cycle is referred to as “T+2.” Under Rule 15c6-1 under the Securities Exchange Act of 1934, as amended (the “</w:t>
            </w:r>
            <w:r>
              <w:rPr>
                <w:u w:val="single"/>
              </w:rPr>
              <w:t>Exchange Act</w:t>
            </w:r>
            <w:r>
              <w:rPr/>
              <w: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T+2, to specify an alternate settlement cycle at the time of any such trade to prevent a failed settlement. Purchasers of Notes who wish to trade Notes prior to the date that is one business day preceding the settlement date should consult their own advisors.  </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pPr>
            <w:r>
              <w:rPr>
                <w:rFonts w:ascii="Times New Roman;Times;Serif" w:hAnsi="Times New Roman;Times;Serif"/>
                <w:b/>
                <w:sz w:val="20"/>
              </w:rPr>
              <w:t>Ratings:</w:t>
            </w:r>
            <w:r>
              <w:rPr>
                <w:b/>
              </w:rPr>
              <w:t>*</w:t>
            </w:r>
          </w:p>
        </w:tc>
        <w:tc>
          <w:tcPr>
            <w:tcW w:w="9013" w:type="dxa"/>
            <w:tcBorders/>
            <w:vAlign w:val="center"/>
          </w:tcPr>
          <w:p>
            <w:pPr>
              <w:pStyle w:val="TableContents"/>
              <w:bidi w:val="0"/>
              <w:spacing w:before="0" w:after="283"/>
              <w:jc w:val="left"/>
              <w:rPr/>
            </w:pPr>
            <w:r>
              <w:rPr/>
              <w:t>Moody’s: Baa3 (Stable)</w:t>
              <w:br/>
              <w:t xml:space="preserve">S&amp;P: BBB- (Stable) </w:t>
              <w:br/>
              <w:t>Fitch: BBB (Stable)  </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$500,000,000</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15, 2031</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UST 4.375% due August 31, 2031</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 / Yield:</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98-01 / 4.826%</w:t>
            </w:r>
          </w:p>
        </w:tc>
      </w:tr>
      <w:tr>
        <w:trPr/>
        <w:tc>
          <w:tcPr>
            <w:tcW w:w="1192" w:type="dxa"/>
            <w:tcBorders/>
            <w:vAlign w:val="center"/>
          </w:tcPr>
          <w:p>
            <w:pPr>
              <w:pStyle w:val="TableContents"/>
              <w:bidi w:val="0"/>
              <w:spacing w:before="0" w:after="283"/>
              <w:jc w:val="left"/>
              <w:rPr/>
            </w:pPr>
            <w:r>
              <w:rPr/>
              <w:t> </w:t>
            </w:r>
          </w:p>
        </w:tc>
        <w:tc>
          <w:tcPr>
            <w:tcW w:w="9013" w:type="dxa"/>
            <w:tcBorders/>
            <w:vAlign w:val="center"/>
          </w:tcPr>
          <w:p>
            <w:pPr>
              <w:pStyle w:val="TableContents"/>
              <w:bidi w:val="0"/>
              <w:spacing w:before="0" w:after="283"/>
              <w:jc w:val="left"/>
              <w:rPr/>
            </w:pPr>
            <w:r>
              <w:rPr/>
              <w:t> </w:t>
            </w:r>
          </w:p>
        </w:tc>
      </w:tr>
      <w:tr>
        <w:trPr/>
        <w:tc>
          <w:tcPr>
            <w:tcW w:w="119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Spread to Benchmark Treasury:</w:t>
            </w:r>
          </w:p>
        </w:tc>
        <w:tc>
          <w:tcPr>
            <w:tcW w:w="9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+85 bps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14"/>
        <w:gridCol w:w="8391"/>
      </w:tblGrid>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5.676%</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Price to Public:</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99.889% of principal amount, plus accrued interest, if any from September 17, 2026</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5.650% per annum</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15 and September 15, commencing March 15, 2027</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March 1 and September 1 </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8391" w:type="dxa"/>
            <w:tcBorders/>
            <w:vAlign w:val="center"/>
          </w:tcPr>
          <w:p>
            <w:pPr>
              <w:pStyle w:val="TableContents"/>
              <w:bidi w:val="0"/>
              <w:spacing w:before="0" w:after="283"/>
              <w:jc w:val="left"/>
              <w:rPr/>
            </w:pPr>
            <w:r>
              <w:rPr/>
              <w:t xml:space="preserve">At any time prior to August 15, 2031, make whole call as set forth in the preliminary prospectus supplement (Treasury rate plus 15 basis points), plus accrued interest to, but not including, the redemption date. </w:t>
              <w:br/>
              <w:br/>
              <w:t>At any time on or after August 15, 2031, at 100% of the principal amount plus accrued interest to the redemption date.  </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 / ISIN:</w:t>
            </w:r>
          </w:p>
        </w:tc>
        <w:tc>
          <w:tcPr>
            <w:tcW w:w="8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165167DJ3 / US165167DJ30</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8391" w:type="dxa"/>
            <w:tcBorders/>
            <w:vAlign w:val="center"/>
          </w:tcPr>
          <w:p>
            <w:pPr>
              <w:pStyle w:val="TableContents"/>
              <w:bidi w:val="0"/>
              <w:spacing w:before="0" w:after="283"/>
              <w:jc w:val="left"/>
              <w:rPr/>
            </w:pPr>
            <w:r>
              <w:rPr/>
              <w:t xml:space="preserve">Citigroup Global Markets Inc. </w:t>
              <w:br/>
              <w:t xml:space="preserve">J.P. Morgan Securities LLC </w:t>
              <w:br/>
              <w:t>Citizens JMP Securities, LLC</w:t>
              <w:br/>
              <w:t xml:space="preserve">Mizuho Securities USA LLC </w:t>
              <w:br/>
              <w:t xml:space="preserve">MUFG Securities Americas Inc. </w:t>
              <w:br/>
              <w:t xml:space="preserve">RBC Capital Markets, LLC </w:t>
              <w:br/>
              <w:t xml:space="preserve">TD Securities (USA) LLC </w:t>
              <w:br/>
              <w:t>Wells Fargo Securities, LLC  </w:t>
            </w:r>
          </w:p>
        </w:tc>
      </w:tr>
      <w:tr>
        <w:trPr/>
        <w:tc>
          <w:tcPr>
            <w:tcW w:w="1814" w:type="dxa"/>
            <w:tcBorders/>
            <w:vAlign w:val="center"/>
          </w:tcPr>
          <w:p>
            <w:pPr>
              <w:pStyle w:val="TableContents"/>
              <w:bidi w:val="0"/>
              <w:spacing w:before="0" w:after="283"/>
              <w:jc w:val="left"/>
              <w:rPr/>
            </w:pPr>
            <w:r>
              <w:rPr/>
              <w:t> </w:t>
            </w:r>
          </w:p>
        </w:tc>
        <w:tc>
          <w:tcPr>
            <w:tcW w:w="8391"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8391" w:type="dxa"/>
            <w:tcBorders/>
            <w:vAlign w:val="center"/>
          </w:tcPr>
          <w:p>
            <w:pPr>
              <w:pStyle w:val="TableContents"/>
              <w:bidi w:val="0"/>
              <w:spacing w:before="0" w:after="283"/>
              <w:jc w:val="left"/>
              <w:rPr/>
            </w:pPr>
            <w:r>
              <w:rPr/>
              <w:t>Fifth Third Securities, Inc.</w:t>
              <w:br/>
              <w:t xml:space="preserve">CIBC World Markets Corp. </w:t>
              <w:br/>
              <w:t>Goldman Sachs &amp; Co. LLC</w:t>
              <w:br/>
              <w:t xml:space="preserve">Morgan Stanley &amp; Co. LLC </w:t>
              <w:br/>
              <w:t>PNC Capital Markets LLC</w:t>
              <w:br/>
              <w:t>Regions Securities LLC</w:t>
              <w:br/>
              <w:t xml:space="preserve">Scotia Capital (USA) Inc. </w:t>
              <w:br/>
              <w:t xml:space="preserve">Truist Securities, Inc. </w:t>
              <w:br/>
              <w:t>BOK Financial Securities, Inc.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with the SEC for the offering to which this communication relates. Before you invest, you should read the prospectus and prospectus supplement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them by calling Citigroup Global Markets Inc. at 1-800-831-9146 or J.P. Morgan Securities LLC collect at 1-212-834-4533.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25334d2_ex99-1.htm"/>
      <w:bookmarkStart w:id="25" w:name="kstm2625334d2_ex991"/>
      <w:bookmarkEnd w:id="24"/>
      <w:bookmarkEnd w:id="25"/>
      <w:r>
        <w:rPr>
          <w:b/>
        </w:rPr>
        <w:t>Exhibit 99.1</w:t>
      </w:r>
      <w:r>
        <w:br w:type="page"/>
      </w:r>
    </w:p>
    <w:p>
      <w:pPr>
        <w:pStyle w:val="TextBody"/>
        <w:bidi w:val="0"/>
        <w:spacing w:before="0" w:after="283"/>
        <w:jc w:val="left"/>
        <w:rPr/>
      </w:pPr>
      <w:r>
        <w:rPr/>
        <w:t> </w:t>
      </w:r>
    </w:p>
    <w:tbl>
      <w:tblPr>
        <w:tblW w:w="5940" w:type="dxa"/>
        <w:jc w:val="left"/>
        <w:tblInd w:w="0" w:type="dxa"/>
        <w:tblLayout w:type="fixed"/>
        <w:tblCellMar>
          <w:top w:w="0" w:type="dxa"/>
          <w:left w:w="0" w:type="dxa"/>
          <w:bottom w:w="0" w:type="dxa"/>
          <w:right w:w="0" w:type="dxa"/>
        </w:tblCellMar>
      </w:tblPr>
      <w:tblGrid>
        <w:gridCol w:w="2295"/>
        <w:gridCol w:w="3645"/>
      </w:tblGrid>
      <w:tr>
        <w:trPr/>
        <w:tc>
          <w:tcPr>
            <w:tcW w:w="2295" w:type="dxa"/>
            <w:tcBorders/>
            <w:vAlign w:val="center"/>
          </w:tcPr>
          <w:p>
            <w:pPr>
              <w:pStyle w:val="TableContents"/>
              <w:bidi w:val="0"/>
              <w:spacing w:before="0" w:after="283"/>
              <w:jc w:val="left"/>
              <w:rPr/>
            </w:pPr>
            <w:r>
              <w:rPr/>
              <w:drawing>
                <wp:inline distT="0" distB="0" distL="0" distR="0">
                  <wp:extent cx="14478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342900"/>
                          </a:xfrm>
                          <a:prstGeom prst="rect">
                            <a:avLst/>
                          </a:prstGeom>
                        </pic:spPr>
                      </pic:pic>
                    </a:graphicData>
                  </a:graphic>
                </wp:inline>
              </w:drawing>
            </w:r>
          </w:p>
        </w:tc>
        <w:tc>
          <w:tcPr>
            <w:tcW w:w="3645" w:type="dxa"/>
            <w:tcBorders/>
            <w:vAlign w:val="center"/>
          </w:tcPr>
          <w:p>
            <w:pPr>
              <w:pStyle w:val="TableContents"/>
              <w:bidi w:val="0"/>
              <w:spacing w:before="0" w:after="283"/>
              <w:jc w:val="right"/>
              <w:rPr/>
            </w:pPr>
            <w:r>
              <w:rPr/>
              <w:drawing>
                <wp:inline distT="0" distB="0" distL="0" distR="0">
                  <wp:extent cx="2305050" cy="285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05050" cy="285750"/>
                          </a:xfrm>
                          <a:prstGeom prst="rect">
                            <a:avLst/>
                          </a:prstGeom>
                        </pic:spPr>
                      </pic:pic>
                    </a:graphicData>
                  </a:graphic>
                </wp:inline>
              </w:drawing>
            </w:r>
          </w:p>
        </w:tc>
      </w:tr>
    </w:tbl>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Expand Energy Corporation Announces Pricing of Senior Notes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SPRING, Texas</w:t>
      </w:r>
      <w:r>
        <w:rPr>
          <w:rFonts w:ascii="Times New Roman;Times;Serif" w:hAnsi="Times New Roman;Times;Serif"/>
          <w:b w:val="false"/>
          <w:i w:val="false"/>
          <w:caps w:val="false"/>
          <w:smallCaps w:val="false"/>
          <w:sz w:val="20"/>
        </w:rPr>
        <w:t>, September 15, 2026 - Expand Energy Corporation (NASDAQ: EXE) (“Expand Energy”) announced today the pricing of its offering (the “Notes Offering”) of $500,000,000 aggregate principal amount of its 5.650% senior notes due 2031 (the “Notes”) at a price to the public of 99.889% of their face value. The Notes Offering is expected to close on September 17, 2026, subject to the satisfaction of customary closing conditions. Expand Energy intends to use the net proceeds from the Notes Offering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 and J.P. Morgan Securities LLC acted as joint book-running managers for the Notes Offering. The Notes Offering is being made pursuant to an effective shelf registration statement on Form S-3 previously filed with the U.S. Securities and Exchange Commission (the “SEC”) on November 20, 2024, and only by means of a prospectus supplement and accompanying base prospectus. Copies of the prospectus supplement and accompanying base prospectus relating to the Notes Offering may be obtained from the following addresses: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7"/>
        <w:gridCol w:w="7148"/>
      </w:tblGrid>
      <w:tr>
        <w:trPr/>
        <w:tc>
          <w:tcPr>
            <w:tcW w:w="3057" w:type="dxa"/>
            <w:tcBorders/>
            <w:vAlign w:val="center"/>
          </w:tcPr>
          <w:p>
            <w:pPr>
              <w:pStyle w:val="TableContents"/>
              <w:bidi w:val="0"/>
              <w:spacing w:before="0" w:after="283"/>
              <w:jc w:val="left"/>
              <w:rPr/>
            </w:pPr>
            <w:r>
              <w:rPr/>
              <w:t xml:space="preserve">Citigroup Global Markets Inc. </w:t>
              <w:br/>
              <w:t>c/o Broadridge Financial Solutions</w:t>
              <w:br/>
              <w:t>1155 Long Island Avenue</w:t>
              <w:br/>
              <w:t xml:space="preserve">Edgewood, New York 11717 </w:t>
              <w:br/>
              <w:t>Telephone: (800) 831-9146</w:t>
              <w:br/>
              <w:t xml:space="preserve">E-mail: </w:t>
            </w:r>
            <w:r>
              <w:rPr>
                <w:u w:val="single"/>
              </w:rPr>
              <w:t>prospectus@citi.com</w:t>
            </w:r>
          </w:p>
        </w:tc>
        <w:tc>
          <w:tcPr>
            <w:tcW w:w="7148" w:type="dxa"/>
            <w:tcBorders/>
            <w:vAlign w:val="center"/>
          </w:tcPr>
          <w:p>
            <w:pPr>
              <w:pStyle w:val="TableContents"/>
              <w:bidi w:val="0"/>
              <w:spacing w:before="0" w:after="283"/>
              <w:jc w:val="left"/>
              <w:rPr/>
            </w:pPr>
            <w:r>
              <w:rPr/>
              <w:t>J.P. Morgan Securities LLC</w:t>
              <w:br/>
              <w:t>c/o Broadridge Financial Solutions</w:t>
              <w:br/>
              <w:t xml:space="preserve">1155 Long Island Avenue </w:t>
              <w:br/>
              <w:t>Edgewood, New York 11717</w:t>
              <w:br/>
              <w:t xml:space="preserve">E-mail: </w:t>
            </w:r>
            <w:r>
              <w:rPr>
                <w:u w:val="single"/>
              </w:rPr>
              <w:t>prospectus-eq_fi@jpmchase.com</w:t>
            </w:r>
            <w:r>
              <w:rPr/>
              <w:t xml:space="preserve">; </w:t>
            </w:r>
            <w:r>
              <w:rPr>
                <w:u w:val="single"/>
              </w:rPr>
              <w:t>postsalemanualrequests@broadridge.com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obtain these documents free of charge by visiting the Electronic Data Gathering and Analysis Retrieval System (EDGAR)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shall not constitute an offer to sell or the solicitation of an offer to buy nor shall there be any sale of any securities. There shall not be any sale of the Notes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83838"/>
          <w:sz w:val="20"/>
        </w:rPr>
      </w:pPr>
      <w:r>
        <w:rPr>
          <w:rFonts w:ascii="Times New Roman;Times;Serif" w:hAnsi="Times New Roman;Times;Serif"/>
          <w:b/>
          <w:i w:val="false"/>
          <w:caps w:val="false"/>
          <w:smallCaps w:val="false"/>
          <w:color w:val="383838"/>
          <w:sz w:val="20"/>
        </w:rPr>
        <w:t>About Expand Energy</w:t>
      </w:r>
    </w:p>
    <w:p>
      <w:pPr>
        <w:pStyle w:val="TextBody"/>
        <w:bidi w:val="0"/>
        <w:spacing w:before="0" w:after="0"/>
        <w:ind w:left="0" w:right="0" w:hanging="0"/>
        <w:jc w:val="both"/>
        <w:rPr>
          <w:caps w:val="false"/>
          <w:smallCaps w:val="false"/>
          <w:color w:val="383838"/>
        </w:rPr>
      </w:pPr>
      <w:r>
        <w:rPr>
          <w:caps w:val="false"/>
          <w:smallCaps w:val="false"/>
          <w:color w:val="383838"/>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Energy Corporation (NASDAQ: EXE) is North America’s largest natural gas producer, powered by dedicated and innovative employees focused on expanding the value of natural gas by connecting global scale to growing markets. Expand Energy’s returns-driven strategy strives to create sustainable value for its stakeholders by leveraging its advantaged portfolio, financial strength and operational excellence. Expand Energy is committed to expanding America’s energy reach to fuel a more affordable, reliable, lower carbon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923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9239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44780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47800" cy="3429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383838"/>
          <w:sz w:val="20"/>
        </w:rPr>
      </w:pPr>
      <w:r>
        <w:rPr>
          <w:rFonts w:ascii="Times New Roman;Times;Serif" w:hAnsi="Times New Roman;Times;Serif"/>
          <w:b/>
          <w:i w:val="false"/>
          <w:caps w:val="false"/>
          <w:smallCaps w:val="false"/>
          <w:color w:val="383838"/>
          <w:sz w:val="20"/>
        </w:rPr>
        <w:t>Forward-Looking Statements</w:t>
      </w:r>
    </w:p>
    <w:p>
      <w:pPr>
        <w:pStyle w:val="TextBody"/>
        <w:bidi w:val="0"/>
        <w:spacing w:before="0" w:after="0"/>
        <w:ind w:left="0" w:right="0" w:hanging="0"/>
        <w:jc w:val="left"/>
        <w:rPr>
          <w:caps w:val="false"/>
          <w:smallCaps w:val="false"/>
          <w:color w:val="383838"/>
        </w:rPr>
      </w:pPr>
      <w:r>
        <w:rPr>
          <w:caps w:val="false"/>
          <w:smallCaps w:val="false"/>
          <w:color w:val="383838"/>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press release includes “forward-looking statements” within the meaning of Section 27A of the Securities Act of 1933, as amended, and Section 21E of the Securities Exchange Act of 1934, as amended. Forward-looking statements include, but are not limited to, statements relating to the anticipated timing of the closing of the Notes Offering and Expand Energy’s intended use of proceeds therefrom, as well as statements reflecting expectations, intentions, assumptions or beliefs about future events and other statements that do not relate strictly to historical or current facts. Although Expand Energy’s management believes the expectations reflected in such forward-looking statements are reasonable, they are inherently subject to numerous risks and uncertainties, most of which are difficult to predict and many of which are beyond Expand Energy’s control. No assurance can be given that such forward-looking statements will be correct or achieved or that the assumptions are accurate or will not change over time. Particular uncertainties that could cause Expand Energy’s actual results to be materially different than those expressed in such forward-looking statement include those described in the prospectus supplement and accompanying base prospectus relating to the Notes Offering and other risks and uncertainties detailed in Expand Energy’s Annual Report on Form 10-K for the year ended December 31, 2025, Expand Energy’s Quarterly Reports on Form 10-Q for the quarters ended March 31, 2026 and June 30, 2026, and any other documents that Expand Energy files with the SEC. For a discussion of these risks, uncertainties and assumptions, investors are urged to refer to Expand Energy’s documents filed with the SEC that are available through Expand Energy’s website at www.expandenergy.com or through EDGAR at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www.sec.gov. We caution you not to place undue reliance on the forward looking statements contained in this release, which speak only as of the date of the release, and we undertake no obligation to update this information. We urge you to carefully review and consider the disclosures in this release and our filings with the SEC that attempt to advise interested parties of the risk and factors that may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18144</Words>
  <Characters>97271</Characters>
  <CharactersWithSpaces>116765</CharactersWithSpaces>
  <Paragraphs>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